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2769235</wp:posOffset>
            </wp:positionH>
            <wp:positionV relativeFrom="paragraph">
              <wp:posOffset>73660</wp:posOffset>
            </wp:positionV>
            <wp:extent cx="15881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2769235</wp:posOffset>
            </wp:positionH>
            <wp:positionV relativeFrom="paragraph">
              <wp:posOffset>80645</wp:posOffset>
            </wp:positionV>
            <wp:extent cx="15881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1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May 24,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2769235</wp:posOffset>
            </wp:positionH>
            <wp:positionV relativeFrom="paragraph">
              <wp:posOffset>69850</wp:posOffset>
            </wp:positionV>
            <wp:extent cx="15881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BRADY CORPORATION</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2769235</wp:posOffset>
            </wp:positionH>
            <wp:positionV relativeFrom="paragraph">
              <wp:posOffset>57150</wp:posOffset>
            </wp:positionV>
            <wp:extent cx="15881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282" w:lineRule="exact"/>
        <w:rPr>
          <w:sz w:val="24"/>
          <w:szCs w:val="24"/>
          <w:color w:val="auto"/>
        </w:rPr>
      </w:pPr>
    </w:p>
    <w:tbl>
      <w:tblPr>
        <w:tblLayout w:type="fixed"/>
        <w:tblInd w:w="1120" w:type="dxa"/>
        <w:tblCellMar>
          <w:top w:w="0" w:type="dxa"/>
          <w:left w:w="0" w:type="dxa"/>
          <w:bottom w:w="0" w:type="dxa"/>
          <w:right w:w="0" w:type="dxa"/>
        </w:tblCellMar>
      </w:tblPr>
      <w:tr>
        <w:trPr>
          <w:trHeight w:val="227"/>
        </w:trPr>
        <w:tc>
          <w:tcPr>
            <w:tcW w:w="3240" w:type="dxa"/>
            <w:vAlign w:val="bottom"/>
          </w:tcPr>
          <w:p>
            <w:pPr>
              <w:spacing w:after="0"/>
              <w:rPr>
                <w:sz w:val="19"/>
                <w:szCs w:val="19"/>
                <w:color w:val="auto"/>
              </w:rPr>
            </w:pPr>
          </w:p>
        </w:tc>
        <w:tc>
          <w:tcPr>
            <w:tcW w:w="298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Commission File Number 1-14959</w:t>
            </w:r>
          </w:p>
        </w:tc>
        <w:tc>
          <w:tcPr>
            <w:tcW w:w="2140" w:type="dxa"/>
            <w:vAlign w:val="bottom"/>
          </w:tcPr>
          <w:p>
            <w:pPr>
              <w:spacing w:after="0"/>
              <w:rPr>
                <w:sz w:val="19"/>
                <w:szCs w:val="19"/>
                <w:color w:val="auto"/>
              </w:rPr>
            </w:pPr>
          </w:p>
        </w:tc>
      </w:tr>
      <w:tr>
        <w:trPr>
          <w:trHeight w:val="379"/>
        </w:trPr>
        <w:tc>
          <w:tcPr>
            <w:tcW w:w="6220" w:type="dxa"/>
            <w:vAlign w:val="bottom"/>
            <w:gridSpan w:val="3"/>
          </w:tcPr>
          <w:p>
            <w:pPr>
              <w:jc w:val="center"/>
              <w:ind w:right="2940"/>
              <w:spacing w:after="0"/>
              <w:rPr>
                <w:sz w:val="20"/>
                <w:szCs w:val="20"/>
                <w:color w:val="auto"/>
              </w:rPr>
            </w:pPr>
            <w:r>
              <w:rPr>
                <w:rFonts w:ascii="Times New Roman" w:cs="Times New Roman" w:eastAsia="Times New Roman" w:hAnsi="Times New Roman"/>
                <w:sz w:val="17"/>
                <w:szCs w:val="17"/>
                <w:b w:val="1"/>
                <w:bCs w:val="1"/>
                <w:color w:val="auto"/>
              </w:rPr>
              <w:t>Wisconsin</w:t>
            </w:r>
          </w:p>
        </w:tc>
        <w:tc>
          <w:tcPr>
            <w:tcW w:w="2140" w:type="dxa"/>
            <w:vAlign w:val="bottom"/>
          </w:tcPr>
          <w:p>
            <w:pPr>
              <w:jc w:val="right"/>
              <w:ind w:right="443"/>
              <w:spacing w:after="0"/>
              <w:rPr>
                <w:sz w:val="20"/>
                <w:szCs w:val="20"/>
                <w:color w:val="auto"/>
              </w:rPr>
            </w:pPr>
            <w:r>
              <w:rPr>
                <w:rFonts w:ascii="Times New Roman" w:cs="Times New Roman" w:eastAsia="Times New Roman" w:hAnsi="Times New Roman"/>
                <w:sz w:val="17"/>
                <w:szCs w:val="17"/>
                <w:b w:val="1"/>
                <w:bCs w:val="1"/>
                <w:color w:val="auto"/>
              </w:rPr>
              <w:t>39-0178960</w:t>
            </w:r>
          </w:p>
        </w:tc>
      </w:tr>
      <w:tr>
        <w:trPr>
          <w:trHeight w:val="178"/>
        </w:trPr>
        <w:tc>
          <w:tcPr>
            <w:tcW w:w="6220" w:type="dxa"/>
            <w:vAlign w:val="bottom"/>
            <w:gridSpan w:val="3"/>
          </w:tcPr>
          <w:p>
            <w:pPr>
              <w:jc w:val="center"/>
              <w:ind w:right="2940"/>
              <w:spacing w:after="0"/>
              <w:rPr>
                <w:sz w:val="20"/>
                <w:szCs w:val="20"/>
                <w:color w:val="auto"/>
              </w:rPr>
            </w:pPr>
            <w:r>
              <w:rPr>
                <w:rFonts w:ascii="Times New Roman" w:cs="Times New Roman" w:eastAsia="Times New Roman" w:hAnsi="Times New Roman"/>
                <w:sz w:val="14"/>
                <w:szCs w:val="14"/>
                <w:color w:val="auto"/>
                <w:w w:val="97"/>
              </w:rPr>
              <w:t>(State or other jurisdiction of incorporation or organization)</w:t>
            </w:r>
          </w:p>
        </w:tc>
        <w:tc>
          <w:tcPr>
            <w:tcW w:w="2140" w:type="dxa"/>
            <w:vAlign w:val="bottom"/>
          </w:tcPr>
          <w:p>
            <w:pPr>
              <w:jc w:val="center"/>
              <w:ind w:left="183"/>
              <w:spacing w:after="0"/>
              <w:rPr>
                <w:sz w:val="20"/>
                <w:szCs w:val="20"/>
                <w:color w:val="auto"/>
              </w:rPr>
            </w:pPr>
            <w:r>
              <w:rPr>
                <w:rFonts w:ascii="Times New Roman" w:cs="Times New Roman" w:eastAsia="Times New Roman" w:hAnsi="Times New Roman"/>
                <w:sz w:val="14"/>
                <w:szCs w:val="14"/>
                <w:color w:val="auto"/>
                <w:w w:val="97"/>
              </w:rPr>
              <w:t>(IRS Employer Identification No.)</w:t>
            </w:r>
          </w:p>
        </w:tc>
      </w:tr>
      <w:tr>
        <w:trPr>
          <w:trHeight w:val="402"/>
        </w:trPr>
        <w:tc>
          <w:tcPr>
            <w:tcW w:w="3240" w:type="dxa"/>
            <w:vAlign w:val="bottom"/>
          </w:tcPr>
          <w:p>
            <w:pPr>
              <w:spacing w:after="0"/>
              <w:rPr>
                <w:sz w:val="24"/>
                <w:szCs w:val="24"/>
                <w:color w:val="auto"/>
              </w:rPr>
            </w:pPr>
          </w:p>
        </w:tc>
        <w:tc>
          <w:tcPr>
            <w:tcW w:w="298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6555 West Good Hope Road</w:t>
            </w:r>
          </w:p>
        </w:tc>
        <w:tc>
          <w:tcPr>
            <w:tcW w:w="2140" w:type="dxa"/>
            <w:vAlign w:val="bottom"/>
          </w:tcPr>
          <w:p>
            <w:pPr>
              <w:spacing w:after="0"/>
              <w:rPr>
                <w:sz w:val="24"/>
                <w:szCs w:val="24"/>
                <w:color w:val="auto"/>
              </w:rPr>
            </w:pPr>
          </w:p>
        </w:tc>
      </w:tr>
      <w:tr>
        <w:trPr>
          <w:trHeight w:val="206"/>
        </w:trPr>
        <w:tc>
          <w:tcPr>
            <w:tcW w:w="3240" w:type="dxa"/>
            <w:vAlign w:val="bottom"/>
          </w:tcPr>
          <w:p>
            <w:pPr>
              <w:spacing w:after="0"/>
              <w:rPr>
                <w:sz w:val="17"/>
                <w:szCs w:val="17"/>
                <w:color w:val="auto"/>
              </w:rPr>
            </w:pPr>
          </w:p>
        </w:tc>
        <w:tc>
          <w:tcPr>
            <w:tcW w:w="298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Milwaukee, Wisconsin 53223</w:t>
            </w:r>
          </w:p>
        </w:tc>
        <w:tc>
          <w:tcPr>
            <w:tcW w:w="2140" w:type="dxa"/>
            <w:vAlign w:val="bottom"/>
          </w:tcPr>
          <w:p>
            <w:pPr>
              <w:spacing w:after="0"/>
              <w:rPr>
                <w:sz w:val="17"/>
                <w:szCs w:val="17"/>
                <w:color w:val="auto"/>
              </w:rPr>
            </w:pPr>
          </w:p>
        </w:tc>
      </w:tr>
      <w:tr>
        <w:trPr>
          <w:trHeight w:val="178"/>
        </w:trPr>
        <w:tc>
          <w:tcPr>
            <w:tcW w:w="6220" w:type="dxa"/>
            <w:vAlign w:val="bottom"/>
            <w:gridSpan w:val="3"/>
          </w:tcPr>
          <w:p>
            <w:pPr>
              <w:jc w:val="center"/>
              <w:ind w:left="2703"/>
              <w:spacing w:after="0"/>
              <w:rPr>
                <w:sz w:val="20"/>
                <w:szCs w:val="20"/>
                <w:color w:val="auto"/>
              </w:rPr>
            </w:pPr>
            <w:r>
              <w:rPr>
                <w:rFonts w:ascii="Times New Roman" w:cs="Times New Roman" w:eastAsia="Times New Roman" w:hAnsi="Times New Roman"/>
                <w:sz w:val="14"/>
                <w:szCs w:val="14"/>
                <w:color w:val="auto"/>
                <w:w w:val="97"/>
              </w:rPr>
              <w:t>(Address of principal executive offices and Zip Code)</w:t>
            </w:r>
          </w:p>
        </w:tc>
        <w:tc>
          <w:tcPr>
            <w:tcW w:w="2140" w:type="dxa"/>
            <w:vAlign w:val="bottom"/>
          </w:tcPr>
          <w:p>
            <w:pPr>
              <w:spacing w:after="0"/>
              <w:rPr>
                <w:sz w:val="15"/>
                <w:szCs w:val="15"/>
                <w:color w:val="auto"/>
              </w:rPr>
            </w:pPr>
          </w:p>
        </w:tc>
      </w:tr>
      <w:tr>
        <w:trPr>
          <w:trHeight w:val="337"/>
        </w:trPr>
        <w:tc>
          <w:tcPr>
            <w:tcW w:w="5740" w:type="dxa"/>
            <w:vAlign w:val="bottom"/>
            <w:gridSpan w:val="2"/>
          </w:tcPr>
          <w:p>
            <w:pPr>
              <w:jc w:val="center"/>
              <w:ind w:left="3183"/>
              <w:spacing w:after="0"/>
              <w:rPr>
                <w:sz w:val="20"/>
                <w:szCs w:val="20"/>
                <w:color w:val="auto"/>
              </w:rPr>
            </w:pPr>
            <w:r>
              <w:rPr>
                <w:rFonts w:ascii="Times New Roman" w:cs="Times New Roman" w:eastAsia="Times New Roman" w:hAnsi="Times New Roman"/>
                <w:sz w:val="17"/>
                <w:szCs w:val="17"/>
                <w:b w:val="1"/>
                <w:bCs w:val="1"/>
                <w:color w:val="auto"/>
              </w:rPr>
              <w:t>(414) 358-6600</w:t>
            </w:r>
          </w:p>
        </w:tc>
        <w:tc>
          <w:tcPr>
            <w:tcW w:w="4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78"/>
        </w:trPr>
        <w:tc>
          <w:tcPr>
            <w:tcW w:w="3240" w:type="dxa"/>
            <w:vAlign w:val="bottom"/>
          </w:tcPr>
          <w:p>
            <w:pPr>
              <w:spacing w:after="0"/>
              <w:rPr>
                <w:sz w:val="15"/>
                <w:szCs w:val="15"/>
                <w:color w:val="auto"/>
              </w:rPr>
            </w:pPr>
          </w:p>
        </w:tc>
        <w:tc>
          <w:tcPr>
            <w:tcW w:w="29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w w:val="97"/>
              </w:rPr>
              <w:t>(Registrant’s Telephone Number)</w:t>
            </w:r>
          </w:p>
        </w:tc>
        <w:tc>
          <w:tcPr>
            <w:tcW w:w="2140" w:type="dxa"/>
            <w:vAlign w:val="bottom"/>
          </w:tcPr>
          <w:p>
            <w:pPr>
              <w:spacing w:after="0"/>
              <w:rPr>
                <w:sz w:val="15"/>
                <w:szCs w:val="15"/>
                <w:color w:val="auto"/>
              </w:rPr>
            </w:pPr>
          </w:p>
        </w:tc>
      </w:tr>
      <w:tr>
        <w:trPr>
          <w:trHeight w:val="87"/>
        </w:trPr>
        <w:tc>
          <w:tcPr>
            <w:tcW w:w="3240" w:type="dxa"/>
            <w:vAlign w:val="bottom"/>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140" w:type="dxa"/>
            <w:vAlign w:val="bottom"/>
          </w:tcPr>
          <w:p>
            <w:pPr>
              <w:spacing w:after="0"/>
              <w:rPr>
                <w:sz w:val="7"/>
                <w:szCs w:val="7"/>
                <w:color w:val="auto"/>
              </w:rPr>
            </w:pPr>
          </w:p>
        </w:tc>
      </w:tr>
    </w:tbl>
    <w:p>
      <w:pPr>
        <w:spacing w:after="0" w:line="229"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80" w:hanging="660"/>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92" w:lineRule="exact"/>
        <w:rPr>
          <w:rFonts w:ascii="MS PGothic" w:cs="MS PGothic" w:eastAsia="MS PGothic" w:hAnsi="MS PGothic"/>
          <w:sz w:val="21"/>
          <w:szCs w:val="21"/>
          <w:color w:val="auto"/>
        </w:rPr>
      </w:pPr>
    </w:p>
    <w:p>
      <w:pPr>
        <w:ind w:left="680" w:hanging="660"/>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92" w:lineRule="exact"/>
        <w:rPr>
          <w:rFonts w:ascii="MS PGothic" w:cs="MS PGothic" w:eastAsia="MS PGothic" w:hAnsi="MS PGothic"/>
          <w:sz w:val="21"/>
          <w:szCs w:val="21"/>
          <w:color w:val="auto"/>
        </w:rPr>
      </w:pPr>
    </w:p>
    <w:p>
      <w:pPr>
        <w:ind w:left="680" w:hanging="660"/>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92" w:lineRule="exact"/>
        <w:rPr>
          <w:rFonts w:ascii="MS PGothic" w:cs="MS PGothic" w:eastAsia="MS PGothic" w:hAnsi="MS PGothic"/>
          <w:sz w:val="21"/>
          <w:szCs w:val="21"/>
          <w:color w:val="auto"/>
        </w:rPr>
      </w:pPr>
    </w:p>
    <w:p>
      <w:pPr>
        <w:ind w:left="680" w:hanging="660"/>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88" w:lineRule="exact"/>
        <w:rPr>
          <w:sz w:val="24"/>
          <w:szCs w:val="24"/>
          <w:color w:val="auto"/>
        </w:rPr>
      </w:pPr>
    </w:p>
    <w:tbl>
      <w:tblPr>
        <w:tblLayout w:type="fixed"/>
        <w:tblInd w:w="10" w:type="dxa"/>
        <w:tblCellMar>
          <w:top w:w="0" w:type="dxa"/>
          <w:left w:w="0" w:type="dxa"/>
          <w:bottom w:w="0" w:type="dxa"/>
          <w:right w:w="0" w:type="dxa"/>
        </w:tblCellMar>
      </w:tblPr>
      <w:tr>
        <w:trPr>
          <w:trHeight w:val="232"/>
        </w:trPr>
        <w:tc>
          <w:tcPr>
            <w:tcW w:w="6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Trading Symbol</w:t>
            </w:r>
          </w:p>
        </w:tc>
        <w:tc>
          <w:tcPr>
            <w:tcW w:w="3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12"/>
        </w:trPr>
        <w:tc>
          <w:tcPr>
            <w:tcW w:w="6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Class A Nonvoting Common Stock, par value $0.01 per share</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BRC</w:t>
            </w:r>
          </w:p>
        </w:tc>
        <w:tc>
          <w:tcPr>
            <w:tcW w:w="3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229"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6"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213" w:lineRule="exact"/>
        <w:rPr>
          <w:sz w:val="24"/>
          <w:szCs w:val="24"/>
          <w:color w:val="auto"/>
        </w:rPr>
      </w:pPr>
    </w:p>
    <w:p>
      <w:pPr>
        <w:spacing w:after="0" w:line="25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493395</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 w:name="page2"/>
    <w:bookmarkEnd w:id="1"/>
    <w:p>
      <w:pPr>
        <w:jc w:val="both"/>
        <w:ind w:left="980" w:right="20" w:hanging="966"/>
        <w:spacing w:after="0" w:line="255" w:lineRule="auto"/>
        <w:tabs>
          <w:tab w:leader="none" w:pos="960" w:val="left"/>
        </w:tabs>
        <w:rPr>
          <w:sz w:val="20"/>
          <w:szCs w:val="20"/>
          <w:color w:val="auto"/>
        </w:rPr>
      </w:pPr>
      <w:r>
        <w:rPr>
          <w:rFonts w:ascii="Times New Roman" w:cs="Times New Roman" w:eastAsia="Times New Roman" w:hAnsi="Times New Roman"/>
          <w:sz w:val="17"/>
          <w:szCs w:val="17"/>
          <w:color w:val="auto"/>
        </w:rPr>
        <w:t>Item 5.02</w:t>
      </w:r>
      <w:r>
        <w:rPr>
          <w:sz w:val="20"/>
          <w:szCs w:val="20"/>
          <w:color w:val="auto"/>
        </w:rPr>
        <w:tab/>
      </w:r>
      <w:r>
        <w:rPr>
          <w:rFonts w:ascii="Times New Roman" w:cs="Times New Roman" w:eastAsia="Times New Roman" w:hAnsi="Times New Roman"/>
          <w:sz w:val="17"/>
          <w:szCs w:val="17"/>
          <w:color w:val="auto"/>
        </w:rPr>
        <w:t>DEPARTURE OF DIRECTORS OR CERTAIN OFFICERS; ELECTION OF DIRECTORS; APPOINTMENT OF CERTAIN OFFICERS; COMPENSATORY ARRANGEMENTS OF CERTAIN OFFICERS</w:t>
      </w:r>
    </w:p>
    <w:p>
      <w:pPr>
        <w:spacing w:after="0" w:line="242"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On May 24, 2024, the Board of Directors of Brady Corporation (the “Company”) appointed Thomas DeBruine to serve as Chief Operating Officer, effective June 3, 2024.</w:t>
      </w:r>
    </w:p>
    <w:p>
      <w:pPr>
        <w:spacing w:after="0" w:line="13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7"/>
          <w:szCs w:val="17"/>
          <w:color w:val="auto"/>
        </w:rPr>
        <w:t>Mr. DeBruine, age 57, has more than 23 years of manufacturing, procurement and engineering experience with the Company. Most recently, Mr. DeBruine served as Vice President, Global Operations since 2022 and held the position of Director of Operations - Americas from 2016 to 2022. From 2000 to 2016, Mr. DeBruine held a number of positions of increasing responsibility, including Manufacturing Manager, Plant Manager, Manufacturing Engineering</w:t>
      </w:r>
    </w:p>
    <w:p>
      <w:pPr>
        <w:jc w:val="both"/>
        <w:spacing w:after="0" w:line="287" w:lineRule="auto"/>
        <w:rPr>
          <w:sz w:val="20"/>
          <w:szCs w:val="20"/>
          <w:color w:val="auto"/>
        </w:rPr>
      </w:pPr>
      <w:r>
        <w:rPr>
          <w:rFonts w:ascii="Times New Roman" w:cs="Times New Roman" w:eastAsia="Times New Roman" w:hAnsi="Times New Roman"/>
          <w:sz w:val="17"/>
          <w:szCs w:val="17"/>
          <w:color w:val="auto"/>
        </w:rPr>
        <w:t>Manager - Americas, Director of Engineering Services - Americas, Director of Strategic Sourcing - Global and Director of Operations - Milwaukee. Prior to joining the Company, Mr. DeBruine held various operating leadership roles in the automotive and electric motor manufacturing industries.</w:t>
      </w:r>
    </w:p>
    <w:p>
      <w:pPr>
        <w:spacing w:after="0" w:line="1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There are no arrangements or understandings between Mr. DeBruine and any other persons pursuant to which he was selected as Chief Operating Officer of the Company, he has no family relationships with any of the Company’s directors or executive officers, and he has no direct or indirect material interest in any transaction required to be disclosed pursuant to Item 404(a) of Regulation S-K.</w:t>
      </w:r>
    </w:p>
    <w:p>
      <w:pPr>
        <w:spacing w:after="0" w:line="152" w:lineRule="exact"/>
        <w:rPr>
          <w:sz w:val="20"/>
          <w:szCs w:val="20"/>
          <w:color w:val="auto"/>
        </w:rPr>
      </w:pPr>
    </w:p>
    <w:p>
      <w:pPr>
        <w:jc w:val="both"/>
        <w:ind w:firstLine="619"/>
        <w:spacing w:after="0" w:line="276" w:lineRule="auto"/>
        <w:rPr>
          <w:sz w:val="20"/>
          <w:szCs w:val="20"/>
          <w:color w:val="auto"/>
        </w:rPr>
      </w:pPr>
      <w:r>
        <w:rPr>
          <w:rFonts w:ascii="Times New Roman" w:cs="Times New Roman" w:eastAsia="Times New Roman" w:hAnsi="Times New Roman"/>
          <w:sz w:val="17"/>
          <w:szCs w:val="17"/>
          <w:color w:val="auto"/>
        </w:rPr>
        <w:t>The Company entered into an employment offer letter dated May 24, 2024 with Mr. DeBruine (the “Offer Letter”). The Offer Letter provides that Mr. DeBruine will receive an annual base salary of $450,000, with eligibility for a target annual bonus at 60% of base salary, a fiscal 2025 annual equity award with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grant date value of $475,000, and will participate in the Company’s equity incentive and other benefit plans on a basis similar to other executive officers. Mr.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DeBruine will have a Company share ownership requirement equal to three times his base salary within five years of his appointment as Chief Operating Officer.</w:t>
      </w:r>
    </w:p>
    <w:p>
      <w:pPr>
        <w:spacing w:after="0" w:line="1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entered into a Change of Control Agreement dated April 11, 2022 with Mr. DeBruine as part of his appointment to serve as Vice President, Global Operations. Under the existing terms of the Change of Control Agreement, in the event of a qualifying termination within 24 months following a change of control (as such events are defined in the Change of Control Agreement), Mr. DeBruine will receive two times his annual base salary and two times his target bonus. There were no modifications to Mr. DeBruine's Change of Control Agreement as a result of his appointment to Chief Operating Officer.</w:t>
      </w:r>
    </w:p>
    <w:p>
      <w:pPr>
        <w:spacing w:after="0" w:line="12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foregoing descriptions of the Offer Letter and the Change of Control Agreement are qualified in their entirety by reference to the full text of such agreements, copies of which are attached hereto as Exhibit 10.1, Exhibit 10.2, respectively, and are incorporated herein by reference.</w:t>
      </w:r>
    </w:p>
    <w:p>
      <w:pPr>
        <w:spacing w:after="0" w:line="216"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7"/>
          <w:szCs w:val="17"/>
          <w:color w:val="auto"/>
        </w:rPr>
        <w:t>Item 9.01</w:t>
      </w:r>
      <w:r>
        <w:rPr>
          <w:sz w:val="20"/>
          <w:szCs w:val="20"/>
          <w:color w:val="auto"/>
        </w:rPr>
        <w:tab/>
      </w:r>
      <w:r>
        <w:rPr>
          <w:rFonts w:ascii="Times New Roman" w:cs="Times New Roman" w:eastAsia="Times New Roman" w:hAnsi="Times New Roman"/>
          <w:sz w:val="17"/>
          <w:szCs w:val="17"/>
          <w:color w:val="auto"/>
        </w:rPr>
        <w:t>FINANCIAL STATEMENTS AND EXHIBITS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(d) Exhibits</w:t>
            </w:r>
          </w:p>
        </w:tc>
        <w:tc>
          <w:tcPr>
            <w:tcW w:w="6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425"/>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w:t>
            </w:r>
          </w:p>
        </w:tc>
        <w:tc>
          <w:tcPr>
            <w:tcW w:w="6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32"/>
        </w:trPr>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NUMBER</w:t>
            </w:r>
          </w:p>
        </w:tc>
        <w:tc>
          <w:tcPr>
            <w:tcW w:w="10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DESCRIPTION</w:t>
            </w:r>
          </w:p>
        </w:tc>
      </w:tr>
      <w:tr>
        <w:trPr>
          <w:trHeight w:val="251"/>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6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Employment Offer Letter between the Company and Mr. DeBruine dated as of May 24, 2024.</w:t>
            </w:r>
          </w:p>
        </w:tc>
        <w:tc>
          <w:tcPr>
            <w:tcW w:w="3600" w:type="dxa"/>
            <w:vAlign w:val="bottom"/>
            <w:gridSpan w:val="2"/>
          </w:tcPr>
          <w:p>
            <w:pPr>
              <w:spacing w:after="0"/>
              <w:rPr>
                <w:sz w:val="21"/>
                <w:szCs w:val="21"/>
                <w:color w:val="auto"/>
              </w:rPr>
            </w:pPr>
          </w:p>
        </w:tc>
      </w:tr>
      <w:tr>
        <w:trPr>
          <w:trHeight w:val="289"/>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100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Change of Control Agreement between the Company and Mr. DeBruine dated as of April 11, 2022.</w:t>
            </w:r>
          </w:p>
        </w:tc>
      </w:tr>
      <w:tr>
        <w:trPr>
          <w:trHeight w:val="329"/>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68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Inline XBRL document).</w:t>
            </w:r>
          </w:p>
        </w:tc>
        <w:tc>
          <w:tcPr>
            <w:tcW w:w="3240" w:type="dxa"/>
            <w:vAlign w:val="bottom"/>
          </w:tcPr>
          <w:p>
            <w:pPr>
              <w:spacing w:after="0"/>
              <w:rPr>
                <w:sz w:val="24"/>
                <w:szCs w:val="24"/>
                <w:color w:val="auto"/>
              </w:rPr>
            </w:pPr>
          </w:p>
        </w:tc>
      </w:tr>
      <w:tr>
        <w:trPr>
          <w:trHeight w:val="1398"/>
        </w:trPr>
        <w:tc>
          <w:tcPr>
            <w:tcW w:w="1180" w:type="dxa"/>
            <w:vAlign w:val="bottom"/>
            <w:tcBorders>
              <w:bottom w:val="single" w:sz="8" w:color="9A9A9A"/>
            </w:tcBorders>
          </w:tcPr>
          <w:p>
            <w:pPr>
              <w:spacing w:after="0"/>
              <w:rPr>
                <w:sz w:val="24"/>
                <w:szCs w:val="24"/>
                <w:color w:val="auto"/>
              </w:rPr>
            </w:pPr>
          </w:p>
        </w:tc>
        <w:tc>
          <w:tcPr>
            <w:tcW w:w="64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color w:val="auto"/>
        </w:rPr>
        <w:t>SIGNATURE</w:t>
      </w:r>
    </w:p>
    <w:p>
      <w:pPr>
        <w:spacing w:after="0" w:line="25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64"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7"/>
          <w:szCs w:val="17"/>
          <w:color w:val="auto"/>
        </w:rPr>
        <w:t>BRADY CORPORATION</w:t>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May 30, 2024</w:t>
      </w:r>
    </w:p>
    <w:p>
      <w:pPr>
        <w:spacing w:after="0" w:line="282"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7"/>
          <w:szCs w:val="17"/>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4725670</wp:posOffset>
            </wp:positionH>
            <wp:positionV relativeFrom="paragraph">
              <wp:posOffset>17145</wp:posOffset>
            </wp:positionV>
            <wp:extent cx="24149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1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7"/>
          <w:szCs w:val="17"/>
          <w:color w:val="auto"/>
        </w:rPr>
        <w:t>Ann E. Thornton</w:t>
      </w:r>
    </w:p>
    <w:p>
      <w:pPr>
        <w:spacing w:after="0" w:line="14"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7"/>
          <w:szCs w:val="17"/>
          <w:color w:val="auto"/>
        </w:rPr>
        <w:t>Chief Financial Officer, Chief Accounting Officer and</w:t>
      </w:r>
    </w:p>
    <w:p>
      <w:pPr>
        <w:ind w:left="7460"/>
        <w:spacing w:after="0"/>
        <w:rPr>
          <w:sz w:val="20"/>
          <w:szCs w:val="20"/>
          <w:color w:val="auto"/>
        </w:rPr>
      </w:pPr>
      <w:r>
        <w:rPr>
          <w:rFonts w:ascii="Times New Roman" w:cs="Times New Roman" w:eastAsia="Times New Roman" w:hAnsi="Times New Roman"/>
          <w:sz w:val="17"/>
          <w:szCs w:val="17"/>
          <w:color w:val="auto"/>
        </w:rPr>
        <w:t>Treasurer</w:t>
      </w:r>
    </w:p>
    <w:p>
      <w:pPr>
        <w:sectPr>
          <w:pgSz w:w="11900" w:h="16838" w:orient="portrait"/>
          <w:cols w:equalWidth="0" w:num="1">
            <w:col w:w="11240"/>
          </w:cols>
          <w:pgMar w:left="320" w:top="858"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9"/>
          <w:szCs w:val="19"/>
          <w:b w:val="1"/>
          <w:bCs w:val="1"/>
          <w:u w:val="single" w:color="auto"/>
          <w:color w:val="auto"/>
        </w:rPr>
        <w:t>EXHIBIT 10.1</w:t>
      </w:r>
    </w:p>
    <w:p>
      <w:pPr>
        <w:spacing w:after="0" w:line="225" w:lineRule="auto"/>
        <w:rPr>
          <w:sz w:val="20"/>
          <w:szCs w:val="20"/>
          <w:color w:val="auto"/>
        </w:rPr>
      </w:pPr>
      <w:r>
        <w:rPr>
          <w:rFonts w:ascii="Times New Roman" w:cs="Times New Roman" w:eastAsia="Times New Roman" w:hAnsi="Times New Roman"/>
          <w:sz w:val="19"/>
          <w:szCs w:val="19"/>
          <w:color w:val="auto"/>
        </w:rPr>
        <w:t>Brady Corporation</w:t>
      </w:r>
    </w:p>
    <w:p>
      <w:pPr>
        <w:spacing w:after="0" w:line="212" w:lineRule="auto"/>
        <w:rPr>
          <w:sz w:val="20"/>
          <w:szCs w:val="20"/>
          <w:color w:val="auto"/>
        </w:rPr>
      </w:pPr>
      <w:r>
        <w:rPr>
          <w:rFonts w:ascii="Times New Roman" w:cs="Times New Roman" w:eastAsia="Times New Roman" w:hAnsi="Times New Roman"/>
          <w:sz w:val="19"/>
          <w:szCs w:val="19"/>
          <w:color w:val="auto"/>
        </w:rPr>
        <w:t>6555 West Good Hope Road</w:t>
      </w:r>
    </w:p>
    <w:p>
      <w:pPr>
        <w:spacing w:after="0" w:line="213" w:lineRule="auto"/>
        <w:rPr>
          <w:sz w:val="20"/>
          <w:szCs w:val="20"/>
          <w:color w:val="auto"/>
        </w:rPr>
      </w:pPr>
      <w:r>
        <w:rPr>
          <w:rFonts w:ascii="Times New Roman" w:cs="Times New Roman" w:eastAsia="Times New Roman" w:hAnsi="Times New Roman"/>
          <w:sz w:val="19"/>
          <w:szCs w:val="19"/>
          <w:color w:val="auto"/>
        </w:rPr>
        <w:t>P.O. Box 571</w:t>
      </w:r>
    </w:p>
    <w:p>
      <w:pPr>
        <w:spacing w:after="0" w:line="212" w:lineRule="auto"/>
        <w:rPr>
          <w:sz w:val="20"/>
          <w:szCs w:val="20"/>
          <w:color w:val="auto"/>
        </w:rPr>
      </w:pPr>
      <w:r>
        <w:rPr>
          <w:rFonts w:ascii="Times New Roman" w:cs="Times New Roman" w:eastAsia="Times New Roman" w:hAnsi="Times New Roman"/>
          <w:sz w:val="19"/>
          <w:szCs w:val="19"/>
          <w:color w:val="auto"/>
        </w:rPr>
        <w:t>Milwaukee, WI USA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53201-0571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May 24, 2024</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Thomas DeBruine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Dear Thomas,</w:t>
      </w:r>
    </w:p>
    <w:p>
      <w:pPr>
        <w:spacing w:after="0" w:line="2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On behalf of Brady Corporation (the “Company”), I am pleased to offer you the position of Chief Operating Officer, working at the Company’s headquarters at 6555 West Good Hope Road in Milwaukee, Wisconsin. In this role, you will be reporting directly to Russell Shaller, President and Chief Executive Officer.</w:t>
      </w:r>
    </w:p>
    <w:p>
      <w:pPr>
        <w:spacing w:after="0" w:line="20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Outlined below are the terms and conditions of your employment. In developing this offer, our goal has been to provide you with an attractive and competitive compensation package as you undertake your new position effective June 3, 2024 (the “Effective Date”).</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b w:val="1"/>
          <w:bCs w:val="1"/>
          <w:u w:val="single" w:color="auto"/>
          <w:color w:val="auto"/>
        </w:rPr>
        <w:t>Annual Base Salary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your new position as Chief Operating Officer, your annual base salary will be $450,000 per year, payable in accordance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the Company’s standard payroll practice and subject to applicable withholding taxes. Your annual base salary will be reviewed annually.</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b w:val="1"/>
          <w:bCs w:val="1"/>
          <w:u w:val="single" w:color="auto"/>
          <w:color w:val="auto"/>
        </w:rPr>
        <w:t>Annual Bonus Plan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You are eligible to participate in the Company’s annual incentive program. Bonus awards are based on attainment of specified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operating and financial goals as well as achievement of defined individual objectives. Your targeted annual bonus opportunity is 60% of annual base salary with upside potential to 300% of this target depending on individual performance and Company results, prorated as of the Effective Date.</w:t>
      </w:r>
    </w:p>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b w:val="1"/>
          <w:bCs w:val="1"/>
          <w:u w:val="single" w:color="auto"/>
          <w:color w:val="auto"/>
        </w:rPr>
        <w:t>Annual Stock Incentives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You are eligible to participate in the Company’s annual equity incentive program. For fiscal 2025, you will receive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stock incentive award with a grant date value of $475,000 (the “Initial Annual Grant”). The form of the Initial Annual Grant will be made in alignment with the Company’s long-term incentive program as in effect as of August 1, 2024, and will be set forth by separate equity award agreements.</w:t>
      </w:r>
    </w:p>
    <w:p>
      <w:pPr>
        <w:spacing w:after="0" w:line="1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actual grant date value and form of any equity awards made thereafter during your employment shall be determined at the discretion of the Management Development and Compensation Committee after taking into account the Company’s and your performance and other relevant factors.</w:t>
      </w:r>
    </w:p>
    <w:p>
      <w:pPr>
        <w:spacing w:after="0" w:line="16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b w:val="1"/>
          <w:bCs w:val="1"/>
          <w:u w:val="single" w:color="auto"/>
          <w:color w:val="auto"/>
        </w:rPr>
        <w:t>Stock Ownership</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You will be required to acquire and hold, directly or indirectly shares equal to three (3) times your base salary within five (5)</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years of the Effective Date. For this purpose, share ownership shall be determined in accordance with the Company’s share ownership policy. No selling of Company stock is allowed (other than as withholding or sale for taxes at your highest applicable tax rate) until the ownership requirement has been satisfied.</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u w:val="single" w:color="auto"/>
          <w:color w:val="auto"/>
        </w:rPr>
        <w:t>Clawbacks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All bonuses and equity grants are subject to the Company’s clawback policies as in effect from time to time, including any established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under the Dodd-Frank Wall Street Reform.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Car Allowance</w:t>
      </w:r>
      <w:r>
        <w:rPr>
          <w:rFonts w:ascii="Times New Roman" w:cs="Times New Roman" w:eastAsia="Times New Roman" w:hAnsi="Times New Roman"/>
          <w:sz w:val="19"/>
          <w:szCs w:val="19"/>
          <w:color w:val="auto"/>
        </w:rPr>
        <w:t>. You will receive a car allowance in the amount of $18,000 per year or $692.31 per bi-weekly pay period.</w:t>
      </w:r>
    </w:p>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b w:val="1"/>
          <w:bCs w:val="1"/>
          <w:u w:val="single" w:color="auto"/>
          <w:color w:val="auto"/>
        </w:rPr>
        <w:t>Employee Benefits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You will continue to be eligible for an excellent package of employee benefits, which includes medical, dental, vision, life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insurance, and other programs. Please see the attached Summary of Executive Benefits for full details.</w:t>
      </w:r>
    </w:p>
    <w:p>
      <w:pPr>
        <w:sectPr>
          <w:pgSz w:w="11900" w:h="16838" w:orient="portrait"/>
          <w:cols w:equalWidth="0" w:num="1">
            <w:col w:w="11240"/>
          </w:cols>
          <w:pgMar w:left="320" w:top="850" w:right="339" w:bottom="1440" w:gutter="0" w:footer="0" w:header="0"/>
        </w:sectPr>
      </w:pPr>
    </w:p>
    <w:bookmarkStart w:id="4" w:name="page5"/>
    <w:bookmarkEnd w:id="4"/>
    <w:p>
      <w:pPr>
        <w:spacing w:after="0" w:line="259" w:lineRule="auto"/>
        <w:rPr>
          <w:sz w:val="20"/>
          <w:szCs w:val="20"/>
          <w:color w:val="auto"/>
        </w:rPr>
      </w:pPr>
      <w:r>
        <w:rPr>
          <w:rFonts w:ascii="Times New Roman" w:cs="Times New Roman" w:eastAsia="Times New Roman" w:hAnsi="Times New Roman"/>
          <w:sz w:val="19"/>
          <w:szCs w:val="19"/>
          <w:b w:val="1"/>
          <w:bCs w:val="1"/>
          <w:u w:val="single" w:color="auto"/>
          <w:color w:val="auto"/>
        </w:rPr>
        <w:t>Vacation and Holidays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You are eligible for 4 weeks of vacation annually. In addition, you will enjoy 9 Company paid holidays and 3 floating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holidays.</w:t>
      </w:r>
    </w:p>
    <w:p>
      <w:pPr>
        <w:spacing w:after="0" w:line="18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u w:val="single" w:color="auto"/>
          <w:color w:val="auto"/>
        </w:rPr>
        <w:t>Employment At-Will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Please understand that this offer letter is not a contract of employment for any specific or minimum term. This means that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your employment is at-will that may be terminated at any time by you or the Company, with or without cause and with or without advance notice.</w:t>
      </w:r>
    </w:p>
    <w:p>
      <w:pPr>
        <w:spacing w:after="0" w:line="19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9"/>
          <w:szCs w:val="19"/>
          <w:color w:val="auto"/>
        </w:rPr>
        <w:t>This offer does not amend any of your existing obligations to the Company including your non-compete and non-disclosure agreement and Change in Control Agreement, which shall continue in full force and effect.</w:t>
      </w:r>
    </w:p>
    <w:p>
      <w:pPr>
        <w:spacing w:after="0" w:line="16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auto"/>
        </w:rPr>
        <w:t>Please indicate your acceptance of this offer by signing where indicated below and returning an executed copy of this offer to me at your earliest convenience.</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Sincerely,</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3430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30270" cy="825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Russell R. Shaller</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President and Chief Executive Officer</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Brady Corporation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ACKNOWLEDGEMENT</w:t>
      </w:r>
    </w:p>
    <w:p>
      <w:pPr>
        <w:spacing w:after="0" w:line="200" w:lineRule="exact"/>
        <w:rPr>
          <w:sz w:val="20"/>
          <w:szCs w:val="20"/>
          <w:color w:val="auto"/>
        </w:rPr>
      </w:pPr>
    </w:p>
    <w:p>
      <w:pPr>
        <w:spacing w:after="0" w:line="26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9"/>
          <w:szCs w:val="19"/>
          <w:color w:val="auto"/>
        </w:rPr>
        <w:t>I acknowledge that I have carefully read this agreement and that I understand and accept the terms and conditions of this offer of employment with Brady Corporation.</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/s/ THOMAS DEBRUINE</w:t>
            </w:r>
          </w:p>
        </w:tc>
        <w:tc>
          <w:tcPr>
            <w:tcW w:w="32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May 24, 2024</w:t>
            </w:r>
          </w:p>
        </w:tc>
      </w:tr>
      <w:tr>
        <w:trPr>
          <w:trHeight w:val="242"/>
        </w:trPr>
        <w:tc>
          <w:tcPr>
            <w:tcW w:w="5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Thomas DeBruine</w:t>
            </w:r>
          </w:p>
        </w:tc>
        <w:tc>
          <w:tcPr>
            <w:tcW w:w="1980" w:type="dxa"/>
            <w:vAlign w:val="bottom"/>
          </w:tcPr>
          <w:p>
            <w:pPr>
              <w:spacing w:after="0"/>
              <w:rPr>
                <w:sz w:val="21"/>
                <w:szCs w:val="21"/>
                <w:color w:val="auto"/>
              </w:rPr>
            </w:pPr>
          </w:p>
        </w:tc>
        <w:tc>
          <w:tcPr>
            <w:tcW w:w="3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Date</w:t>
            </w:r>
          </w:p>
        </w:tc>
      </w:tr>
    </w:tbl>
    <w:p>
      <w:pPr>
        <w:sectPr>
          <w:pgSz w:w="11900" w:h="16838" w:orient="portrait"/>
          <w:cols w:equalWidth="0" w:num="1">
            <w:col w:w="11240"/>
          </w:cols>
          <w:pgMar w:left="320" w:top="85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9"/>
          <w:szCs w:val="19"/>
          <w:b w:val="1"/>
          <w:bCs w:val="1"/>
          <w:u w:val="single" w:color="auto"/>
          <w:color w:val="auto"/>
        </w:rPr>
        <w:t>EXHIBIT 10.2</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BRADY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CHANGE OF CONTROL AGREEMENT</w:t>
      </w:r>
    </w:p>
    <w:p>
      <w:pPr>
        <w:spacing w:after="0" w:line="389" w:lineRule="exact"/>
        <w:rPr>
          <w:sz w:val="20"/>
          <w:szCs w:val="20"/>
          <w:color w:val="auto"/>
        </w:rPr>
      </w:pPr>
    </w:p>
    <w:p>
      <w:pPr>
        <w:ind w:firstLine="619"/>
        <w:spacing w:after="0" w:line="238" w:lineRule="auto"/>
        <w:rPr>
          <w:sz w:val="20"/>
          <w:szCs w:val="20"/>
          <w:color w:val="auto"/>
        </w:rPr>
      </w:pPr>
      <w:r>
        <w:rPr>
          <w:rFonts w:ascii="Times New Roman" w:cs="Times New Roman" w:eastAsia="Times New Roman" w:hAnsi="Times New Roman"/>
          <w:sz w:val="21"/>
          <w:szCs w:val="21"/>
          <w:color w:val="auto"/>
        </w:rPr>
        <w:t>A</w:t>
      </w:r>
      <w:r>
        <w:rPr>
          <w:rFonts w:ascii="Times New Roman" w:cs="Times New Roman" w:eastAsia="Times New Roman" w:hAnsi="Times New Roman"/>
          <w:sz w:val="18"/>
          <w:szCs w:val="18"/>
          <w:color w:val="auto"/>
        </w:rPr>
        <w:t>GREEMENT, made as of April 11, 2022, between Brady Corporation, a Wisconsin corporation, (“Corporation”) and Thomas DeBruine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(“Executive”).</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WHEREAS, the Executive is now serving as an executive of the Corporation in a position of importance and responsibility; and</w:t>
      </w:r>
    </w:p>
    <w:p>
      <w:pPr>
        <w:spacing w:after="0" w:line="168"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WHEREAS, the Executive possesses intimate knowledge of the business and affairs of the Corporation and its policies, markets and financial and human resources, and the Executive has acquired certain confidential information and data with respect to the Corporation; and</w:t>
      </w:r>
    </w:p>
    <w:p>
      <w:pPr>
        <w:spacing w:after="0" w:line="116"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WHEREAS, the Corporation wishes to continue to receive the benefit of the Executive’s knowledge and experience and, as an inducement for continued service, is willing to offer the Executive certain payments due to severance as a result of change of control as set forth herein;</w:t>
      </w:r>
    </w:p>
    <w:p>
      <w:pPr>
        <w:spacing w:after="0" w:line="116" w:lineRule="exact"/>
        <w:rPr>
          <w:sz w:val="20"/>
          <w:szCs w:val="20"/>
          <w:color w:val="auto"/>
        </w:rPr>
      </w:pPr>
    </w:p>
    <w:p>
      <w:pPr>
        <w:ind w:firstLine="619"/>
        <w:spacing w:after="0" w:line="283" w:lineRule="auto"/>
        <w:rPr>
          <w:sz w:val="20"/>
          <w:szCs w:val="20"/>
          <w:color w:val="auto"/>
        </w:rPr>
      </w:pPr>
      <w:r>
        <w:rPr>
          <w:rFonts w:ascii="Times New Roman" w:cs="Times New Roman" w:eastAsia="Times New Roman" w:hAnsi="Times New Roman"/>
          <w:sz w:val="19"/>
          <w:szCs w:val="19"/>
          <w:color w:val="auto"/>
        </w:rPr>
        <w:t>NOW, THEREFORE, in consideration of the mutual promises and covenants set forth herein, the Executive and Corporation agree as follows:</w:t>
      </w:r>
    </w:p>
    <w:p>
      <w:pPr>
        <w:spacing w:after="0" w:line="91"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1.</w:t>
      </w:r>
      <w:r>
        <w:rPr>
          <w:sz w:val="20"/>
          <w:szCs w:val="20"/>
          <w:color w:val="auto"/>
        </w:rPr>
        <w:tab/>
      </w:r>
      <w:r>
        <w:rPr>
          <w:rFonts w:ascii="Times New Roman" w:cs="Times New Roman" w:eastAsia="Times New Roman" w:hAnsi="Times New Roman"/>
          <w:sz w:val="18"/>
          <w:szCs w:val="18"/>
          <w:color w:val="auto"/>
        </w:rPr>
        <w:t>DEFINITIONS.</w:t>
      </w:r>
    </w:p>
    <w:p>
      <w:pPr>
        <w:spacing w:after="0" w:line="168" w:lineRule="exact"/>
        <w:rPr>
          <w:sz w:val="20"/>
          <w:szCs w:val="20"/>
          <w:color w:val="auto"/>
        </w:rPr>
      </w:pPr>
    </w:p>
    <w:p>
      <w:pPr>
        <w:jc w:val="both"/>
        <w:ind w:firstLine="1241"/>
        <w:spacing w:after="0" w:line="259" w:lineRule="auto"/>
        <w:tabs>
          <w:tab w:leader="none" w:pos="1847"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William H. Brady, Jr. Family Trust, collectively, directly or indirectly controls in excess of 50% of the voting common stock of the Corporation.</w:t>
      </w:r>
    </w:p>
    <w:p>
      <w:pPr>
        <w:spacing w:after="0" w:line="114" w:lineRule="exact"/>
        <w:rPr>
          <w:rFonts w:ascii="Times New Roman" w:cs="Times New Roman" w:eastAsia="Times New Roman" w:hAnsi="Times New Roman"/>
          <w:sz w:val="19"/>
          <w:szCs w:val="19"/>
          <w:color w:val="auto"/>
        </w:rPr>
      </w:pPr>
    </w:p>
    <w:p>
      <w:pPr>
        <w:jc w:val="both"/>
        <w:ind w:firstLine="1241"/>
        <w:spacing w:after="0" w:line="252" w:lineRule="auto"/>
        <w:tabs>
          <w:tab w:leader="none" w:pos="1844"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Termination Due to Change of Control. A “Termination Due to Change of Control” shall occur if within the 24-month period beginning with the date a Change of Control occurs (i) the Executive’s employment with the Corporation is involuntarily terminated (other than by reason of death, disability or Cause) or (ii) the Executive’s employment with the Corporation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Corporation that the Executive relocate to a principal work location more than 50 miles from the Executive’s principal work location immediately prior to the date the Change of Control occurs.</w:t>
      </w:r>
    </w:p>
    <w:p>
      <w:pPr>
        <w:spacing w:after="0" w:line="137" w:lineRule="exact"/>
        <w:rPr>
          <w:rFonts w:ascii="Times New Roman" w:cs="Times New Roman" w:eastAsia="Times New Roman" w:hAnsi="Times New Roman"/>
          <w:sz w:val="19"/>
          <w:szCs w:val="19"/>
          <w:color w:val="auto"/>
        </w:rPr>
      </w:pPr>
    </w:p>
    <w:p>
      <w:pPr>
        <w:jc w:val="both"/>
        <w:ind w:firstLine="1241"/>
        <w:spacing w:after="0" w:line="252" w:lineRule="auto"/>
        <w:tabs>
          <w:tab w:leader="none" w:pos="1847"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means (i) the Executive’s willful and continued failure to substantially perform the Executive’s duties with the Corporation (other than any such failure resulting from physical or mental incapacity) after written demand for performance is given to the Executive by the Corporation which specifically identifies the manner in which the Corporation believes the Executive has not substantially performed and a reasonable time to cure has transpired, (ii) the Executive’s conviction of (or plea of nolo contendere for the commission of) a felony, or (iii) the Executive’s commission of an act of dishonesty or of any willful act of misconduct which results in or could reasonably be expected to result in significant injury (monetarily or otherwise) to the Corporation, as determined in good faith by the Board of Directors of the Corporation.</w:t>
      </w:r>
    </w:p>
    <w:p>
      <w:pPr>
        <w:spacing w:after="0" w:line="134" w:lineRule="exact"/>
        <w:rPr>
          <w:rFonts w:ascii="Times New Roman" w:cs="Times New Roman" w:eastAsia="Times New Roman" w:hAnsi="Times New Roman"/>
          <w:sz w:val="19"/>
          <w:szCs w:val="19"/>
          <w:color w:val="auto"/>
        </w:rPr>
      </w:pPr>
    </w:p>
    <w:p>
      <w:pPr>
        <w:jc w:val="both"/>
        <w:ind w:firstLine="1241"/>
        <w:spacing w:after="0" w:line="259" w:lineRule="auto"/>
        <w:tabs>
          <w:tab w:leader="none" w:pos="1844"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“Beneficiary” means any one or more primary or secondary beneficiaries designated in writing by the Executive on a form provided by the Corporation to receive any benefits which may become payable under this Agreement on or after the Executive’s death. The Executive shall have the right to name, change or revoke the Executive’s designation of a Beneficiary on a form provided by the Corporation. The designation on file</w:t>
      </w:r>
    </w:p>
    <w:p>
      <w:pPr>
        <w:sectPr>
          <w:pgSz w:w="11900" w:h="16838" w:orient="portrait"/>
          <w:cols w:equalWidth="0" w:num="1">
            <w:col w:w="11240"/>
          </w:cols>
          <w:pgMar w:left="320" w:top="850" w:right="339" w:bottom="1440" w:gutter="0" w:footer="0" w:header="0"/>
        </w:sectPr>
      </w:pPr>
    </w:p>
    <w:bookmarkStart w:id="6" w:name="page7"/>
    <w:bookmarkEnd w:id="6"/>
    <w:p>
      <w:pPr>
        <w:jc w:val="both"/>
        <w:spacing w:after="0" w:line="262" w:lineRule="auto"/>
        <w:rPr>
          <w:sz w:val="20"/>
          <w:szCs w:val="20"/>
          <w:color w:val="auto"/>
        </w:rPr>
      </w:pPr>
      <w:r>
        <w:rPr>
          <w:rFonts w:ascii="Times New Roman" w:cs="Times New Roman" w:eastAsia="Times New Roman" w:hAnsi="Times New Roman"/>
          <w:sz w:val="19"/>
          <w:szCs w:val="19"/>
          <w:color w:val="auto"/>
        </w:rPr>
        <w:t>with the Corporation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spacing w:after="0" w:line="122" w:lineRule="exact"/>
        <w:rPr>
          <w:sz w:val="20"/>
          <w:szCs w:val="20"/>
          <w:color w:val="auto"/>
        </w:rPr>
      </w:pPr>
    </w:p>
    <w:p>
      <w:pPr>
        <w:ind w:left="1860" w:hanging="619"/>
        <w:spacing w:after="0"/>
        <w:tabs>
          <w:tab w:leader="none" w:pos="18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“Code” means the Internal Revenue Code of 1986, as amended.</w:t>
      </w:r>
    </w:p>
    <w:p>
      <w:pPr>
        <w:spacing w:after="0" w:line="155" w:lineRule="exact"/>
        <w:rPr>
          <w:rFonts w:ascii="Times New Roman" w:cs="Times New Roman" w:eastAsia="Times New Roman" w:hAnsi="Times New Roman"/>
          <w:sz w:val="19"/>
          <w:szCs w:val="19"/>
          <w:color w:val="auto"/>
        </w:rPr>
      </w:pPr>
    </w:p>
    <w:p>
      <w:pPr>
        <w:ind w:left="6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2.   PAYMENTS UPON TERMINATION DUE TO CHANGE OF CONTROL.</w:t>
      </w:r>
    </w:p>
    <w:p>
      <w:pPr>
        <w:spacing w:after="0" w:line="168" w:lineRule="exact"/>
        <w:rPr>
          <w:sz w:val="20"/>
          <w:szCs w:val="20"/>
          <w:color w:val="auto"/>
        </w:rPr>
      </w:pPr>
    </w:p>
    <w:p>
      <w:pPr>
        <w:jc w:val="both"/>
        <w:ind w:firstLine="1241"/>
        <w:spacing w:after="0" w:line="283" w:lineRule="auto"/>
        <w:tabs>
          <w:tab w:leader="none" w:pos="18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Termination Due to Change of Control, the Executive shall be paid an amount equal to the total of: (i) two times the annual base salary paid the Executive by the Corporation in effect immediately prior to the date the Change of Control occurs, and (ii) two times the Executive’s target bonus amount in effect immediately prior to the date the Change of Control occurs. Such amount shall be paid in 24 monthly installments beginning on the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the month following the month in which the Executive’s employment with the Corporation terminates.</w:t>
      </w:r>
    </w:p>
    <w:p>
      <w:pPr>
        <w:spacing w:after="0" w:line="13" w:lineRule="exact"/>
        <w:rPr>
          <w:rFonts w:ascii="Times New Roman" w:cs="Times New Roman" w:eastAsia="Times New Roman" w:hAnsi="Times New Roman"/>
          <w:sz w:val="18"/>
          <w:szCs w:val="18"/>
          <w:color w:val="auto"/>
        </w:rPr>
      </w:pPr>
    </w:p>
    <w:p>
      <w:pPr>
        <w:jc w:val="both"/>
        <w:ind w:firstLine="1241"/>
        <w:spacing w:after="0" w:line="258" w:lineRule="auto"/>
        <w:tabs>
          <w:tab w:leader="none" w:pos="184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scheduled payments under paragraph (a) above would result in disallowance of any portion of the Corporation’s deduction therefore under Section 162(m) of the Code, the payments called for under paragraph (a) shall be limited to the amount which is deductible, with the balance to be paid during the first taxable year in which the Corporation reasonably anticipates that the deduction of such payment is not barred by Section 162(m). However, in such event, the Corporation shall pay the Executive on a quarterly basis an amount of interest based on the prime rate recomputed each quarter on the unpaid scheduled payments.</w:t>
      </w:r>
    </w:p>
    <w:p>
      <w:pPr>
        <w:spacing w:after="0" w:line="114" w:lineRule="exact"/>
        <w:rPr>
          <w:rFonts w:ascii="Times New Roman" w:cs="Times New Roman" w:eastAsia="Times New Roman" w:hAnsi="Times New Roman"/>
          <w:sz w:val="19"/>
          <w:szCs w:val="19"/>
          <w:color w:val="auto"/>
        </w:rPr>
      </w:pPr>
    </w:p>
    <w:p>
      <w:pPr>
        <w:jc w:val="both"/>
        <w:ind w:firstLine="1241"/>
        <w:spacing w:after="0" w:line="268" w:lineRule="auto"/>
        <w:tabs>
          <w:tab w:leader="none" w:pos="18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(A) each payment or installment of payments provided under this Section 2 is a separate “payment” for purposes of Code Section 409A and (B) that the payments satisfy, to the greatest extent possible, the exemptions from the application of Code Section 409A, including those provided under Treasury Regulations 1.409A-1(b)(4) (regarding short-term deferrals), 1.409A-1(b)(9)(iii) (regarding the two-times, two year exception), and 1.409A-1(b)(9)(v) (regarding reimbursements and other separation pay). Notwithstanding anything to the contrary in this Agreement, if the Corporation determines that on the Termination Due to Change of Control the Executive is a “specified employee” (as such term is defined under Treasury Regulation 1.409A-1(i)(1)) of the Corporation and that any payments to be provided to Executive are or may become subject to the additional tax under Code Section 409A(a)(1)(B) or any other taxes or penalties imposed under Code Section 409A (“Section 409A Taxes”), then such payments shall be delayed until the date that is six (6) months after the Termination Due to Change of Control. Any delayed payments shall be made in a lump sum on the first day of the seventh month following the Termination Due to Change of Control, or such earlier date that, as determined by the Corporation, is sufficient to avoid the imposition of any Section 409A Taxes on Executive.</w:t>
      </w:r>
    </w:p>
    <w:p>
      <w:pPr>
        <w:spacing w:after="0" w:line="112"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3.</w:t>
      </w:r>
      <w:r>
        <w:rPr>
          <w:sz w:val="20"/>
          <w:szCs w:val="20"/>
          <w:color w:val="auto"/>
        </w:rPr>
        <w:tab/>
      </w:r>
      <w:r>
        <w:rPr>
          <w:rFonts w:ascii="Times New Roman" w:cs="Times New Roman" w:eastAsia="Times New Roman" w:hAnsi="Times New Roman"/>
          <w:sz w:val="18"/>
          <w:szCs w:val="18"/>
          <w:color w:val="auto"/>
        </w:rPr>
        <w:t>EXCISE TAX, ATTORNEY FEES.</w:t>
      </w:r>
    </w:p>
    <w:p>
      <w:pPr>
        <w:spacing w:after="0" w:line="168" w:lineRule="exact"/>
        <w:rPr>
          <w:sz w:val="20"/>
          <w:szCs w:val="20"/>
          <w:color w:val="auto"/>
        </w:rPr>
      </w:pPr>
    </w:p>
    <w:p>
      <w:pPr>
        <w:jc w:val="both"/>
        <w:ind w:firstLine="1241"/>
        <w:spacing w:after="0" w:line="262" w:lineRule="auto"/>
        <w:tabs>
          <w:tab w:leader="none" w:pos="1847"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payments under Section 2 in combination with any other payments which the Executive has the right to receive from the Corporation (the “Total Payments”) would result in the Executive incurring an excise tax as a result of Section 280(G) of the Code, the Executive will be solely responsible for such excise tax.</w:t>
      </w:r>
    </w:p>
    <w:p>
      <w:pPr>
        <w:spacing w:after="0" w:line="122" w:lineRule="exact"/>
        <w:rPr>
          <w:rFonts w:ascii="Times New Roman" w:cs="Times New Roman" w:eastAsia="Times New Roman" w:hAnsi="Times New Roman"/>
          <w:sz w:val="19"/>
          <w:szCs w:val="19"/>
          <w:color w:val="auto"/>
        </w:rPr>
      </w:pPr>
    </w:p>
    <w:p>
      <w:pPr>
        <w:ind w:firstLine="1241"/>
        <w:spacing w:after="0" w:line="269" w:lineRule="auto"/>
        <w:tabs>
          <w:tab w:leader="none" w:pos="1844"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Executive is required to file a lawsuit to enforce the Executive’s rights under this Agreement and the Executive prevails in such lawsuit, the Corporation will reimburse the Executive for attorney fees incurred up to a maximum of $25,000.</w:t>
      </w:r>
    </w:p>
    <w:p>
      <w:pPr>
        <w:spacing w:after="0" w:line="116"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4.</w:t>
      </w:r>
      <w:r>
        <w:rPr>
          <w:sz w:val="20"/>
          <w:szCs w:val="20"/>
          <w:color w:val="auto"/>
        </w:rPr>
        <w:tab/>
      </w:r>
      <w:r>
        <w:rPr>
          <w:rFonts w:ascii="Times New Roman" w:cs="Times New Roman" w:eastAsia="Times New Roman" w:hAnsi="Times New Roman"/>
          <w:sz w:val="18"/>
          <w:szCs w:val="18"/>
          <w:color w:val="auto"/>
        </w:rPr>
        <w:t>DEATH AFTER THE EXECUTIVE HAS BEGUN RECEIVING PAYMENTS.</w:t>
      </w:r>
    </w:p>
    <w:p>
      <w:pPr>
        <w:spacing w:after="0" w:line="155"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Should the Executive die after Termination Due to Change of Control, but before receiving all payments due the Executive hereunder, any remaining payments due shall be made to the Executive’s Beneficiary.</w:t>
      </w:r>
    </w:p>
    <w:p>
      <w:pPr>
        <w:spacing w:after="0" w:line="104"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5.</w:t>
      </w:r>
      <w:r>
        <w:rPr>
          <w:sz w:val="20"/>
          <w:szCs w:val="20"/>
          <w:color w:val="auto"/>
        </w:rPr>
        <w:tab/>
      </w:r>
      <w:r>
        <w:rPr>
          <w:rFonts w:ascii="Times New Roman" w:cs="Times New Roman" w:eastAsia="Times New Roman" w:hAnsi="Times New Roman"/>
          <w:sz w:val="18"/>
          <w:szCs w:val="18"/>
          <w:color w:val="auto"/>
        </w:rPr>
        <w:t>CONFIDENTIAL INFORMATION AGREEMENT.</w:t>
      </w:r>
    </w:p>
    <w:p>
      <w:pPr>
        <w:spacing w:after="0" w:line="15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The Executive has obligations under one or more separate confidential information agreements which continue beyond the Executive’s termination of employment. The payments to be made hereunder are conditioned upon the Executive’s compliance with the terms of such confidential information agreements. The payments made</w:t>
      </w:r>
    </w:p>
    <w:p>
      <w:pPr>
        <w:sectPr>
          <w:pgSz w:w="11900" w:h="16838" w:orient="portrait"/>
          <w:cols w:equalWidth="0" w:num="1">
            <w:col w:w="11240"/>
          </w:cols>
          <w:pgMar w:left="320" w:top="1008" w:right="339" w:bottom="1440" w:gutter="0" w:footer="0" w:header="0"/>
        </w:sectPr>
      </w:pPr>
    </w:p>
    <w:bookmarkStart w:id="7" w:name="page8"/>
    <w:bookmarkEnd w:id="7"/>
    <w:p>
      <w:pPr>
        <w:jc w:val="both"/>
        <w:spacing w:after="0" w:line="262" w:lineRule="auto"/>
        <w:rPr>
          <w:sz w:val="20"/>
          <w:szCs w:val="20"/>
          <w:color w:val="auto"/>
        </w:rPr>
      </w:pPr>
      <w:r>
        <w:rPr>
          <w:rFonts w:ascii="Times New Roman" w:cs="Times New Roman" w:eastAsia="Times New Roman" w:hAnsi="Times New Roman"/>
          <w:sz w:val="19"/>
          <w:szCs w:val="19"/>
          <w:color w:val="auto"/>
        </w:rPr>
        <w:t>hereunder shall be reduced by any payments the Corporation makes to the Executive under any confidential information agreement. In the event the Executive violates the provisions of a confidential information agreement, no further payments shall be due hereunder and the Executive shall be obligated to repay all previous payments received hereunder.</w:t>
      </w:r>
    </w:p>
    <w:p>
      <w:pPr>
        <w:spacing w:after="0" w:line="122"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6.</w:t>
      </w:r>
      <w:r>
        <w:rPr>
          <w:sz w:val="20"/>
          <w:szCs w:val="20"/>
          <w:color w:val="auto"/>
        </w:rPr>
        <w:tab/>
      </w:r>
      <w:r>
        <w:rPr>
          <w:rFonts w:ascii="Times New Roman" w:cs="Times New Roman" w:eastAsia="Times New Roman" w:hAnsi="Times New Roman"/>
          <w:sz w:val="18"/>
          <w:szCs w:val="18"/>
          <w:color w:val="auto"/>
        </w:rPr>
        <w:t>MISCELLANEOUS.</w:t>
      </w:r>
    </w:p>
    <w:p>
      <w:pPr>
        <w:spacing w:after="0" w:line="155" w:lineRule="exact"/>
        <w:rPr>
          <w:sz w:val="20"/>
          <w:szCs w:val="20"/>
          <w:color w:val="auto"/>
        </w:rPr>
      </w:pPr>
    </w:p>
    <w:p>
      <w:pPr>
        <w:jc w:val="both"/>
        <w:ind w:firstLine="1241"/>
        <w:spacing w:after="0" w:line="259" w:lineRule="auto"/>
        <w:tabs>
          <w:tab w:leader="none" w:pos="1847"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Non-Assignability. This Agreement is personal to the Executive and, without the prior written consent of the Corporation, shall not be assignable by the Executive otherwise than by will or the laws of descent and distribution. This Agreement shall inure to the benefit of and be binding upon the Corporation and its successors and assigns as well as its parents, subsidiaries, and affiliates, and shall also be enforceable by the Executive’s legal representatives.</w:t>
      </w:r>
    </w:p>
    <w:p>
      <w:pPr>
        <w:spacing w:after="0" w:line="126" w:lineRule="exact"/>
        <w:rPr>
          <w:rFonts w:ascii="Times New Roman" w:cs="Times New Roman" w:eastAsia="Times New Roman" w:hAnsi="Times New Roman"/>
          <w:sz w:val="19"/>
          <w:szCs w:val="19"/>
          <w:color w:val="auto"/>
        </w:rPr>
      </w:pPr>
    </w:p>
    <w:p>
      <w:pPr>
        <w:jc w:val="both"/>
        <w:ind w:firstLine="1241"/>
        <w:spacing w:after="0" w:line="254" w:lineRule="auto"/>
        <w:tabs>
          <w:tab w:leader="none" w:pos="1844"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Successors. The Corporation shall require any successor (whether direct or indirect, by purchase, merger, consolidation or otherwise) to all or substantially all of the business and/or assets of the Corporation expressly to assume and agree to perform this Agreement in the same manner and to the same extent that the Corporation would have been required to perform it if no such succession had taken place. As used in this Agreement, “Corporation” shall mean both the Corporation as defined above and any such successor that assumes and agrees to perform this Agreement, by operation of law or otherwise.</w:t>
      </w:r>
    </w:p>
    <w:p>
      <w:pPr>
        <w:spacing w:after="0" w:line="133" w:lineRule="exact"/>
        <w:rPr>
          <w:rFonts w:ascii="Times New Roman" w:cs="Times New Roman" w:eastAsia="Times New Roman" w:hAnsi="Times New Roman"/>
          <w:sz w:val="19"/>
          <w:szCs w:val="19"/>
          <w:color w:val="auto"/>
        </w:rPr>
      </w:pPr>
    </w:p>
    <w:p>
      <w:pPr>
        <w:jc w:val="both"/>
        <w:ind w:firstLine="1241"/>
        <w:spacing w:after="0" w:line="259" w:lineRule="auto"/>
        <w:tabs>
          <w:tab w:leader="none" w:pos="1847"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Governing Law and Forum. This Agreement shall be governed by, and construed in accordance with, the laws of the State of Wisconsin, without reference to principles of conflict of laws, to the extent not preempted by federal law. Any and all disputes between the parties regarding this Agreement shall be resolved solely by and exclusively in the state or federal courts of Wisconsin and the parties hereby consent to jurisdiction in that forum.</w:t>
      </w:r>
    </w:p>
    <w:p>
      <w:pPr>
        <w:spacing w:after="0" w:line="114" w:lineRule="exact"/>
        <w:rPr>
          <w:rFonts w:ascii="Times New Roman" w:cs="Times New Roman" w:eastAsia="Times New Roman" w:hAnsi="Times New Roman"/>
          <w:sz w:val="19"/>
          <w:szCs w:val="19"/>
          <w:color w:val="auto"/>
        </w:rPr>
      </w:pPr>
    </w:p>
    <w:p>
      <w:pPr>
        <w:ind w:firstLine="1241"/>
        <w:spacing w:after="0" w:line="283" w:lineRule="auto"/>
        <w:tabs>
          <w:tab w:leader="none" w:pos="1844"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Notices. All notices and other communications under this Agreement shall be in writing and shall be given by hand delivery to the other party or by registered or certified mail, return receipt requested, postage prepaid, addressed as follows:</w:t>
      </w:r>
    </w:p>
    <w:p>
      <w:pPr>
        <w:sectPr>
          <w:pgSz w:w="11900" w:h="16838" w:orient="portrait"/>
          <w:cols w:equalWidth="0" w:num="1">
            <w:col w:w="11240"/>
          </w:cols>
          <w:pgMar w:left="320" w:top="1008" w:right="339" w:bottom="1440" w:gutter="0" w:footer="0" w:header="0"/>
        </w:sectPr>
      </w:pP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If to the Executive: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DeBruine</w:t>
      </w:r>
    </w:p>
    <w:p>
      <w:pPr>
        <w:spacing w:after="0" w:line="200" w:lineRule="exact"/>
        <w:rPr>
          <w:sz w:val="20"/>
          <w:szCs w:val="20"/>
          <w:color w:val="auto"/>
        </w:rPr>
      </w:pPr>
    </w:p>
    <w:p>
      <w:pPr>
        <w:sectPr>
          <w:pgSz w:w="11900" w:h="16838" w:orient="portrait"/>
          <w:cols w:equalWidth="0" w:num="2">
            <w:col w:w="3560" w:space="720"/>
            <w:col w:w="6960"/>
          </w:cols>
          <w:pgMar w:left="320" w:top="1008" w:right="339" w:bottom="1440" w:gutter="0" w:footer="0" w:header="0"/>
          <w:type w:val="continuous"/>
        </w:sectPr>
      </w:pPr>
    </w:p>
    <w:p>
      <w:pPr>
        <w:spacing w:after="0" w:line="1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If to the Corporation:</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51" w:lineRule="exact"/>
        <w:rPr>
          <w:sz w:val="20"/>
          <w:szCs w:val="20"/>
          <w:color w:val="auto"/>
        </w:rPr>
      </w:pPr>
    </w:p>
    <w:p>
      <w:pPr>
        <w:sectPr>
          <w:pgSz w:w="11900" w:h="16838" w:orient="portrait"/>
          <w:cols w:equalWidth="0" w:num="2">
            <w:col w:w="3560" w:space="720"/>
            <w:col w:w="6960"/>
          </w:cols>
          <w:pgMar w:left="320" w:top="1008" w:right="339" w:bottom="1440" w:gutter="0" w:footer="0" w:header="0"/>
          <w:type w:val="continuous"/>
        </w:sectPr>
      </w:pPr>
    </w:p>
    <w:p>
      <w:pPr>
        <w:ind w:left="4280"/>
        <w:spacing w:after="0"/>
        <w:rPr>
          <w:sz w:val="20"/>
          <w:szCs w:val="20"/>
          <w:color w:val="auto"/>
        </w:rPr>
      </w:pPr>
      <w:r>
        <w:rPr>
          <w:rFonts w:ascii="Times New Roman" w:cs="Times New Roman" w:eastAsia="Times New Roman" w:hAnsi="Times New Roman"/>
          <w:sz w:val="19"/>
          <w:szCs w:val="19"/>
          <w:color w:val="auto"/>
        </w:rPr>
        <w:t>6555 West Good Hope Road</w:t>
      </w:r>
    </w:p>
    <w:p>
      <w:pPr>
        <w:spacing w:after="0" w:line="3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Milwaukee, Wisconsin 53223</w:t>
      </w:r>
    </w:p>
    <w:p>
      <w:pPr>
        <w:spacing w:after="0" w:line="5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color w:val="auto"/>
        </w:rPr>
        <w:t>Attention: CEO</w:t>
      </w:r>
    </w:p>
    <w:p>
      <w:pPr>
        <w:sectPr>
          <w:pgSz w:w="11900" w:h="16838" w:orient="portrait"/>
          <w:cols w:equalWidth="0" w:num="1">
            <w:col w:w="11240"/>
          </w:cols>
          <w:pgMar w:left="320" w:top="1008" w:right="339" w:bottom="1440" w:gutter="0" w:footer="0" w:header="0"/>
          <w:type w:val="continuous"/>
        </w:sectPr>
      </w:pPr>
    </w:p>
    <w:p>
      <w:pPr>
        <w:spacing w:after="0" w:line="25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9"/>
          <w:szCs w:val="19"/>
          <w:color w:val="auto"/>
        </w:rPr>
        <w:t>or to such other address as either party furnishes to the other in writing in accordance with this paragraph. Notices and communications shall be effective when actually received by the addressee.</w:t>
      </w:r>
    </w:p>
    <w:p>
      <w:pPr>
        <w:spacing w:after="0" w:line="91" w:lineRule="exact"/>
        <w:rPr>
          <w:sz w:val="20"/>
          <w:szCs w:val="20"/>
          <w:color w:val="auto"/>
        </w:rPr>
      </w:pPr>
    </w:p>
    <w:p>
      <w:pPr>
        <w:jc w:val="both"/>
        <w:ind w:firstLine="1241"/>
        <w:spacing w:after="0" w:line="258" w:lineRule="auto"/>
        <w:tabs>
          <w:tab w:leader="none" w:pos="1847"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 The captions of this Agreement are not part of the provisions hereof and shall have no force or effect.</w:t>
      </w:r>
    </w:p>
    <w:p>
      <w:pPr>
        <w:spacing w:after="0" w:line="114" w:lineRule="exact"/>
        <w:rPr>
          <w:rFonts w:ascii="Times New Roman" w:cs="Times New Roman" w:eastAsia="Times New Roman" w:hAnsi="Times New Roman"/>
          <w:sz w:val="19"/>
          <w:szCs w:val="19"/>
          <w:color w:val="auto"/>
        </w:rPr>
      </w:pPr>
    </w:p>
    <w:p>
      <w:pPr>
        <w:ind w:firstLine="1241"/>
        <w:spacing w:after="0" w:line="283" w:lineRule="auto"/>
        <w:tabs>
          <w:tab w:leader="none" w:pos="1852"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Guarantee of Employment. Nothing contained in this Agreement shall give the Executive the right to be retained in the employment of the Corporation or affect the right of the Corporation to dismiss the Executive.</w:t>
      </w:r>
    </w:p>
    <w:p>
      <w:pPr>
        <w:spacing w:after="0" w:line="90" w:lineRule="exact"/>
        <w:rPr>
          <w:rFonts w:ascii="Times New Roman" w:cs="Times New Roman" w:eastAsia="Times New Roman" w:hAnsi="Times New Roman"/>
          <w:sz w:val="19"/>
          <w:szCs w:val="19"/>
          <w:color w:val="auto"/>
        </w:rPr>
      </w:pPr>
    </w:p>
    <w:p>
      <w:pPr>
        <w:jc w:val="both"/>
        <w:ind w:firstLine="1241"/>
        <w:spacing w:after="0" w:line="262" w:lineRule="auto"/>
        <w:tabs>
          <w:tab w:leader="none" w:pos="1844"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Amendment; Entire Agreement. This Agreement may not be amended or modified except by a written agreement executed by the parties hereto or their respective successors and legal representatives. This Agreement contains the entire agreement between the parties on the subjects covered and replaces all prior writings, proposals, specifications or other oral or written materials relating thereto.</w:t>
      </w:r>
    </w:p>
    <w:p>
      <w:pPr>
        <w:sectPr>
          <w:pgSz w:w="11900" w:h="16838" w:orient="portrait"/>
          <w:cols w:equalWidth="0" w:num="1">
            <w:col w:w="11240"/>
          </w:cols>
          <w:pgMar w:left="320" w:top="1008" w:right="339" w:bottom="1440" w:gutter="0" w:footer="0" w:header="0"/>
          <w:type w:val="continuous"/>
        </w:sectPr>
      </w:pPr>
    </w:p>
    <w:bookmarkStart w:id="8" w:name="page9"/>
    <w:bookmarkEnd w:id="8"/>
    <w:p>
      <w:pPr>
        <w:jc w:val="both"/>
        <w:ind w:left="-620" w:firstLine="1241"/>
        <w:spacing w:after="0" w:line="259" w:lineRule="auto"/>
        <w:tabs>
          <w:tab w:leader="none" w:pos="1224"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Impact on Other Plans. No amounts paid to the Executive under this Agreement will be taken into account as “wages”, “salary”, “base pay” or any other type of compensation when determining the amount of any payment or allocation, or for any other purpose, under any other qualified or nonqualified plan or agreement of the Corporation, except as otherwise may be specifically provided by such plan or agreement.</w:t>
      </w:r>
    </w:p>
    <w:p>
      <w:pPr>
        <w:spacing w:after="0" w:line="114" w:lineRule="exact"/>
        <w:rPr>
          <w:rFonts w:ascii="Times New Roman" w:cs="Times New Roman" w:eastAsia="Times New Roman" w:hAnsi="Times New Roman"/>
          <w:sz w:val="19"/>
          <w:szCs w:val="19"/>
          <w:color w:val="auto"/>
        </w:rPr>
      </w:pPr>
    </w:p>
    <w:p>
      <w:pPr>
        <w:jc w:val="both"/>
        <w:ind w:left="-620" w:firstLine="1241"/>
        <w:spacing w:after="0" w:line="269" w:lineRule="auto"/>
        <w:tabs>
          <w:tab w:leader="none" w:pos="1234"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Agreements. This Agreement supersedes any other severance arrangement or Change of Control Agreement between the Corporation and the Executive. This Agreement does not confer any payments or benefits other than the payments described in Sections 2 and 3 hereof.</w:t>
      </w:r>
    </w:p>
    <w:p>
      <w:pPr>
        <w:spacing w:after="0" w:line="103" w:lineRule="exact"/>
        <w:rPr>
          <w:rFonts w:ascii="Times New Roman" w:cs="Times New Roman" w:eastAsia="Times New Roman" w:hAnsi="Times New Roman"/>
          <w:sz w:val="19"/>
          <w:szCs w:val="19"/>
          <w:color w:val="auto"/>
        </w:rPr>
      </w:pPr>
    </w:p>
    <w:p>
      <w:pPr>
        <w:jc w:val="both"/>
        <w:ind w:left="-620" w:firstLine="1241"/>
        <w:spacing w:after="0" w:line="262" w:lineRule="auto"/>
        <w:tabs>
          <w:tab w:leader="none" w:pos="1234"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Withholding. To the extent required by law, the Corporation shall withhold any taxes required to be withheld with respect to this Agreement by the federal, state or local government from payments made hereunder or from other amounts paid to the Executive by the Corporation.</w:t>
      </w:r>
    </w:p>
    <w:p>
      <w:pPr>
        <w:spacing w:after="0" w:line="122" w:lineRule="exact"/>
        <w:rPr>
          <w:rFonts w:ascii="Times New Roman" w:cs="Times New Roman" w:eastAsia="Times New Roman" w:hAnsi="Times New Roman"/>
          <w:sz w:val="19"/>
          <w:szCs w:val="19"/>
          <w:color w:val="auto"/>
        </w:rPr>
      </w:pPr>
    </w:p>
    <w:p>
      <w:pPr>
        <w:jc w:val="both"/>
        <w:ind w:left="-620" w:firstLine="1241"/>
        <w:spacing w:after="0" w:line="259" w:lineRule="auto"/>
        <w:tabs>
          <w:tab w:leader="none" w:pos="1224"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Facility of Payment. If the Executive or, if applicable, the Executive’s Beneficiary, is under legal disability, the Corporation may direct that payments be made to a relative of such person for the benefit of such person, without the intervention of any legal guardian or conservator, or to any legal guardian or conservator of such person. Any such distribution shall constitute a full discharge with respect to the Corporation and the Corporation shall not be required to see to the application of any distribution so made.</w:t>
      </w:r>
    </w:p>
    <w:p>
      <w:pPr>
        <w:spacing w:after="0" w:line="11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9"/>
          <w:szCs w:val="19"/>
          <w:color w:val="auto"/>
        </w:rPr>
        <w:t>SECTION 7.</w:t>
      </w:r>
      <w:r>
        <w:rPr>
          <w:sz w:val="20"/>
          <w:szCs w:val="20"/>
          <w:color w:val="auto"/>
        </w:rPr>
        <w:tab/>
      </w:r>
      <w:r>
        <w:rPr>
          <w:rFonts w:ascii="Times New Roman" w:cs="Times New Roman" w:eastAsia="Times New Roman" w:hAnsi="Times New Roman"/>
          <w:sz w:val="18"/>
          <w:szCs w:val="18"/>
          <w:color w:val="auto"/>
        </w:rPr>
        <w:t>CLAIMS PROCEDURE.</w:t>
      </w:r>
    </w:p>
    <w:p>
      <w:pPr>
        <w:spacing w:after="0" w:line="168" w:lineRule="exact"/>
        <w:rPr>
          <w:sz w:val="20"/>
          <w:szCs w:val="20"/>
          <w:color w:val="auto"/>
        </w:rPr>
      </w:pPr>
    </w:p>
    <w:p>
      <w:pPr>
        <w:jc w:val="both"/>
        <w:ind w:left="-620" w:firstLine="1241"/>
        <w:spacing w:after="0" w:line="252" w:lineRule="auto"/>
        <w:tabs>
          <w:tab w:leader="none" w:pos="1227"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Claim Review. If the Executive or the Executive’s Beneficiary (a “Claimant”) believes that he or she has been denied all or a portion of a benefit under this Agreement, he or she may file a written claim for benefits with the Corporation. The Corporation shall review the claim and notify the Claimant of the Corporation’s decision within 60 days of receipt of such claim, unless the Claimant receives written notice prior to the end of the 60-day period stating that special circumstances require an extension of the time for decision. The Corporation’s decision shall be in writing, sent by mail to the 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134" w:lineRule="exact"/>
        <w:rPr>
          <w:rFonts w:ascii="Times New Roman" w:cs="Times New Roman" w:eastAsia="Times New Roman" w:hAnsi="Times New Roman"/>
          <w:sz w:val="19"/>
          <w:szCs w:val="19"/>
          <w:color w:val="auto"/>
        </w:rPr>
      </w:pPr>
    </w:p>
    <w:p>
      <w:pPr>
        <w:jc w:val="both"/>
        <w:ind w:left="-620" w:firstLine="1241"/>
        <w:spacing w:after="0" w:line="254" w:lineRule="auto"/>
        <w:tabs>
          <w:tab w:leader="none" w:pos="1224"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 in special circumstances the Board may extend the time for decision by not more than 60 days upon written notice to the Claimant.) The Board’s review decision shall contain specific reasons for the decision and reference to the pertinent provisions of this Agreement.</w:t>
      </w:r>
    </w:p>
    <w:p>
      <w:pPr>
        <w:sectPr>
          <w:pgSz w:w="11900" w:h="16838" w:orient="portrait"/>
          <w:cols w:equalWidth="0" w:num="1">
            <w:col w:w="10620"/>
          </w:cols>
          <w:pgMar w:left="940" w:top="1008" w:right="339" w:bottom="1440" w:gutter="0" w:footer="0" w:header="0"/>
        </w:sectPr>
      </w:pPr>
    </w:p>
    <w:bookmarkStart w:id="9" w:name="page10"/>
    <w:bookmarkEnd w:id="9"/>
    <w:p>
      <w:pPr>
        <w:ind w:firstLine="619"/>
        <w:spacing w:after="0" w:line="283" w:lineRule="auto"/>
        <w:rPr>
          <w:sz w:val="20"/>
          <w:szCs w:val="20"/>
          <w:color w:val="auto"/>
        </w:rPr>
      </w:pPr>
      <w:r>
        <w:rPr>
          <w:rFonts w:ascii="Times New Roman" w:cs="Times New Roman" w:eastAsia="Times New Roman" w:hAnsi="Times New Roman"/>
          <w:sz w:val="19"/>
          <w:szCs w:val="19"/>
          <w:color w:val="auto"/>
        </w:rPr>
        <w:t>IN WITNESS WHEREOF, the Executive has signed this Agreement and, pursuant to the authorization of the Board, the Corporation has caused this Agreement to be signed, all as of the date first set forth above.</w:t>
      </w:r>
    </w:p>
    <w:p>
      <w:pPr>
        <w:spacing w:after="0" w:line="200" w:lineRule="exact"/>
        <w:rPr>
          <w:sz w:val="20"/>
          <w:szCs w:val="20"/>
          <w:color w:val="auto"/>
        </w:rPr>
      </w:pPr>
    </w:p>
    <w:p>
      <w:pPr>
        <w:spacing w:after="0" w:line="38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/s/ THOMAS DEBRUINE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4095115</wp:posOffset>
            </wp:positionH>
            <wp:positionV relativeFrom="paragraph">
              <wp:posOffset>21590</wp:posOffset>
            </wp:positionV>
            <wp:extent cx="31057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05785" cy="8255"/>
                    </a:xfrm>
                    <a:prstGeom prst="rect">
                      <a:avLst/>
                    </a:prstGeom>
                    <a:noFill/>
                  </pic:spPr>
                </pic:pic>
              </a:graphicData>
            </a:graphic>
          </wp:anchor>
        </w:drawing>
      </w:r>
    </w:p>
    <w:p>
      <w:pPr>
        <w:spacing w:after="0" w:line="1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Thomas DeBruine</w:t>
      </w:r>
    </w:p>
    <w:p>
      <w:pPr>
        <w:spacing w:after="0" w:line="2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Vice President, Operations</w:t>
      </w:r>
    </w:p>
    <w:p>
      <w:pPr>
        <w:spacing w:after="0" w:line="200" w:lineRule="exact"/>
        <w:rPr>
          <w:sz w:val="20"/>
          <w:szCs w:val="20"/>
          <w:color w:val="auto"/>
        </w:rPr>
      </w:pPr>
    </w:p>
    <w:p>
      <w:pPr>
        <w:spacing w:after="0" w:line="34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BRADY CORPORATION</w:t>
      </w:r>
    </w:p>
    <w:p>
      <w:pPr>
        <w:spacing w:after="0" w:line="200" w:lineRule="exact"/>
        <w:rPr>
          <w:sz w:val="20"/>
          <w:szCs w:val="20"/>
          <w:color w:val="auto"/>
        </w:rPr>
      </w:pPr>
    </w:p>
    <w:p>
      <w:pPr>
        <w:spacing w:after="0" w:line="32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9"/>
          <w:szCs w:val="19"/>
          <w:color w:val="auto"/>
        </w:rPr>
        <w:t>By: /s/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4095115</wp:posOffset>
            </wp:positionH>
            <wp:positionV relativeFrom="paragraph">
              <wp:posOffset>21590</wp:posOffset>
            </wp:positionV>
            <wp:extent cx="31057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05785" cy="8255"/>
                    </a:xfrm>
                    <a:prstGeom prst="rect">
                      <a:avLst/>
                    </a:prstGeom>
                    <a:noFill/>
                  </pic:spPr>
                </pic:pic>
              </a:graphicData>
            </a:graphic>
          </wp:anchor>
        </w:drawing>
      </w:r>
    </w:p>
    <w:p>
      <w:pPr>
        <w:spacing w:after="0" w:line="1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Russell R. Shaller</w:t>
      </w:r>
    </w:p>
    <w:p>
      <w:pPr>
        <w:spacing w:after="0" w:line="3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President and Chief Executive Officer</w:t>
      </w:r>
    </w:p>
    <w:sectPr>
      <w:pgSz w:w="11900" w:h="16838" w:orient="portrait"/>
      <w:cols w:equalWidth="0" w:num="1">
        <w:col w:w="11240"/>
      </w:cols>
      <w:pgMar w:left="320" w:top="10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5"/>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5"/>
    </w:lvl>
  </w:abstractNum>
  <w:abstractNum w:abstractNumId="7">
    <w:nsid w:val="515F007C"/>
    <w:multiLevelType w:val="hybridMultilevel"/>
    <w:lvl w:ilvl="0">
      <w:lvlJc w:val="left"/>
      <w:lvlText w:val="(%1)"/>
      <w:numFmt w:val="lowerLetter"/>
      <w:start w:val="8"/>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2024-05-30T06:07:48Z</dcterms:created>
  <dcterms:modified xsi:type="dcterms:W3CDTF">2024-05-30T06:07:48Z</dcterms:modified>
</cp:coreProperties>
</file>