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8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5434965</wp:posOffset>
            </wp:positionH>
            <wp:positionV relativeFrom="paragraph">
              <wp:posOffset>-635000</wp:posOffset>
            </wp:positionV>
            <wp:extent cx="58420" cy="648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4097655</wp:posOffset>
            </wp:positionH>
            <wp:positionV relativeFrom="paragraph">
              <wp:posOffset>-635000</wp:posOffset>
            </wp:positionV>
            <wp:extent cx="58420" cy="6483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8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-1748790</wp:posOffset>
            </wp:positionH>
            <wp:positionV relativeFrom="paragraph">
              <wp:posOffset>17145</wp:posOffset>
            </wp:positionV>
            <wp:extent cx="7324725" cy="43859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3859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40"/>
            <w:col w:w="878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JAEHNERT FRANK M</w:t>
        </w:r>
      </w:hyperlink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JAEHNERT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WEST GOOD HOPE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" w:right="720" w:hanging="4"/>
        <w:spacing w:after="0" w:line="242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3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357.7104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11/03/2006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357.7104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36.34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47,228.734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security converts to a common stock on a 1 for 1 basis.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40" w:firstLine="4"/>
        <w:spacing w:after="0" w:line="255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phantom stock units were acquired under the Brady Corporation employee deferred compensation agreement and are to be settled in installment payments of Brady's Class A Common Stock upon the person's cessation of service as an employee.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 Barbara Bolens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11/06/2006</w:t>
            </w:r>
          </w:p>
        </w:tc>
      </w:tr>
      <w:tr>
        <w:trPr>
          <w:trHeight w:val="227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jc w:val="both"/>
        <w:ind w:left="40" w:right="3920" w:firstLine="4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2019-12-18T13:55:06Z</dcterms:created>
  <dcterms:modified xsi:type="dcterms:W3CDTF">2019-12-18T13:55:06Z</dcterms:modified>
</cp:coreProperties>
</file>