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 O R M 11 - K</w:t>
      </w:r>
    </w:p>
    <w:p>
      <w:pPr>
        <w:spacing w:after="0" w:line="132"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2006</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5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-7620</wp:posOffset>
            </wp:positionV>
            <wp:extent cx="2409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5" w:lineRule="exact"/>
        <w:rPr>
          <w:sz w:val="20"/>
          <w:szCs w:val="20"/>
          <w:color w:val="auto"/>
        </w:rPr>
      </w:pPr>
    </w:p>
    <w:p>
      <w:pPr>
        <w:ind w:right="3560" w:firstLine="3673"/>
        <w:spacing w:after="0" w:line="488" w:lineRule="auto"/>
        <w:rPr>
          <w:sz w:val="20"/>
          <w:szCs w:val="20"/>
          <w:color w:val="auto"/>
        </w:rPr>
      </w:pPr>
      <w:r>
        <w:rPr>
          <w:rFonts w:ascii="Arial" w:cs="Arial" w:eastAsia="Arial" w:hAnsi="Arial"/>
          <w:sz w:val="16"/>
          <w:szCs w:val="16"/>
          <w:b w:val="1"/>
          <w:bCs w:val="1"/>
          <w:color w:val="auto"/>
        </w:rPr>
        <w:t xml:space="preserve">Commission file number 1-14959 Brady Corporation </w:t>
      </w:r>
      <w:r>
        <w:rPr>
          <w:rFonts w:ascii="Arial" w:cs="Arial" w:eastAsia="Arial" w:hAnsi="Arial"/>
          <w:sz w:val="16"/>
          <w:szCs w:val="16"/>
          <w:color w:val="auto"/>
        </w:rPr>
        <w:t>A. Full title of the plan and the address of the plan, if different from that of the issuer named below:</w:t>
      </w:r>
    </w:p>
    <w:p>
      <w:pPr>
        <w:spacing w:after="0" w:line="8" w:lineRule="exact"/>
        <w:rPr>
          <w:sz w:val="20"/>
          <w:szCs w:val="20"/>
          <w:color w:val="auto"/>
        </w:rPr>
      </w:pPr>
    </w:p>
    <w:p>
      <w:pPr>
        <w:jc w:val="right"/>
        <w:ind w:right="3420"/>
        <w:spacing w:after="0" w:line="407" w:lineRule="auto"/>
        <w:rPr>
          <w:sz w:val="20"/>
          <w:szCs w:val="20"/>
          <w:color w:val="auto"/>
        </w:rPr>
      </w:pPr>
      <w:r>
        <w:rPr>
          <w:rFonts w:ascii="Arial" w:cs="Arial" w:eastAsia="Arial" w:hAnsi="Arial"/>
          <w:sz w:val="18"/>
          <w:szCs w:val="18"/>
          <w:b w:val="1"/>
          <w:bCs w:val="1"/>
          <w:color w:val="auto"/>
        </w:rPr>
        <w:t xml:space="preserve">J.A.M. Plastics, Inc. 401(k) Profit Sharing Plan &amp; Trust </w:t>
      </w:r>
      <w:r>
        <w:rPr>
          <w:rFonts w:ascii="Arial" w:cs="Arial" w:eastAsia="Arial" w:hAnsi="Arial"/>
          <w:sz w:val="18"/>
          <w:szCs w:val="18"/>
          <w:color w:val="auto"/>
        </w:rPr>
        <w:t>B.  Name of issuer of the securities held pursuant to the plan and the address of its principal executive office:</w:t>
      </w: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 53202-0571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color w:val="auto"/>
        </w:rPr>
        <w:t>The J.A.M. Plastics, Inc. 401(k) Profit Sharing Plan &amp; Trust (the “J.A.M. Plastics 401(k) Plan”) is subject to the Employee Retirement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Act of 1974, as amended (“ERISA”) and files plan financial statements and schedules prepared in accordance with the financial reporting requirements of ERISA. The J.A.M. Plastics 401(k) Plan is filing such financial statements and schedules in lieu of the financial statements required by these Items, as permitted by Item 4.</w:t>
      </w:r>
    </w:p>
    <w:p>
      <w:pPr>
        <w:spacing w:after="0" w:line="180"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color w:val="auto"/>
        </w:rPr>
        <w:t>Pursuant to Section 103(c) of ERISA and the regulations thereunder, the J.A.M. Plastics 401(k) Plan is not required to file audited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The financial statements and schedules of the J.A.M. Plastics 401(k) Plan required by ERISA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 Plastics 401(k) Plan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Statements as of December 31, 2006 and 2005, and for the Year Ended December 31, 2006 and Supplemental Schedule 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J.A.M. PLASTICS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0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660" w:type="dxa"/>
            <w:vAlign w:val="bottom"/>
          </w:tcPr>
          <w:p>
            <w:pPr>
              <w:ind w:left="138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9500" w:type="dxa"/>
            <w:vAlign w:val="bottom"/>
            <w:gridSpan w:val="8"/>
            <w:vMerge w:val="continue"/>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28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 as of December 31, 2006 and 2005</w:t>
              </w:r>
            </w:hyperlink>
          </w:p>
        </w:tc>
        <w:tc>
          <w:tcPr>
            <w:tcW w:w="1660" w:type="dxa"/>
            <w:vAlign w:val="bottom"/>
          </w:tcPr>
          <w:p>
            <w:pPr>
              <w:jc w:val="center"/>
              <w:ind w:left="1293"/>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9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Statements of Changes in Net Assets Available for Benefits for the Years Ended December 31, 2006 and 2005</w:t>
              </w:r>
            </w:hyperlink>
          </w:p>
        </w:tc>
        <w:tc>
          <w:tcPr>
            <w:tcW w:w="1360" w:type="dxa"/>
            <w:vAlign w:val="bottom"/>
          </w:tcPr>
          <w:p>
            <w:pPr>
              <w:spacing w:after="0"/>
              <w:rPr>
                <w:sz w:val="24"/>
                <w:szCs w:val="24"/>
                <w:color w:val="auto"/>
              </w:rPr>
            </w:pPr>
          </w:p>
        </w:tc>
        <w:tc>
          <w:tcPr>
            <w:tcW w:w="1660" w:type="dxa"/>
            <w:vAlign w:val="bottom"/>
          </w:tcPr>
          <w:p>
            <w:pPr>
              <w:jc w:val="center"/>
              <w:ind w:left="1293"/>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928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 as of and for the Years Ended December 31, 2006 and 2005</w:t>
              </w:r>
            </w:hyperlink>
          </w:p>
        </w:tc>
        <w:tc>
          <w:tcPr>
            <w:tcW w:w="1660" w:type="dxa"/>
            <w:vAlign w:val="bottom"/>
          </w:tcPr>
          <w:p>
            <w:pPr>
              <w:jc w:val="center"/>
              <w:ind w:left="1293"/>
              <w:spacing w:after="0"/>
              <w:rPr>
                <w:sz w:val="20"/>
                <w:szCs w:val="20"/>
                <w:color w:val="auto"/>
              </w:rPr>
            </w:pPr>
            <w:r>
              <w:rPr>
                <w:rFonts w:ascii="Arial" w:cs="Arial" w:eastAsia="Arial" w:hAnsi="Arial"/>
                <w:sz w:val="18"/>
                <w:szCs w:val="18"/>
                <w:color w:val="auto"/>
                <w:w w:val="93"/>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SUPPLEMENTAL SCHEDULE—</w:t>
              </w:r>
            </w:hyperlink>
          </w:p>
        </w:tc>
        <w:tc>
          <w:tcPr>
            <w:tcW w:w="6940" w:type="dxa"/>
            <w:vAlign w:val="bottom"/>
            <w:gridSpan w:val="5"/>
          </w:tcPr>
          <w:p>
            <w:pPr>
              <w:spacing w:after="0"/>
              <w:rPr>
                <w:sz w:val="24"/>
                <w:szCs w:val="24"/>
                <w:color w:val="auto"/>
              </w:rPr>
            </w:pPr>
          </w:p>
        </w:tc>
        <w:tc>
          <w:tcPr>
            <w:tcW w:w="1660" w:type="dxa"/>
            <w:vAlign w:val="bottom"/>
          </w:tcPr>
          <w:p>
            <w:pPr>
              <w:jc w:val="center"/>
              <w:ind w:left="1293"/>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928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Form 5500, Schedule H, Part IV, Line 4i—Schedule of Assets (Held at End of Year) as of December 31, 2006</w:t>
              </w:r>
            </w:hyperlink>
          </w:p>
        </w:tc>
        <w:tc>
          <w:tcPr>
            <w:tcW w:w="1660" w:type="dxa"/>
            <w:vAlign w:val="bottom"/>
          </w:tcPr>
          <w:p>
            <w:pPr>
              <w:jc w:val="center"/>
              <w:ind w:left="1293"/>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1"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 PLASTICS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2006 AND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$ 494,185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$ 591,105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Common collective trust fund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 Corporation common stock</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Participant loans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7,513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investments — at fair value</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501,701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601,305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Employer contributions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11,190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receivables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FAIR VALUE</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$ 513,545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$ 615,277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from fair value to contract value for fully benefit- responsive investment contracts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$ 513,546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$ 615,277</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40" w:type="dxa"/>
            <w:vAlign w:val="bottom"/>
            <w:gridSpan w:val="2"/>
          </w:tcPr>
          <w:p>
            <w:pPr>
              <w:jc w:val="right"/>
              <w:ind w:right="333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 PLASTICS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2006 AND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Participant</w:t>
            </w: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66,738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79,088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Employer</w:t>
            </w: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11,190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contributions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77,928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93,060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Investment income:</w:t>
            </w:r>
          </w:p>
        </w:tc>
        <w:tc>
          <w:tcPr>
            <w:tcW w:w="4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appreciation in fair value of investments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29,602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Interest and dividends</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10,111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investment income</w:t>
            </w:r>
          </w:p>
        </w:tc>
        <w:tc>
          <w:tcPr>
            <w:tcW w:w="4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Total additions</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117,641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143,508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217,909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34,596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4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00" w:type="dxa"/>
            <w:vAlign w:val="bottom"/>
          </w:tcPr>
          <w:p>
            <w:pPr>
              <w:ind w:left="800"/>
              <w:spacing w:after="0"/>
              <w:rPr>
                <w:sz w:val="20"/>
                <w:szCs w:val="20"/>
                <w:color w:val="auto"/>
              </w:rPr>
            </w:pPr>
            <w:r>
              <w:rPr>
                <w:rFonts w:ascii="Arial" w:cs="Arial" w:eastAsia="Arial" w:hAnsi="Arial"/>
                <w:sz w:val="18"/>
                <w:szCs w:val="18"/>
                <w:color w:val="auto"/>
              </w:rPr>
              <w:t>Total deductions</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219,372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35,799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(DECREASE) / INCREASE IN NET ASSETS</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(101,731)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107,709</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615,277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507,567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End of year</w:t>
            </w:r>
          </w:p>
        </w:tc>
        <w:tc>
          <w:tcPr>
            <w:tcW w:w="4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513,546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$ 615,277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20" w:type="dxa"/>
            <w:vAlign w:val="bottom"/>
            <w:gridSpan w:val="2"/>
            <w:vMerge w:val="continue"/>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560" w:type="dxa"/>
            <w:vAlign w:val="bottom"/>
          </w:tcPr>
          <w:p>
            <w:pPr>
              <w:jc w:val="right"/>
              <w:ind w:right="32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 PLASTICS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2006 AND 2005</w:t>
      </w:r>
    </w:p>
    <w:p>
      <w:pPr>
        <w:spacing w:after="0" w:line="9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134" w:lineRule="exact"/>
        <w:rPr>
          <w:rFonts w:ascii="Arial" w:cs="Arial" w:eastAsia="Arial" w:hAnsi="Arial"/>
          <w:sz w:val="18"/>
          <w:szCs w:val="18"/>
          <w:b w:val="1"/>
          <w:bCs w:val="1"/>
          <w:color w:val="auto"/>
        </w:rPr>
      </w:pPr>
    </w:p>
    <w:p>
      <w:pPr>
        <w:ind w:left="2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J.A.M. Plastics, Inc. 401(k) Profit Sharing Plan &amp; Trust (the “Plan”) is provided for general information purposes only. Participants should refer to the Plan document for more complete information.</w:t>
      </w:r>
    </w:p>
    <w:p>
      <w:pPr>
        <w:spacing w:after="0" w:line="71" w:lineRule="exact"/>
        <w:rPr>
          <w:rFonts w:ascii="Arial" w:cs="Arial" w:eastAsia="Arial" w:hAnsi="Arial"/>
          <w:sz w:val="18"/>
          <w:szCs w:val="18"/>
          <w:b w:val="1"/>
          <w:bCs w:val="1"/>
          <w:color w:val="auto"/>
        </w:rPr>
      </w:pPr>
    </w:p>
    <w:p>
      <w:pPr>
        <w:ind w:left="260" w:right="160"/>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b w:val="1"/>
          <w:bCs w:val="1"/>
          <w:color w:val="auto"/>
        </w:rPr>
        <w:t>—</w:t>
      </w:r>
      <w:r>
        <w:rPr>
          <w:rFonts w:ascii="Arial" w:cs="Arial" w:eastAsia="Arial" w:hAnsi="Arial"/>
          <w:sz w:val="16"/>
          <w:szCs w:val="16"/>
          <w:color w:val="auto"/>
        </w:rPr>
        <w:t>The Plan is a defined contribution plan covering all full-time employees of J.A.M. Plastics, Inc. (the “Company”) upon the date of hire.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controls and manages the operation and administration of the Plan. As of December 31, 2005, Paychex Retirement Services served as the Plan trustee and recordkeeper. Effective September 1, 2006, the Plan changed its trustee and recordkeeper to PNC Bank, N.A. (“PNC”).</w:t>
      </w:r>
    </w:p>
    <w:p>
      <w:pPr>
        <w:spacing w:after="0" w:line="51" w:lineRule="exact"/>
        <w:rPr>
          <w:rFonts w:ascii="Arial" w:cs="Arial" w:eastAsia="Arial" w:hAnsi="Arial"/>
          <w:sz w:val="18"/>
          <w:szCs w:val="18"/>
          <w:b w:val="1"/>
          <w:bCs w:val="1"/>
          <w:color w:val="auto"/>
        </w:rPr>
      </w:pPr>
    </w:p>
    <w:p>
      <w:pPr>
        <w:ind w:left="2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2006, PNC serves as the recordkeeper and custodian of the Plan. The Plan is subject to the provisions of the Employee Retirement Income Security Act of 1974 , as amended (“ERISA”).</w:t>
      </w:r>
    </w:p>
    <w:p>
      <w:pPr>
        <w:spacing w:after="0" w:line="71" w:lineRule="exact"/>
        <w:rPr>
          <w:rFonts w:ascii="Arial" w:cs="Arial" w:eastAsia="Arial" w:hAnsi="Arial"/>
          <w:sz w:val="18"/>
          <w:szCs w:val="18"/>
          <w:b w:val="1"/>
          <w:bCs w:val="1"/>
          <w:color w:val="auto"/>
        </w:rPr>
      </w:pPr>
    </w:p>
    <w:p>
      <w:pPr>
        <w:ind w:left="2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b w:val="1"/>
          <w:bCs w:val="1"/>
          <w:color w:val="auto"/>
        </w:rPr>
        <w:t>—</w:t>
      </w:r>
      <w:r>
        <w:rPr>
          <w:rFonts w:ascii="Arial" w:cs="Arial" w:eastAsia="Arial" w:hAnsi="Arial"/>
          <w:sz w:val="18"/>
          <w:szCs w:val="18"/>
          <w:color w:val="auto"/>
        </w:rPr>
        <w:t>Each year, participants may contribute up to 25% of their pre-tax annual compensation, as defined in the Plan, subject to certain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Code (“IRC”) limitations. Additional amounts may be contributed at the discretion of the Company’s board of directors. Discretionary contributions of $11,190 were made for the year ended December 31, 2006. Participants may also contribute amounts representing distributions from other qualified defined benefit or defined contribution plans.</w:t>
      </w:r>
    </w:p>
    <w:p>
      <w:pPr>
        <w:spacing w:after="0" w:line="85" w:lineRule="exact"/>
        <w:rPr>
          <w:rFonts w:ascii="Arial" w:cs="Arial" w:eastAsia="Arial" w:hAnsi="Arial"/>
          <w:sz w:val="18"/>
          <w:szCs w:val="18"/>
          <w:b w:val="1"/>
          <w:bCs w:val="1"/>
          <w:color w:val="auto"/>
        </w:rPr>
      </w:pPr>
    </w:p>
    <w:p>
      <w:pPr>
        <w:ind w:left="260" w:right="60"/>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Participant Accounts</w:t>
      </w:r>
      <w:r>
        <w:rPr>
          <w:rFonts w:ascii="Arial" w:cs="Arial" w:eastAsia="Arial" w:hAnsi="Arial"/>
          <w:sz w:val="17"/>
          <w:szCs w:val="17"/>
          <w:b w:val="1"/>
          <w:bCs w:val="1"/>
          <w:color w:val="auto"/>
        </w:rPr>
        <w:t>—</w:t>
      </w:r>
      <w:r>
        <w:rPr>
          <w:rFonts w:ascii="Arial" w:cs="Arial" w:eastAsia="Arial" w:hAnsi="Arial"/>
          <w:sz w:val="17"/>
          <w:szCs w:val="17"/>
          <w:color w:val="auto"/>
        </w:rPr>
        <w:t>Individual accounts are maintained for each Plan participant. Each participant’s account is credited with the participant’s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 and allocations of Company discretionary contributions, participant forfeitures and Plan earnings, and charged with withdrawals and an allocation of Plan losses and administrative expenses. Allocations are based on participant earnings or account balances, as defined in the Plan Document. The benefit to which a participant is entitled is the benefit that can be provided from the participant’s vested account.</w:t>
      </w:r>
    </w:p>
    <w:p>
      <w:pPr>
        <w:spacing w:after="0" w:line="70" w:lineRule="exact"/>
        <w:rPr>
          <w:rFonts w:ascii="Arial" w:cs="Arial" w:eastAsia="Arial" w:hAnsi="Arial"/>
          <w:sz w:val="18"/>
          <w:szCs w:val="18"/>
          <w:b w:val="1"/>
          <w:bCs w:val="1"/>
          <w:color w:val="auto"/>
        </w:rPr>
      </w:pPr>
    </w:p>
    <w:p>
      <w:pPr>
        <w:ind w:left="260" w:right="3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Participants direct the investment of their contributions into various investment options offered by the Plan. The Plan currently offers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investment options including twelve equity funds, one common collective trust fund, one bond fund, two money market funds, and Brady Corporation Class A Nonvoting Common Stock.</w:t>
      </w:r>
    </w:p>
    <w:p>
      <w:pPr>
        <w:spacing w:after="0" w:line="81" w:lineRule="exact"/>
        <w:rPr>
          <w:rFonts w:ascii="Arial" w:cs="Arial" w:eastAsia="Arial" w:hAnsi="Arial"/>
          <w:sz w:val="18"/>
          <w:szCs w:val="18"/>
          <w:b w:val="1"/>
          <w:bCs w:val="1"/>
          <w:color w:val="auto"/>
        </w:rPr>
      </w:pPr>
    </w:p>
    <w:p>
      <w:pPr>
        <w:jc w:val="both"/>
        <w:ind w:left="260" w:right="2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Vesting</w:t>
      </w:r>
      <w:r>
        <w:rPr>
          <w:rFonts w:ascii="Arial" w:cs="Arial" w:eastAsia="Arial" w:hAnsi="Arial"/>
          <w:sz w:val="18"/>
          <w:szCs w:val="18"/>
          <w:b w:val="1"/>
          <w:bCs w:val="1"/>
          <w:color w:val="auto"/>
        </w:rPr>
        <w:t>—</w:t>
      </w:r>
      <w:r>
        <w:rPr>
          <w:rFonts w:ascii="Arial" w:cs="Arial" w:eastAsia="Arial" w:hAnsi="Arial"/>
          <w:sz w:val="18"/>
          <w:szCs w:val="18"/>
          <w:color w:val="auto"/>
        </w:rPr>
        <w:t>Participants are vested immediately in their contributions plus actual earnings thereon. Vesting in the Company’s contribution portion of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is based on years of continuous service. A participant is vested based on the following vesting schedule: 0% at 1 year, 20% at 2 years, 40% at 3 years, 60% at 4 years, 80% at 5 years, and 100% at 6 years of service.</w:t>
      </w:r>
    </w:p>
    <w:p>
      <w:pPr>
        <w:spacing w:after="0" w:line="81" w:lineRule="exact"/>
        <w:rPr>
          <w:rFonts w:ascii="Arial" w:cs="Arial" w:eastAsia="Arial" w:hAnsi="Arial"/>
          <w:sz w:val="18"/>
          <w:szCs w:val="18"/>
          <w:b w:val="1"/>
          <w:bCs w:val="1"/>
          <w:color w:val="auto"/>
        </w:rPr>
      </w:pPr>
    </w:p>
    <w:p>
      <w:pPr>
        <w:ind w:left="260" w:right="20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Participant Loans</w:t>
      </w:r>
      <w:r>
        <w:rPr>
          <w:rFonts w:ascii="Arial" w:cs="Arial" w:eastAsia="Arial" w:hAnsi="Arial"/>
          <w:sz w:val="17"/>
          <w:szCs w:val="17"/>
          <w:b w:val="1"/>
          <w:bCs w:val="1"/>
          <w:color w:val="auto"/>
        </w:rPr>
        <w:t>—</w:t>
      </w:r>
      <w:r>
        <w:rPr>
          <w:rFonts w:ascii="Arial" w:cs="Arial" w:eastAsia="Arial" w:hAnsi="Arial"/>
          <w:sz w:val="17"/>
          <w:szCs w:val="17"/>
          <w:color w:val="auto"/>
        </w:rPr>
        <w:t>Participants may borrow from their fund. The loans are secured by the balance in the participant’s account and bear interest at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commensurate with local prevailing rates at the time funds are borrowed as determined quarterly by the Plan administrator. Interest rates range from 5.25% to 7.75% for outstanding loans as of December 31, 2006. Principal and interest is paid ratably through payroll deductions.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0" w:right="460"/>
        <w:spacing w:after="0" w:line="282" w:lineRule="auto"/>
        <w:rPr>
          <w:sz w:val="20"/>
          <w:szCs w:val="20"/>
          <w:color w:val="auto"/>
        </w:rPr>
      </w:pPr>
      <w:r>
        <w:rPr>
          <w:rFonts w:ascii="Arial" w:cs="Arial" w:eastAsia="Arial" w:hAnsi="Arial"/>
          <w:sz w:val="18"/>
          <w:szCs w:val="18"/>
          <w:b w:val="1"/>
          <w:bCs w:val="1"/>
          <w:i w:val="1"/>
          <w:iCs w:val="1"/>
          <w:color w:val="auto"/>
        </w:rPr>
        <w:t>Payment of Benefits</w:t>
      </w:r>
      <w:r>
        <w:rPr>
          <w:rFonts w:ascii="Arial" w:cs="Arial" w:eastAsia="Arial" w:hAnsi="Arial"/>
          <w:sz w:val="18"/>
          <w:szCs w:val="18"/>
          <w:b w:val="1"/>
          <w:bCs w:val="1"/>
          <w:color w:val="auto"/>
        </w:rPr>
        <w:t>—</w:t>
      </w:r>
      <w:r>
        <w:rPr>
          <w:rFonts w:ascii="Arial" w:cs="Arial" w:eastAsia="Arial" w:hAnsi="Arial"/>
          <w:sz w:val="18"/>
          <w:szCs w:val="18"/>
          <w:color w:val="auto"/>
        </w:rPr>
        <w:t>On termination of service, a participant may elect to receive a lump-sum amount equal to the value of the participant’s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 his or her account.</w:t>
      </w:r>
    </w:p>
    <w:p>
      <w:pPr>
        <w:spacing w:after="0" w:line="6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260" w:right="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Accounting</w:t>
      </w:r>
      <w:r>
        <w:rPr>
          <w:rFonts w:ascii="Arial" w:cs="Arial" w:eastAsia="Arial" w:hAnsi="Arial"/>
          <w:sz w:val="18"/>
          <w:szCs w:val="18"/>
          <w:b w:val="1"/>
          <w:bCs w:val="1"/>
          <w:color w:val="auto"/>
        </w:rPr>
        <w:t>—</w:t>
      </w:r>
      <w:r>
        <w:rPr>
          <w:rFonts w:ascii="Arial" w:cs="Arial" w:eastAsia="Arial" w:hAnsi="Arial"/>
          <w:sz w:val="18"/>
          <w:szCs w:val="18"/>
          <w:color w:val="auto"/>
        </w:rPr>
        <w:t>The accompanying financial statements have been prepared in accordance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w:t>
      </w:r>
    </w:p>
    <w:p>
      <w:pPr>
        <w:spacing w:after="0" w:line="71" w:lineRule="exact"/>
        <w:rPr>
          <w:rFonts w:ascii="Arial" w:cs="Arial" w:eastAsia="Arial" w:hAnsi="Arial"/>
          <w:sz w:val="18"/>
          <w:szCs w:val="18"/>
          <w:b w:val="1"/>
          <w:bCs w:val="1"/>
          <w:color w:val="auto"/>
        </w:rPr>
      </w:pPr>
    </w:p>
    <w:p>
      <w:pPr>
        <w:ind w:left="2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Adoption of New Accounting Guidance </w:t>
      </w:r>
      <w:r>
        <w:rPr>
          <w:rFonts w:ascii="Arial" w:cs="Arial" w:eastAsia="Arial" w:hAnsi="Arial"/>
          <w:sz w:val="18"/>
          <w:szCs w:val="18"/>
          <w:color w:val="auto"/>
        </w:rPr>
        <w:t>— The financial statements reflect the retroactive adoption of Financial Accounting Standards Board Staff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Position, FSP AAG INV-1 and SOP 94-4-1, </w:t>
      </w:r>
      <w:r>
        <w:rPr>
          <w:rFonts w:ascii="Arial" w:cs="Arial" w:eastAsia="Arial" w:hAnsi="Arial"/>
          <w:sz w:val="18"/>
          <w:szCs w:val="18"/>
          <w:i w:val="1"/>
          <w:iCs w:val="1"/>
          <w:color w:val="auto"/>
        </w:rPr>
        <w:t>Reporting of Fully Benefit-Responsive Contracts Held by Certain Investment Companies Subject to the AICPA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Company Guide and Defined-Contribution Health and Welfare and Pension Plans </w:t>
      </w:r>
      <w:r>
        <w:rPr>
          <w:rFonts w:ascii="Arial" w:cs="Arial" w:eastAsia="Arial" w:hAnsi="Arial"/>
          <w:sz w:val="18"/>
          <w:szCs w:val="18"/>
          <w:color w:val="auto"/>
        </w:rPr>
        <w:t>(the “FSP”). As required by the FSP, the statements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benefits present investment contracts at fair value, as well as an additional line item showing an adjustment of fully benefit-responsive contracts from fair value to contract value. The statements of changes in net assets available for benefits are presented on a contract value basis and were not affected by the adoption of the FSP. The adoption of the FSP did not impact the amount of net assets available for benefits at December 31, 2006 and 2005.</w:t>
      </w:r>
    </w:p>
    <w:p>
      <w:pPr>
        <w:spacing w:after="0" w:line="90" w:lineRule="exact"/>
        <w:rPr>
          <w:rFonts w:ascii="Arial" w:cs="Arial" w:eastAsia="Arial" w:hAnsi="Arial"/>
          <w:sz w:val="18"/>
          <w:szCs w:val="18"/>
          <w:b w:val="1"/>
          <w:bCs w:val="1"/>
          <w:color w:val="auto"/>
        </w:rPr>
      </w:pPr>
    </w:p>
    <w:p>
      <w:pPr>
        <w:ind w:left="260" w:right="2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Plan management to make estimates and assumptions that affect the reported amounts of net assets available for benefits and changes therein. Actual results could differ from those estimates.</w:t>
      </w:r>
    </w:p>
    <w:p>
      <w:pPr>
        <w:spacing w:after="0" w:line="81" w:lineRule="exact"/>
        <w:rPr>
          <w:rFonts w:ascii="Arial" w:cs="Arial" w:eastAsia="Arial" w:hAnsi="Arial"/>
          <w:sz w:val="18"/>
          <w:szCs w:val="18"/>
          <w:b w:val="1"/>
          <w:bCs w:val="1"/>
          <w:color w:val="auto"/>
        </w:rPr>
      </w:pPr>
    </w:p>
    <w:p>
      <w:pPr>
        <w:ind w:left="260" w:right="240"/>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Risks and Uncertainties</w:t>
      </w:r>
      <w:r>
        <w:rPr>
          <w:rFonts w:ascii="Arial" w:cs="Arial" w:eastAsia="Arial" w:hAnsi="Arial"/>
          <w:sz w:val="17"/>
          <w:szCs w:val="17"/>
          <w:b w:val="1"/>
          <w:bCs w:val="1"/>
          <w:color w:val="auto"/>
        </w:rPr>
        <w:t>—</w:t>
      </w:r>
      <w:r>
        <w:rPr>
          <w:rFonts w:ascii="Arial" w:cs="Arial" w:eastAsia="Arial" w:hAnsi="Arial"/>
          <w:sz w:val="17"/>
          <w:szCs w:val="17"/>
          <w:color w:val="auto"/>
        </w:rPr>
        <w:t>The Plan utilizes investment instruments including mutual funds, common stock and a common collective trust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securities, in general, are exposed to various risks, such as interest rate risk, credit risk,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70" w:lineRule="exact"/>
        <w:rPr>
          <w:rFonts w:ascii="Arial" w:cs="Arial" w:eastAsia="Arial" w:hAnsi="Arial"/>
          <w:sz w:val="18"/>
          <w:szCs w:val="18"/>
          <w:b w:val="1"/>
          <w:bCs w:val="1"/>
          <w:color w:val="auto"/>
        </w:rPr>
      </w:pPr>
    </w:p>
    <w:p>
      <w:pPr>
        <w:ind w:left="260" w:right="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Valuation and Income Recognition</w:t>
      </w:r>
      <w:r>
        <w:rPr>
          <w:rFonts w:ascii="Arial" w:cs="Arial" w:eastAsia="Arial" w:hAnsi="Arial"/>
          <w:sz w:val="18"/>
          <w:szCs w:val="18"/>
          <w:b w:val="1"/>
          <w:bCs w:val="1"/>
          <w:color w:val="auto"/>
        </w:rPr>
        <w:t>—</w:t>
      </w:r>
      <w:r>
        <w:rPr>
          <w:rFonts w:ascii="Arial" w:cs="Arial" w:eastAsia="Arial" w:hAnsi="Arial"/>
          <w:sz w:val="18"/>
          <w:szCs w:val="18"/>
          <w:color w:val="auto"/>
        </w:rPr>
        <w:t>The Plan’s investments are stated at fair value. Shares of mutual funds are valued at quoted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prices, which represent the net asset value of shares held by the Plan at year end. Common stock is valued at quoted market prices. The common collective trust fund with underlying investments in investment contracts is valued at fair market value of the underlying investments and then adjusted by the issuer to contract value. Participant loans are valued at the outstanding loan balances.</w:t>
      </w:r>
    </w:p>
    <w:p>
      <w:pPr>
        <w:spacing w:after="0" w:line="89" w:lineRule="exact"/>
        <w:rPr>
          <w:rFonts w:ascii="Arial" w:cs="Arial" w:eastAsia="Arial" w:hAnsi="Arial"/>
          <w:sz w:val="18"/>
          <w:szCs w:val="18"/>
          <w:b w:val="1"/>
          <w:bCs w:val="1"/>
          <w:color w:val="auto"/>
        </w:rPr>
      </w:pPr>
    </w:p>
    <w:p>
      <w:pPr>
        <w:ind w:left="260" w:righ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One of the investment options available in the Plan is the PNC Investment Contract Fund. The PNC Investment Contract Fund is a common collective trust that invests in fully benefit-responsive guaranteed investment contracts (“GICs”) and synthetic guaranteed investment contracts (“SGICs”). Participants may ordinarily direct the withdrawal or transfer of all or a portion of their investment at contract value. Contract value represents contributions made to the fund, plus earnings, less participant withdrawals.</w:t>
      </w:r>
    </w:p>
    <w:p>
      <w:pPr>
        <w:spacing w:after="0" w:line="92" w:lineRule="exact"/>
        <w:rPr>
          <w:rFonts w:ascii="Arial" w:cs="Arial" w:eastAsia="Arial" w:hAnsi="Arial"/>
          <w:sz w:val="18"/>
          <w:szCs w:val="18"/>
          <w:b w:val="1"/>
          <w:bCs w:val="1"/>
          <w:color w:val="auto"/>
        </w:rPr>
      </w:pPr>
    </w:p>
    <w:p>
      <w:pPr>
        <w:ind w:left="2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60" w:right="220"/>
        <w:spacing w:after="0" w:line="264" w:lineRule="auto"/>
        <w:rPr>
          <w:sz w:val="20"/>
          <w:szCs w:val="20"/>
          <w:color w:val="auto"/>
        </w:rPr>
      </w:pPr>
      <w:r>
        <w:rPr>
          <w:rFonts w:ascii="Arial" w:cs="Arial" w:eastAsia="Arial" w:hAnsi="Arial"/>
          <w:sz w:val="18"/>
          <w:szCs w:val="18"/>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net appreciation in the fair value for such investments.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Administrative Expenses</w:t>
      </w:r>
      <w:r>
        <w:rPr>
          <w:rFonts w:ascii="Arial" w:cs="Arial" w:eastAsia="Arial" w:hAnsi="Arial"/>
          <w:sz w:val="18"/>
          <w:szCs w:val="18"/>
          <w:b w:val="1"/>
          <w:bCs w:val="1"/>
          <w:color w:val="auto"/>
        </w:rPr>
        <w:t>—</w:t>
      </w:r>
      <w:r>
        <w:rPr>
          <w:rFonts w:ascii="Arial" w:cs="Arial" w:eastAsia="Arial" w:hAnsi="Arial"/>
          <w:sz w:val="18"/>
          <w:szCs w:val="18"/>
          <w:color w:val="auto"/>
        </w:rPr>
        <w:t>Administrative expenses of the Plan are paid by the Plan as provided in the Plan Document.</w:t>
      </w:r>
    </w:p>
    <w:p>
      <w:pPr>
        <w:spacing w:after="0" w:line="131" w:lineRule="exact"/>
        <w:rPr>
          <w:sz w:val="20"/>
          <w:szCs w:val="20"/>
          <w:color w:val="auto"/>
        </w:rPr>
      </w:pPr>
    </w:p>
    <w:p>
      <w:pPr>
        <w:ind w:left="260" w:right="60"/>
        <w:spacing w:after="0" w:line="282" w:lineRule="auto"/>
        <w:rPr>
          <w:sz w:val="20"/>
          <w:szCs w:val="20"/>
          <w:color w:val="auto"/>
        </w:rPr>
      </w:pPr>
      <w:r>
        <w:rPr>
          <w:rFonts w:ascii="Arial" w:cs="Arial" w:eastAsia="Arial" w:hAnsi="Arial"/>
          <w:sz w:val="18"/>
          <w:szCs w:val="18"/>
          <w:b w:val="1"/>
          <w:bCs w:val="1"/>
          <w:i w:val="1"/>
          <w:iCs w:val="1"/>
          <w:color w:val="auto"/>
        </w:rPr>
        <w:t>Payment of Benefits</w:t>
      </w:r>
      <w:r>
        <w:rPr>
          <w:rFonts w:ascii="Arial" w:cs="Arial" w:eastAsia="Arial" w:hAnsi="Arial"/>
          <w:sz w:val="18"/>
          <w:szCs w:val="18"/>
          <w:b w:val="1"/>
          <w:bCs w:val="1"/>
          <w:color w:val="auto"/>
        </w:rPr>
        <w:t>—</w:t>
      </w:r>
      <w:r>
        <w:rPr>
          <w:rFonts w:ascii="Arial" w:cs="Arial" w:eastAsia="Arial" w:hAnsi="Arial"/>
          <w:sz w:val="18"/>
          <w:szCs w:val="18"/>
          <w:color w:val="auto"/>
        </w:rPr>
        <w:t>Benefit payments to participants are recorded upon distribution. There were no amounts allocated to accounts of persons who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to withdraw from the Plan but have not yet been paid as of December 31, 2006 and 2005.</w:t>
      </w:r>
    </w:p>
    <w:p>
      <w:pPr>
        <w:spacing w:after="0" w:line="6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The Plan’s investments that represented 5% or more of the Plan’s net assets available for benefits as of December 31, 2006 and 2005,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4280" w:type="dxa"/>
            <w:vAlign w:val="bottom"/>
          </w:tcPr>
          <w:p>
            <w:pPr>
              <w:jc w:val="right"/>
              <w:ind w:right="593"/>
              <w:spacing w:after="0"/>
              <w:rPr>
                <w:sz w:val="20"/>
                <w:szCs w:val="20"/>
                <w:color w:val="auto"/>
              </w:rPr>
            </w:pPr>
            <w:r>
              <w:rPr>
                <w:rFonts w:ascii="Arial" w:cs="Arial" w:eastAsia="Arial" w:hAnsi="Arial"/>
                <w:sz w:val="14"/>
                <w:szCs w:val="14"/>
                <w:b w:val="1"/>
                <w:bCs w:val="1"/>
                <w:color w:val="auto"/>
              </w:rPr>
              <w:t>2006</w:t>
            </w:r>
          </w:p>
        </w:tc>
        <w:tc>
          <w:tcPr>
            <w:tcW w:w="140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Fidelity Adv Equity Growth I</w:t>
            </w:r>
          </w:p>
        </w:tc>
        <w:tc>
          <w:tcPr>
            <w:tcW w:w="4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$171,048</w:t>
            </w:r>
          </w:p>
        </w:tc>
        <w:tc>
          <w:tcPr>
            <w:tcW w:w="14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$134,575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LSV Value Equity Fund</w:t>
            </w:r>
          </w:p>
        </w:tc>
        <w:tc>
          <w:tcPr>
            <w:tcW w:w="4280" w:type="dxa"/>
            <w:vAlign w:val="bottom"/>
          </w:tcPr>
          <w:p>
            <w:pPr>
              <w:jc w:val="right"/>
              <w:ind w:right="433"/>
              <w:spacing w:after="0"/>
              <w:rPr>
                <w:sz w:val="20"/>
                <w:szCs w:val="20"/>
                <w:color w:val="auto"/>
              </w:rPr>
            </w:pPr>
            <w:r>
              <w:rPr>
                <w:rFonts w:ascii="Arial" w:cs="Arial" w:eastAsia="Arial" w:hAnsi="Arial"/>
                <w:sz w:val="18"/>
                <w:szCs w:val="18"/>
                <w:color w:val="auto"/>
              </w:rPr>
              <w:t>101,530</w:t>
            </w: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100,534</w:t>
            </w:r>
          </w:p>
        </w:tc>
        <w:tc>
          <w:tcPr>
            <w:tcW w:w="3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Fidelity Intermediate Bond</w:t>
            </w:r>
          </w:p>
        </w:tc>
        <w:tc>
          <w:tcPr>
            <w:tcW w:w="4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89,024</w:t>
            </w:r>
          </w:p>
        </w:tc>
        <w:tc>
          <w:tcPr>
            <w:tcW w:w="14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68,989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 Rowe Retirement 2010 Retail</w:t>
            </w:r>
          </w:p>
        </w:tc>
        <w:tc>
          <w:tcPr>
            <w:tcW w:w="4280" w:type="dxa"/>
            <w:vAlign w:val="bottom"/>
          </w:tcPr>
          <w:p>
            <w:pPr>
              <w:jc w:val="right"/>
              <w:ind w:right="433"/>
              <w:spacing w:after="0"/>
              <w:rPr>
                <w:sz w:val="20"/>
                <w:szCs w:val="20"/>
                <w:color w:val="auto"/>
              </w:rPr>
            </w:pPr>
            <w:r>
              <w:rPr>
                <w:rFonts w:ascii="Arial" w:cs="Arial" w:eastAsia="Arial" w:hAnsi="Arial"/>
                <w:sz w:val="18"/>
                <w:szCs w:val="18"/>
                <w:color w:val="auto"/>
              </w:rPr>
              <w:t>68,060</w:t>
            </w: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Intl Fund</w:t>
            </w:r>
          </w:p>
        </w:tc>
        <w:tc>
          <w:tcPr>
            <w:tcW w:w="4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29,509</w:t>
            </w:r>
          </w:p>
        </w:tc>
        <w:tc>
          <w:tcPr>
            <w:tcW w:w="14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17" w:lineRule="exact"/>
        <w:rPr>
          <w:rFonts w:ascii="Arial" w:cs="Arial" w:eastAsia="Arial" w:hAnsi="Arial"/>
          <w:sz w:val="18"/>
          <w:szCs w:val="18"/>
          <w:color w:val="auto"/>
        </w:rPr>
      </w:pPr>
    </w:p>
    <w:p>
      <w:pPr>
        <w:ind w:left="220" w:right="60"/>
        <w:spacing w:after="0" w:line="277" w:lineRule="auto"/>
        <w:rPr>
          <w:rFonts w:ascii="Arial" w:cs="Arial" w:eastAsia="Arial" w:hAnsi="Arial"/>
          <w:sz w:val="18"/>
          <w:szCs w:val="18"/>
          <w:color w:val="auto"/>
        </w:rPr>
      </w:pPr>
      <w:r>
        <w:rPr>
          <w:rFonts w:ascii="Arial" w:cs="Arial" w:eastAsia="Arial" w:hAnsi="Arial"/>
          <w:sz w:val="18"/>
          <w:szCs w:val="18"/>
          <w:color w:val="auto"/>
        </w:rPr>
        <w:t>During the year ended December 31, 2006, the Plan’s mutual fund investments (including gains and losses on investments bought and sold, as well as held during the year) appreciated in value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funds</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29,449</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Bond fund</w:t>
            </w: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02"/>
        </w:trPr>
        <w:tc>
          <w:tcPr>
            <w:tcW w:w="70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appreciation in fair value of investments</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29,602</w:t>
            </w:r>
          </w:p>
        </w:tc>
      </w:tr>
      <w:tr>
        <w:trPr>
          <w:trHeight w:val="20"/>
        </w:trPr>
        <w:tc>
          <w:tcPr>
            <w:tcW w:w="7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34" w:lineRule="exact"/>
        <w:rPr>
          <w:rFonts w:ascii="Arial" w:cs="Arial" w:eastAsia="Arial" w:hAnsi="Arial"/>
          <w:sz w:val="18"/>
          <w:szCs w:val="18"/>
          <w:b w:val="1"/>
          <w:bCs w:val="1"/>
          <w:color w:val="auto"/>
        </w:rPr>
      </w:pPr>
    </w:p>
    <w:p>
      <w:pPr>
        <w:ind w:left="2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intention to do so, the Company has the right under the Plan to discontinue its contributions at any time and to terminate the Plan subject to the provisions set forth in ERISA. In the event that the Plan is terminated, participants would become 100% vested in their accounts.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 STATUS</w:t>
      </w:r>
    </w:p>
    <w:p>
      <w:pPr>
        <w:spacing w:after="0" w:line="134" w:lineRule="exact"/>
        <w:rPr>
          <w:rFonts w:ascii="Arial" w:cs="Arial" w:eastAsia="Arial" w:hAnsi="Arial"/>
          <w:sz w:val="18"/>
          <w:szCs w:val="18"/>
          <w:b w:val="1"/>
          <w:bCs w:val="1"/>
          <w:color w:val="auto"/>
        </w:rPr>
      </w:pPr>
    </w:p>
    <w:p>
      <w:pPr>
        <w:ind w:left="2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Plan uses a prototype plan document sponsored by PNC. PNC received an opinion letter from the Internal Revenue Service (“IRS”), dated November 11, 2001,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72" w:lineRule="exact"/>
        <w:rPr>
          <w:rFonts w:ascii="Arial" w:cs="Arial" w:eastAsia="Arial" w:hAnsi="Arial"/>
          <w:sz w:val="18"/>
          <w:szCs w:val="18"/>
          <w:b w:val="1"/>
          <w:bCs w:val="1"/>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134" w:lineRule="exact"/>
        <w:rPr>
          <w:rFonts w:ascii="Arial" w:cs="Arial" w:eastAsia="Arial" w:hAnsi="Arial"/>
          <w:sz w:val="18"/>
          <w:szCs w:val="18"/>
          <w:b w:val="1"/>
          <w:bCs w:val="1"/>
          <w:color w:val="auto"/>
        </w:rPr>
      </w:pPr>
    </w:p>
    <w:p>
      <w:pPr>
        <w:jc w:val="both"/>
        <w:ind w:left="260" w:right="3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Plan invests in Company common stock. In addition, certain plan investments represent shares of mutual funds and common collective trust funds managed by the custodian. These transactions are considered party-in-interest transactions. These transactions are not, however, considered prohibited transactions under ERISA regulations. Fees paid by the Plan for investment management services were included as a reduction of the return earned on each fund. At December 31, 2006 and 2005, the Plan held no shares of Brady Corporation Common Stock.</w:t>
      </w:r>
    </w:p>
    <w:p>
      <w:pPr>
        <w:spacing w:after="0" w:line="72" w:lineRule="exact"/>
        <w:rPr>
          <w:rFonts w:ascii="Arial" w:cs="Arial" w:eastAsia="Arial" w:hAnsi="Arial"/>
          <w:sz w:val="18"/>
          <w:szCs w:val="18"/>
          <w:b w:val="1"/>
          <w:bCs w:val="1"/>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TO FORM 5500</w:t>
      </w:r>
    </w:p>
    <w:p>
      <w:pPr>
        <w:spacing w:after="0" w:line="134" w:lineRule="exact"/>
        <w:rPr>
          <w:rFonts w:ascii="Arial" w:cs="Arial" w:eastAsia="Arial" w:hAnsi="Arial"/>
          <w:sz w:val="18"/>
          <w:szCs w:val="18"/>
          <w:b w:val="1"/>
          <w:bCs w:val="1"/>
          <w:color w:val="auto"/>
        </w:rPr>
      </w:pPr>
    </w:p>
    <w:p>
      <w:pPr>
        <w:ind w:left="2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Plan’s Form 5500 is prepared on a cash basis, and thus does not include the employer contributions receivable, as reported in the accompanying financial statements. The following table reconciles net assets available for benefits per the financial statements to the Plan’s Form 5500 to be filed by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financial statements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$ 513,546</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Adjustments: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 receivable</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(11,190)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Amounts reported per Form 5500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$ 502,356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$ 601,305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reconciles the decrease in net assets available for benefits per the financial statements to the Form 5500 to be filed by the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Amount reported per financial statement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(101,731)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employer contributions to adjust from accrual basis to cash basis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60" w:type="dxa"/>
            <w:vAlign w:val="bottom"/>
            <w:gridSpan w:val="2"/>
          </w:tcPr>
          <w:p>
            <w:pPr>
              <w:spacing w:after="0"/>
              <w:rPr>
                <w:sz w:val="20"/>
                <w:szCs w:val="20"/>
                <w:color w:val="auto"/>
              </w:rPr>
            </w:pPr>
            <w:r>
              <w:rPr>
                <w:rFonts w:ascii="Arial" w:cs="Arial" w:eastAsia="Arial" w:hAnsi="Arial"/>
                <w:sz w:val="18"/>
                <w:szCs w:val="18"/>
                <w:color w:val="auto"/>
              </w:rPr>
              <w:t>Amount reported per Form 5500</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(98,949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SUPPLEMENTAL SCHEDULE</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FURNISHED PURSUANT TO THE</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DEPARTMENT OF LABOR’S RULES AND REGULATIONS</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 PLASTICS 401(k)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5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5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5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Fidelity Advisors Equity Growth Fund</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$ 171,048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LSV Value Equity Fund</w:t>
            </w:r>
          </w:p>
        </w:tc>
        <w:tc>
          <w:tcPr>
            <w:tcW w:w="6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T Rowe Price Retirement 2010</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68,060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Fidelity Diversified International Fund</w:t>
            </w:r>
          </w:p>
        </w:tc>
        <w:tc>
          <w:tcPr>
            <w:tcW w:w="6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Blackrock Small Cap Growth Equity Portfolio*</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19,095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Vanguard Institutional Index Fund</w:t>
            </w:r>
          </w:p>
        </w:tc>
        <w:tc>
          <w:tcPr>
            <w:tcW w:w="6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MFS Emerging Markets Equity Fund</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American Century Small Cap Value Fund</w:t>
            </w:r>
          </w:p>
        </w:tc>
        <w:tc>
          <w:tcPr>
            <w:tcW w:w="6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T Rowe Price Retirement 2020</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 Rowe Price Retirement 2030</w:t>
            </w:r>
          </w:p>
        </w:tc>
        <w:tc>
          <w:tcPr>
            <w:tcW w:w="6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T Rowe Price Retirement 2040</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PIMCO Commodity Real Return</w:t>
            </w:r>
          </w:p>
        </w:tc>
        <w:tc>
          <w:tcPr>
            <w:tcW w:w="5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397,360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COLLECTIVE TRUST FUND:</w:t>
            </w:r>
          </w:p>
        </w:tc>
        <w:tc>
          <w:tcPr>
            <w:tcW w:w="5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PNC Investment Contract Fund*</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FUND:</w:t>
            </w:r>
          </w:p>
        </w:tc>
        <w:tc>
          <w:tcPr>
            <w:tcW w:w="5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Fidelity Advisors Intermediate Bond Fund</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89,024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5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00"/>
              <w:spacing w:after="0"/>
              <w:rPr>
                <w:sz w:val="20"/>
                <w:szCs w:val="20"/>
                <w:color w:val="auto"/>
              </w:rPr>
            </w:pPr>
            <w:r>
              <w:rPr>
                <w:rFonts w:ascii="Arial" w:cs="Arial" w:eastAsia="Arial" w:hAnsi="Arial"/>
                <w:sz w:val="18"/>
                <w:szCs w:val="18"/>
                <w:color w:val="auto"/>
              </w:rPr>
              <w:t>Blackrock Money Market Portfolio*</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Brady Stock Liquidity Fund*</w:t>
            </w:r>
          </w:p>
        </w:tc>
        <w:tc>
          <w:tcPr>
            <w:tcW w:w="5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PARTICIPANT LOANS—At various rates; due through 2020*</w:t>
            </w:r>
          </w:p>
        </w:tc>
        <w:tc>
          <w:tcPr>
            <w:tcW w:w="5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60" w:type="dxa"/>
            <w:vAlign w:val="bottom"/>
            <w:gridSpan w:val="2"/>
          </w:tcPr>
          <w:p>
            <w:pPr>
              <w:ind w:left="600"/>
              <w:spacing w:after="0"/>
              <w:rPr>
                <w:sz w:val="20"/>
                <w:szCs w:val="20"/>
                <w:color w:val="auto"/>
              </w:rPr>
            </w:pPr>
            <w:r>
              <w:rPr>
                <w:rFonts w:ascii="Arial" w:cs="Arial" w:eastAsia="Arial" w:hAnsi="Arial"/>
                <w:sz w:val="18"/>
                <w:szCs w:val="18"/>
                <w:color w:val="auto"/>
              </w:rPr>
              <w:t>TOTAL ASSETS (HELD AT END OF YEAR)</w:t>
            </w:r>
          </w:p>
        </w:tc>
        <w:tc>
          <w:tcPr>
            <w:tcW w:w="6340" w:type="dxa"/>
            <w:vAlign w:val="bottom"/>
            <w:gridSpan w:val="3"/>
          </w:tcPr>
          <w:p>
            <w:pPr>
              <w:jc w:val="right"/>
              <w:ind w:right="100"/>
              <w:spacing w:after="0"/>
              <w:rPr>
                <w:sz w:val="20"/>
                <w:szCs w:val="20"/>
                <w:color w:val="auto"/>
              </w:rPr>
            </w:pPr>
            <w:r>
              <w:rPr>
                <w:rFonts w:ascii="Arial" w:cs="Arial" w:eastAsia="Arial" w:hAnsi="Arial"/>
                <w:sz w:val="18"/>
                <w:szCs w:val="18"/>
                <w:color w:val="auto"/>
              </w:rPr>
              <w:t>$ 501,701</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80" w:type="dxa"/>
            <w:vAlign w:val="bottom"/>
            <w:gridSpan w:val="3"/>
          </w:tcPr>
          <w:p>
            <w:pPr>
              <w:spacing w:after="0"/>
              <w:rPr>
                <w:sz w:val="20"/>
                <w:szCs w:val="20"/>
                <w:color w:val="auto"/>
              </w:rPr>
            </w:pPr>
            <w:r>
              <w:rPr>
                <w:rFonts w:ascii="Arial" w:cs="Arial" w:eastAsia="Arial" w:hAnsi="Arial"/>
                <w:sz w:val="18"/>
                <w:szCs w:val="18"/>
                <w:color w:val="auto"/>
              </w:rPr>
              <w:t>*  Party-in-interest.</w:t>
            </w:r>
          </w:p>
        </w:tc>
        <w:tc>
          <w:tcPr>
            <w:tcW w:w="5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520" w:type="dxa"/>
            <w:vAlign w:val="bottom"/>
          </w:tcPr>
          <w:p>
            <w:pPr>
              <w:jc w:val="right"/>
              <w:ind w:right="4690"/>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duly caused this annual report to be signed on its behalf by the undersigned hereunto duly authorized.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J.A.M. PLASTICS, INC. 401(k) PROFIT SHARING PLAN &amp;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29, 2007</w:t>
      </w:r>
      <w:r>
        <w:rPr>
          <w:sz w:val="20"/>
          <w:szCs w:val="20"/>
          <w:color w:val="auto"/>
        </w:rPr>
        <w:tab/>
      </w:r>
      <w:r>
        <w:rPr>
          <w:rFonts w:ascii="Arial" w:cs="Arial" w:eastAsia="Arial" w:hAnsi="Arial"/>
          <w:sz w:val="16"/>
          <w:szCs w:val="16"/>
          <w:color w:val="auto"/>
        </w:rPr>
        <w:t>/s/ GARY VOSE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3284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Vose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Plan Administrative Committee Member</w:t>
      </w:r>
    </w:p>
    <w:sectPr>
      <w:pgSz w:w="11900" w:h="16838" w:orient="portrait"/>
      <w:cols w:equalWidth="0" w:num="1">
        <w:col w:w="11220"/>
      </w:cols>
      <w:pgMar w:left="240" w:top="41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2019-12-13T14:13:25Z</dcterms:created>
  <dcterms:modified xsi:type="dcterms:W3CDTF">2019-12-13T14:13:25Z</dcterms:modified>
</cp:coreProperties>
</file>