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24866.xml.htm"/>
      <w:bookmarkStart w:id="1" w:name="kswkform4_1791224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Barker David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6555 W GOOD HOPE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BRADY CORP</w:t>
              </w:r>
            </w:hyperlink>
            <w:r>
              <w:rPr/>
              <w:t xml:space="preserve"> [ </w:t>
            </w:r>
            <w:r>
              <w:rPr>
                <w:rFonts w:ascii="Times;serif" w:hAnsi="Times;serif"/>
                <w:color w:val="0000FF"/>
                <w:sz w:val="24"/>
                <w:shd w:fill="FFFFFF" w:val="clear"/>
              </w:rPr>
              <w:t>BRC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5,869</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which vest one third each year for the three years subsequent to the grant date. Upon vesting, each restricted stock unit will be settled solely by delivery of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Knueppel,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846" TargetMode="External"/><Relationship Id="rId5" Type="http://schemas.openxmlformats.org/officeDocument/2006/relationships/hyperlink" Target="http://www.sec.gov/cgi-bin/browse-edgar?action=getcompany&amp;CIK=00007465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3256</Characters>
  <CharactersWithSpaces>3792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