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40005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50800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November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52070</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BRADY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8" w:lineRule="exact"/>
        <w:rPr>
          <w:sz w:val="24"/>
          <w:szCs w:val="24"/>
          <w:color w:val="auto"/>
        </w:rPr>
      </w:pPr>
    </w:p>
    <w:tbl>
      <w:tblPr>
        <w:tblLayout w:type="fixed"/>
        <w:tblInd w:w="152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Arial" w:cs="Arial" w:eastAsia="Arial" w:hAnsi="Arial"/>
                <w:sz w:val="12"/>
                <w:szCs w:val="12"/>
                <w:b w:val="1"/>
                <w:bCs w:val="1"/>
                <w:color w:val="auto"/>
                <w:w w:val="90"/>
              </w:rPr>
              <w:t>Commission File Number 1-14959</w:t>
            </w:r>
          </w:p>
        </w:tc>
      </w:tr>
      <w:tr>
        <w:trPr>
          <w:trHeight w:val="265"/>
        </w:trPr>
        <w:tc>
          <w:tcPr>
            <w:tcW w:w="2840" w:type="dxa"/>
            <w:vAlign w:val="bottom"/>
          </w:tcPr>
          <w:p>
            <w:pPr>
              <w:jc w:val="center"/>
              <w:ind w:right="306"/>
              <w:spacing w:after="0"/>
              <w:rPr>
                <w:sz w:val="20"/>
                <w:szCs w:val="20"/>
                <w:color w:val="auto"/>
              </w:rPr>
            </w:pPr>
            <w:r>
              <w:rPr>
                <w:rFonts w:ascii="Arial" w:cs="Arial" w:eastAsia="Arial" w:hAnsi="Arial"/>
                <w:sz w:val="12"/>
                <w:szCs w:val="12"/>
                <w:b w:val="1"/>
                <w:bCs w:val="1"/>
                <w:color w:val="auto"/>
                <w:w w:val="86"/>
              </w:rPr>
              <w:t>Wisconsin</w:t>
            </w:r>
          </w:p>
        </w:tc>
        <w:tc>
          <w:tcPr>
            <w:tcW w:w="4920" w:type="dxa"/>
            <w:vAlign w:val="bottom"/>
            <w:gridSpan w:val="2"/>
          </w:tcPr>
          <w:p>
            <w:pPr>
              <w:jc w:val="right"/>
              <w:ind w:right="372"/>
              <w:spacing w:after="0"/>
              <w:rPr>
                <w:sz w:val="20"/>
                <w:szCs w:val="20"/>
                <w:color w:val="auto"/>
              </w:rPr>
            </w:pPr>
            <w:r>
              <w:rPr>
                <w:rFonts w:ascii="Arial" w:cs="Arial" w:eastAsia="Arial" w:hAnsi="Arial"/>
                <w:sz w:val="12"/>
                <w:szCs w:val="12"/>
                <w:b w:val="1"/>
                <w:bCs w:val="1"/>
                <w:color w:val="auto"/>
              </w:rPr>
              <w:t>39-0178960</w:t>
            </w:r>
          </w:p>
        </w:tc>
      </w:tr>
      <w:tr>
        <w:trPr>
          <w:trHeight w:val="123"/>
        </w:trPr>
        <w:tc>
          <w:tcPr>
            <w:tcW w:w="2840" w:type="dxa"/>
            <w:vAlign w:val="bottom"/>
          </w:tcPr>
          <w:p>
            <w:pPr>
              <w:jc w:val="center"/>
              <w:ind w:right="306"/>
              <w:spacing w:after="0"/>
              <w:rPr>
                <w:sz w:val="20"/>
                <w:szCs w:val="20"/>
                <w:color w:val="auto"/>
              </w:rPr>
            </w:pPr>
            <w:r>
              <w:rPr>
                <w:rFonts w:ascii="Arial" w:cs="Arial" w:eastAsia="Arial" w:hAnsi="Arial"/>
                <w:sz w:val="10"/>
                <w:szCs w:val="10"/>
                <w:b w:val="1"/>
                <w:bCs w:val="1"/>
                <w:color w:val="auto"/>
                <w:w w:val="87"/>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74"/>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8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2"/>
                <w:szCs w:val="12"/>
                <w:b w:val="1"/>
                <w:bCs w:val="1"/>
                <w:color w:val="auto"/>
                <w:w w:val="90"/>
              </w:rPr>
              <w:t>Milwaukee, Wisconsin 53223</w:t>
            </w: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5"/>
              </w:rPr>
              <w:t>(Address of principal executive offices and Zip Code)</w:t>
            </w:r>
          </w:p>
        </w:tc>
      </w:tr>
      <w:tr>
        <w:trPr>
          <w:trHeight w:val="210"/>
        </w:trPr>
        <w:tc>
          <w:tcPr>
            <w:tcW w:w="28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w w:val="92"/>
              </w:rPr>
              <w:t>(414) 358-6600</w:t>
            </w:r>
          </w:p>
        </w:tc>
        <w:tc>
          <w:tcPr>
            <w:tcW w:w="2400" w:type="dxa"/>
            <w:vAlign w:val="bottom"/>
          </w:tcPr>
          <w:p>
            <w:pPr>
              <w:spacing w:after="0"/>
              <w:rPr>
                <w:sz w:val="18"/>
                <w:szCs w:val="18"/>
                <w:color w:val="auto"/>
              </w:rPr>
            </w:pPr>
          </w:p>
        </w:tc>
      </w:tr>
      <w:tr>
        <w:trPr>
          <w:trHeight w:val="123"/>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Arial" w:cs="Arial" w:eastAsia="Arial" w:hAnsi="Arial"/>
                <w:sz w:val="10"/>
                <w:szCs w:val="10"/>
                <w:b w:val="1"/>
                <w:bCs w:val="1"/>
                <w:color w:val="auto"/>
                <w:w w:val="86"/>
              </w:rPr>
              <w:t>(Registrant’s Telephone Number)</w:t>
            </w:r>
          </w:p>
        </w:tc>
      </w:tr>
      <w:tr>
        <w:trPr>
          <w:trHeight w:val="62"/>
        </w:trPr>
        <w:tc>
          <w:tcPr>
            <w:tcW w:w="28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44"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r>
    </w:tbl>
    <w:p>
      <w:pPr>
        <w:spacing w:after="0" w:line="144" w:lineRule="exact"/>
        <w:rPr>
          <w:sz w:val="24"/>
          <w:szCs w:val="24"/>
          <w:color w:val="auto"/>
        </w:rPr>
      </w:pPr>
    </w:p>
    <w:p>
      <w:pPr>
        <w:jc w:val="both"/>
        <w:ind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right="20"/>
        <w:spacing w:after="0" w:line="17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339725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16, 2023, Brady Corporation (the “Company”) issued a press release announcing its fiscal 2024 first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5.07</w:t>
      </w:r>
      <w:r>
        <w:rPr>
          <w:sz w:val="20"/>
          <w:szCs w:val="20"/>
          <w:color w:val="auto"/>
        </w:rPr>
        <w:tab/>
      </w:r>
      <w:r>
        <w:rPr>
          <w:rFonts w:ascii="Arial" w:cs="Arial" w:eastAsia="Arial" w:hAnsi="Arial"/>
          <w:sz w:val="11"/>
          <w:szCs w:val="11"/>
          <w:color w:val="auto"/>
        </w:rPr>
        <w:t>SUBMISSIONS OF MATTERS TO A VOTE OF SECURITY HOLDERS</w:t>
      </w:r>
    </w:p>
    <w:p>
      <w:pPr>
        <w:spacing w:after="0" w:line="222"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15, 2023,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Patrick W. Allender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David S. Bem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Elizabeth P. Bruno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Joanne Collins Smee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Nancy L. Gioia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Vineet Nargolwala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Bradley C. Richardson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Russell R. Shaller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Michelle E. Williams</w:t>
      </w:r>
    </w:p>
    <w:p>
      <w:pPr>
        <w:spacing w:after="0" w:line="294"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23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November 16, 2023, the Company hosted a conference call related to its fiscal 2024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80" w:type="dxa"/>
            <w:vAlign w:val="bottom"/>
          </w:tcPr>
          <w:p>
            <w:pPr>
              <w:spacing w:after="0"/>
              <w:rPr>
                <w:sz w:val="20"/>
                <w:szCs w:val="20"/>
                <w:color w:val="auto"/>
              </w:rPr>
            </w:pPr>
            <w:r>
              <w:rPr>
                <w:rFonts w:ascii="Arial" w:cs="Arial" w:eastAsia="Arial" w:hAnsi="Arial"/>
                <w:sz w:val="12"/>
                <w:szCs w:val="12"/>
                <w:color w:val="auto"/>
              </w:rPr>
              <w:t>(d) Exhibits</w:t>
            </w:r>
          </w:p>
        </w:tc>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DESCRIPTION</w:t>
            </w:r>
          </w:p>
        </w:tc>
      </w:tr>
      <w:tr>
        <w:trPr>
          <w:trHeight w:val="169"/>
        </w:trPr>
        <w:tc>
          <w:tcPr>
            <w:tcW w:w="1180" w:type="dxa"/>
            <w:vAlign w:val="bottom"/>
          </w:tcPr>
          <w:p>
            <w:pPr>
              <w:spacing w:after="0"/>
              <w:rPr>
                <w:sz w:val="20"/>
                <w:szCs w:val="20"/>
                <w:color w:val="auto"/>
              </w:rPr>
            </w:pPr>
            <w:r>
              <w:rPr>
                <w:rFonts w:ascii="Arial" w:cs="Arial" w:eastAsia="Arial" w:hAnsi="Arial"/>
                <w:sz w:val="12"/>
                <w:szCs w:val="12"/>
                <w:color w:val="auto"/>
              </w:rPr>
              <w:t>99.1</w:t>
            </w:r>
          </w:p>
        </w:tc>
        <w:tc>
          <w:tcPr>
            <w:tcW w:w="10120" w:type="dxa"/>
            <w:vAlign w:val="bottom"/>
            <w:gridSpan w:val="3"/>
          </w:tcPr>
          <w:p>
            <w:pPr>
              <w:spacing w:after="0"/>
              <w:rPr>
                <w:sz w:val="20"/>
                <w:szCs w:val="20"/>
                <w:color w:val="auto"/>
              </w:rPr>
            </w:pPr>
            <w:r>
              <w:rPr>
                <w:rFonts w:ascii="Arial" w:cs="Arial" w:eastAsia="Arial" w:hAnsi="Arial"/>
                <w:sz w:val="12"/>
                <w:szCs w:val="12"/>
                <w:color w:val="0000FF"/>
              </w:rPr>
              <w:t>Press Release of Brady Corporation, dated November 16, 2023, relating to first quarter fiscal 2024 financial results.</w:t>
            </w:r>
          </w:p>
        </w:tc>
      </w:tr>
      <w:tr>
        <w:trPr>
          <w:trHeight w:val="20"/>
        </w:trPr>
        <w:tc>
          <w:tcPr>
            <w:tcW w:w="118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99.2</w:t>
            </w:r>
          </w:p>
        </w:tc>
        <w:tc>
          <w:tcPr>
            <w:tcW w:w="10120" w:type="dxa"/>
            <w:vAlign w:val="bottom"/>
            <w:gridSpan w:val="3"/>
          </w:tcPr>
          <w:p>
            <w:pPr>
              <w:spacing w:after="0"/>
              <w:rPr>
                <w:sz w:val="20"/>
                <w:szCs w:val="20"/>
                <w:color w:val="auto"/>
              </w:rPr>
            </w:pPr>
            <w:r>
              <w:rPr>
                <w:rFonts w:ascii="Arial" w:cs="Arial" w:eastAsia="Arial" w:hAnsi="Arial"/>
                <w:sz w:val="12"/>
                <w:szCs w:val="12"/>
                <w:color w:val="0000FF"/>
              </w:rPr>
              <w:t>Informational slides provided by Brady Corporation, dated November 16, 2023, relating to first quarter fiscal 2024 financial results.</w:t>
            </w:r>
          </w:p>
        </w:tc>
      </w:tr>
      <w:tr>
        <w:trPr>
          <w:trHeight w:val="223"/>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632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Cover Page Interactive Data File (embedded within Inline XBRL document).</w:t>
            </w:r>
          </w:p>
        </w:tc>
        <w:tc>
          <w:tcPr>
            <w:tcW w:w="3800" w:type="dxa"/>
            <w:vAlign w:val="bottom"/>
          </w:tcPr>
          <w:p>
            <w:pPr>
              <w:spacing w:after="0"/>
              <w:rPr>
                <w:sz w:val="19"/>
                <w:szCs w:val="19"/>
                <w:color w:val="auto"/>
              </w:rPr>
            </w:pPr>
          </w:p>
        </w:tc>
      </w:tr>
      <w:tr>
        <w:trPr>
          <w:trHeight w:val="909"/>
        </w:trPr>
        <w:tc>
          <w:tcPr>
            <w:tcW w:w="118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2" w:name="page3"/>
    <w:bookmarkEnd w:id="2"/>
    <w:p>
      <w:pPr>
        <w:ind w:left="5320"/>
        <w:spacing w:after="0"/>
        <w:rPr>
          <w:sz w:val="20"/>
          <w:szCs w:val="20"/>
          <w:color w:val="auto"/>
        </w:rPr>
      </w:pPr>
      <w:r>
        <w:rPr>
          <w:rFonts w:ascii="Arial" w:cs="Arial" w:eastAsia="Arial" w:hAnsi="Arial"/>
          <w:sz w:val="12"/>
          <w:szCs w:val="12"/>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16, 2023</w:t>
      </w:r>
    </w:p>
    <w:p>
      <w:pPr>
        <w:spacing w:after="0" w:line="195"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9525</wp:posOffset>
            </wp:positionV>
            <wp:extent cx="24231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Arial" w:cs="Arial" w:eastAsia="Arial" w:hAnsi="Arial"/>
          <w:sz w:val="12"/>
          <w:szCs w:val="12"/>
          <w:color w:val="auto"/>
        </w:rPr>
        <w:t>Ann E. Thornton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Chief Financial Officer, Chief Accounting Officer and Treasurer</w:t>
      </w:r>
    </w:p>
    <w:p>
      <w:pPr>
        <w:sectPr>
          <w:pgSz w:w="11900" w:h="16838" w:orient="portrait"/>
          <w:cols w:equalWidth="0" w:num="1">
            <w:col w:w="10580"/>
          </w:cols>
          <w:pgMar w:left="300" w:top="644"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2024 First Quarter Results</w:t>
      </w:r>
    </w:p>
    <w:p>
      <w:pPr>
        <w:spacing w:after="0" w:line="206"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increased 2.9 percent. Organic sales increased 2.7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Gross profit margin increased to 51.7 percent in the first quarter of fiscal 2024 compared to 48.1 percent in the first quarter of fiscal 2023.</w:t>
      </w:r>
    </w:p>
    <w:p>
      <w:pPr>
        <w:spacing w:after="0" w:line="55" w:lineRule="exact"/>
        <w:rPr>
          <w:rFonts w:ascii="Arial" w:cs="Arial" w:eastAsia="Arial" w:hAnsi="Arial"/>
          <w:sz w:val="14"/>
          <w:szCs w:val="14"/>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increased 22.8 percent to $0.97 in the first quarter of fiscal 2024 compared to $0.79 in the same quarter of the prior year. Diluted EPS Excluding Certain Items* increased 19.0 percent to $1.00 in the first quarter of fiscal 2024 compared to $0.84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During the quarter ended October 31, 2023, we returned $25.5 million to our shareholders in the form of dividends and share repurchases.</w:t>
      </w:r>
    </w:p>
    <w:p>
      <w:pPr>
        <w:spacing w:after="0" w:line="208"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(November 16, 2023) -- Brady Corporation (NYSE: BRC) (“Brady” or “Company”), a world leader in identification solutions, today reported its financial results for its fiscal 2024 first quarter ended October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October 31, 2023 Financial Results:</w:t>
      </w:r>
    </w:p>
    <w:p>
      <w:pPr>
        <w:spacing w:after="0" w:line="53" w:lineRule="exact"/>
        <w:rPr>
          <w:sz w:val="20"/>
          <w:szCs w:val="20"/>
          <w:color w:val="auto"/>
        </w:rPr>
      </w:pPr>
    </w:p>
    <w:p>
      <w:pPr>
        <w:jc w:val="both"/>
        <w:ind w:firstLine="432"/>
        <w:spacing w:after="0" w:line="335" w:lineRule="auto"/>
        <w:rPr>
          <w:sz w:val="20"/>
          <w:szCs w:val="20"/>
          <w:color w:val="auto"/>
        </w:rPr>
      </w:pPr>
      <w:r>
        <w:rPr>
          <w:rFonts w:ascii="Arial" w:cs="Arial" w:eastAsia="Arial" w:hAnsi="Arial"/>
          <w:sz w:val="13"/>
          <w:szCs w:val="13"/>
          <w:color w:val="auto"/>
        </w:rPr>
        <w:t>Sales for the quarter ended October 31, 2023 increased 2.9 percent, which consisted of an organic sales increase of 2.7 percent, an increase of 1.5 percent from foreign currency translation and a decrease of 1.3 percent from the divestiture of one business in the prior fiscal year as well as the divestiture of another non-core business in the current quarter. Sales for the quarter ended October 31, 2023 were $332.0 million compared to $322.6 million in the same quarter last year. By region, sales increased 1.4 percent in the Americas &amp; Asia and increased 6.0 percent in Europe &amp; Australia, which consisted of an organic sales increase of 3.3 percent in the Americas &amp; Asia and an organic sales increase of 1.4 percent in Europe &amp; Australia.</w:t>
      </w:r>
    </w:p>
    <w:p>
      <w:pPr>
        <w:spacing w:after="0" w:line="2" w:lineRule="exact"/>
        <w:rPr>
          <w:sz w:val="20"/>
          <w:szCs w:val="20"/>
          <w:color w:val="auto"/>
        </w:rPr>
      </w:pPr>
    </w:p>
    <w:p>
      <w:pPr>
        <w:jc w:val="both"/>
        <w:ind w:firstLine="432"/>
        <w:spacing w:after="0" w:line="365" w:lineRule="auto"/>
        <w:rPr>
          <w:sz w:val="20"/>
          <w:szCs w:val="20"/>
          <w:color w:val="auto"/>
        </w:rPr>
      </w:pPr>
      <w:r>
        <w:rPr>
          <w:rFonts w:ascii="Arial" w:cs="Arial" w:eastAsia="Arial" w:hAnsi="Arial"/>
          <w:sz w:val="12"/>
          <w:szCs w:val="12"/>
          <w:color w:val="auto"/>
        </w:rPr>
        <w:t>Income before income taxes increased 18.0 percent to $59.4 million for the quarter ended October 31, 2023 compared to $50.3 million in the same quarter last year. Income Before Income Taxes Excluding Certain Items* for the quarter ended October 31, 2023, which was adjusted for amortization expense of $2.4 million, was $61.8 million, an increase of 14.4 percent compared to the first quarter of last year. Income Before Income Taxes Excluding Certain Items* for the quarter ended October 31, 2022, which was adjusted for amortization expense of $3.6 million, was $54.0 million.</w:t>
      </w:r>
    </w:p>
    <w:p>
      <w:pPr>
        <w:jc w:val="both"/>
        <w:ind w:firstLine="432"/>
        <w:spacing w:after="0" w:line="340" w:lineRule="auto"/>
        <w:rPr>
          <w:sz w:val="20"/>
          <w:szCs w:val="20"/>
          <w:color w:val="auto"/>
        </w:rPr>
      </w:pPr>
      <w:r>
        <w:rPr>
          <w:rFonts w:ascii="Arial" w:cs="Arial" w:eastAsia="Arial" w:hAnsi="Arial"/>
          <w:sz w:val="13"/>
          <w:szCs w:val="13"/>
          <w:color w:val="auto"/>
        </w:rPr>
        <w:t>Net income for the quarter ended October 31, 2023 was $47.2 million compared to $39.4 million in the same quarter last year. Earnings per diluted Class A Nonvoting Common Share were $0.97 for the first quarter of fiscal 2024 compared to $0.79 in the same quarter last year. Net Income Excluding Certain Items* for the quarter ended October 31, 2023 was $49.1 million and Diluted EPS Excluding Certain Items* for the quarter ended October 31, 2023 was $1.00. Net Income Excluding Certain Items* for the quarter ended October 31, 2022 was $42.2 million, and Diluted EPS Excluding Certain Items* for the quarter ended October 31, 2022 was $0.84.</w:t>
      </w:r>
    </w:p>
    <w:p>
      <w:pPr>
        <w:sectPr>
          <w:pgSz w:w="11900" w:h="16838" w:orient="portrait"/>
          <w:cols w:equalWidth="0" w:num="1">
            <w:col w:w="11300"/>
          </w:cols>
          <w:pgMar w:left="300" w:top="638"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Commentary:</w:t>
      </w:r>
    </w:p>
    <w:p>
      <w:pPr>
        <w:spacing w:after="0" w:line="53"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3"/>
          <w:szCs w:val="13"/>
          <w:color w:val="auto"/>
        </w:rPr>
        <w:t>“Our investments in our salesforce and in research and development are paying off as we launched an exciting new printer this quarter and have set the stage for continued future growth,” said Brady’s President and Chief Executive Officer, Russell R. Shaller. “Our Americas and Asia region performed particularly well with another quarter of organic sales growth and significant improvement in segment profit. We continue to identify opportunities to further integrate our businesses, to support continued growth through the application of our best go-to-market strategies in key geographies and to further simplify our global businesses, which we believe positions us for future success.”</w:t>
      </w:r>
    </w:p>
    <w:p>
      <w:pPr>
        <w:spacing w:after="0" w:line="2"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“Brady is financially strong and continues to generate significant cash flow. This quarter, we grew organic sales by 2.7 percent and we grew GAAP diluted earnings per share by 22.8 percent,” said Brady’s Chief Financial Officer, Ann Thornton. “We also returned $25.5 million to our shareholders in the form of dividends and share buybacks this quarter. We believe we are well-positioned for the future with a strong balance sheet which provides opportunities to drive continued shareholder value.”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2024 Guidance:</w:t>
      </w:r>
    </w:p>
    <w:p>
      <w:pPr>
        <w:spacing w:after="0" w:line="53" w:lineRule="exact"/>
        <w:rPr>
          <w:sz w:val="20"/>
          <w:szCs w:val="20"/>
          <w:color w:val="auto"/>
        </w:rPr>
      </w:pPr>
    </w:p>
    <w:p>
      <w:pPr>
        <w:jc w:val="both"/>
        <w:ind w:right="20" w:firstLine="432"/>
        <w:spacing w:after="0" w:line="325" w:lineRule="auto"/>
        <w:rPr>
          <w:sz w:val="20"/>
          <w:szCs w:val="20"/>
          <w:color w:val="auto"/>
        </w:rPr>
      </w:pPr>
      <w:r>
        <w:rPr>
          <w:rFonts w:ascii="Arial" w:cs="Arial" w:eastAsia="Arial" w:hAnsi="Arial"/>
          <w:sz w:val="13"/>
          <w:szCs w:val="13"/>
          <w:color w:val="auto"/>
        </w:rPr>
        <w:t>The Company’s GAAP earnings per diluted Class A Nonvoting Common Share guidance for the year ending July 31, 2024 remains unchanged at $3.70 to $3.95 per share, and the Company’s Diluted EPS Excluding Certain Items* guidance for the year ending July 31, 2024 also remains unchanged at $3.85 to $4.10 per share.</w:t>
      </w:r>
    </w:p>
    <w:p>
      <w:pPr>
        <w:jc w:val="both"/>
        <w:ind w:firstLine="432"/>
        <w:spacing w:after="0" w:line="352" w:lineRule="auto"/>
        <w:rPr>
          <w:sz w:val="20"/>
          <w:szCs w:val="20"/>
          <w:color w:val="auto"/>
        </w:rPr>
      </w:pPr>
      <w:r>
        <w:rPr>
          <w:rFonts w:ascii="Arial" w:cs="Arial" w:eastAsia="Arial" w:hAnsi="Arial"/>
          <w:sz w:val="13"/>
          <w:szCs w:val="13"/>
          <w:color w:val="auto"/>
        </w:rPr>
        <w:t>The other assumptions included in our fiscal 2024 guidance are effectively unchanged. We expect a full-year income tax rate of approximately 22 percent, depreciation and amortization expense ranging from $32 to $34 million, and capital expenditures of approximately $75 million, which are inclusive of $55 million related to the conversion of previously leased manufacturing facilities. Our fiscal 2024 guidance is based on foreign currency exchange rates as of October 31, 2023 and assumes continued economic growth.</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A webcast regarding Brady’s fiscal 2024 first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auto"/>
        </w:rPr>
        <w:t>.</w:t>
      </w:r>
    </w:p>
    <w:p>
      <w:pPr>
        <w:spacing w:after="0" w:line="299" w:lineRule="exact"/>
        <w:rPr>
          <w:sz w:val="20"/>
          <w:szCs w:val="20"/>
          <w:color w:val="auto"/>
        </w:rPr>
      </w:pPr>
    </w:p>
    <w:p>
      <w:pPr>
        <w:ind w:firstLine="424"/>
        <w:spacing w:after="0" w:line="358" w:lineRule="auto"/>
        <w:tabs>
          <w:tab w:leader="none" w:pos="537"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ectPr>
          <w:pgSz w:w="11900" w:h="16838" w:orient="portrait"/>
          <w:cols w:equalWidth="0" w:num="1">
            <w:col w:w="11300"/>
          </w:cols>
          <w:pgMar w:left="300" w:top="665"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 xml:space="preserve">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the novel coronavirus (“COVID-19”) pandemic or other pandemics; foreign currency fluctuations; potential write-offs of goodwill and other intangible assets; changes in </w:t>
      </w:r>
      <w:r>
        <w:rPr>
          <w:rFonts w:ascii="Arial" w:cs="Arial" w:eastAsia="Arial" w:hAnsi="Arial"/>
          <w:sz w:val="11"/>
          <w:szCs w:val="11"/>
          <w:color w:val="auto"/>
          <w:highlight w:val="yellow"/>
        </w:rPr>
        <w:t>tax</w:t>
      </w:r>
      <w:r>
        <w:rPr>
          <w:rFonts w:ascii="Arial" w:cs="Arial" w:eastAsia="Arial" w:hAnsi="Arial"/>
          <w:sz w:val="11"/>
          <w:szCs w:val="11"/>
          <w:color w:val="auto"/>
        </w:rPr>
        <w:t xml:space="preserve">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8"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331,983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322,569</w:t>
            </w: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160,264</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167,305</w:t>
            </w:r>
          </w:p>
        </w:tc>
      </w:tr>
      <w:tr>
        <w:trPr>
          <w:trHeight w:val="135"/>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171,719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155,264</w:t>
            </w: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13,933</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96,287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89,945</w:t>
            </w:r>
          </w:p>
        </w:tc>
      </w:tr>
      <w:tr>
        <w:trPr>
          <w:trHeight w:val="135"/>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111,989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103,878</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59,730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51,386</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Investment and other income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(157)</w:t>
            </w:r>
          </w:p>
        </w:tc>
      </w:tr>
      <w:tr>
        <w:trPr>
          <w:trHeight w:val="144"/>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(894)</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50,335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12,161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10,894</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47,241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39,441</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0.97</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0.79</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0.79</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0.96</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0.78</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48,505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49,868</w:t>
            </w:r>
          </w:p>
        </w:tc>
      </w:tr>
      <w:tr>
        <w:trPr>
          <w:trHeight w:val="146"/>
        </w:trPr>
        <w:tc>
          <w:tcPr>
            <w:tcW w:w="8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48,811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50,090</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color w:val="auto"/>
                <w:w w:val="87"/>
              </w:rPr>
              <w:t>October 31, 2023</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2023</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175,352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151,532</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$6,923 and $8,467,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179,970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184,420</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166,916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177,078</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12,827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11,790</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535,065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524,820</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143,792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142,149</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583,702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592,646</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58,774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62,096</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14,931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15,716</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26,860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29,688</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20,289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22,142</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1,383,413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1,389,257</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79,512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79,855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57,566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71,470</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14,249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13,575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17,970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12,582</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14,726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69,172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65,828</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251,694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258,036</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52,267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49,716</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16,217</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69,977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74,369</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388,421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398,338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44,868,082 and 45,008,724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352,421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351,771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1,057,773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1,021,870</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Treasury stock—6,393,405 and 6,252,763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(300,467)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(290,209)</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(115,283)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(93,061)</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Arial" w:cs="Arial" w:eastAsia="Arial" w:hAnsi="Arial"/>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994,992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990,919</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1,383,413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1,389,257</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2022</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47,241</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39,441</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7,466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8,665</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2,958</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(1,705)</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6,152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(9,582)</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(2,563)</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(14,150)</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5,757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5,945</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62,273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27,999</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(11,279)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(3,861)</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(11,279)</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(3,861)</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(11,338)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(11,376)</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2,598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349</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(1,504)</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(12,070)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borrowing on credit facilities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38,551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Repayment of borrowing on credit facilities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(36,000)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(32,000)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(21,494)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(20,535)</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(3,201)</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increase in cash and cash equivalents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23,820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402</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151,532</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114,069</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175,352</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114,471</w:t>
            </w: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right"/>
              <w:ind w:right="606"/>
              <w:spacing w:after="0"/>
              <w:rPr>
                <w:sz w:val="20"/>
                <w:szCs w:val="20"/>
                <w:color w:val="auto"/>
              </w:rPr>
            </w:pPr>
            <w:r>
              <w:rPr>
                <w:rFonts w:ascii="Arial" w:cs="Arial" w:eastAsia="Arial" w:hAnsi="Arial"/>
                <w:sz w:val="11"/>
                <w:szCs w:val="11"/>
                <w:color w:val="auto"/>
              </w:rPr>
              <w:t>Three months ended October 31,</w:t>
            </w:r>
          </w:p>
        </w:tc>
        <w:tc>
          <w:tcPr>
            <w:tcW w:w="120" w:type="dxa"/>
            <w:vAlign w:val="bottom"/>
            <w:tcBorders>
              <w:bottom w:val="single" w:sz="8" w:color="auto"/>
            </w:tcBorders>
          </w:tcPr>
          <w:p>
            <w:pPr>
              <w:spacing w:after="0"/>
              <w:rPr>
                <w:sz w:val="12"/>
                <w:szCs w:val="12"/>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rPr>
              <w:t>2023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color w:val="auto"/>
              </w:rPr>
              <w:t>2022</w:t>
            </w:r>
          </w:p>
        </w:tc>
        <w:tc>
          <w:tcPr>
            <w:tcW w:w="120" w:type="dxa"/>
            <w:vAlign w:val="bottom"/>
            <w:tcBorders>
              <w:bottom w:val="single" w:sz="8" w:color="auto"/>
            </w:tcBorders>
          </w:tcPr>
          <w:p>
            <w:pPr>
              <w:spacing w:after="0"/>
              <w:rPr>
                <w:sz w:val="13"/>
                <w:szCs w:val="13"/>
                <w:color w:val="auto"/>
              </w:rPr>
            </w:pPr>
          </w:p>
        </w:tc>
      </w:tr>
      <w:tr>
        <w:trPr>
          <w:trHeight w:val="126"/>
        </w:trPr>
        <w:tc>
          <w:tcPr>
            <w:tcW w:w="83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2"/>
        </w:trPr>
        <w:tc>
          <w:tcPr>
            <w:tcW w:w="8300" w:type="dxa"/>
            <w:vAlign w:val="bottom"/>
          </w:tcPr>
          <w:p>
            <w:pPr>
              <w:ind w:left="220"/>
              <w:spacing w:after="0"/>
              <w:rPr>
                <w:sz w:val="20"/>
                <w:szCs w:val="20"/>
                <w:color w:val="auto"/>
              </w:rPr>
            </w:pPr>
            <w:r>
              <w:rPr>
                <w:rFonts w:ascii="Arial" w:cs="Arial" w:eastAsia="Arial" w:hAnsi="Arial"/>
                <w:sz w:val="11"/>
                <w:szCs w:val="11"/>
                <w:color w:val="auto"/>
              </w:rPr>
              <w:t>Americas &amp; Asia</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221,626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center"/>
              <w:spacing w:after="0"/>
              <w:rPr>
                <w:sz w:val="20"/>
                <w:szCs w:val="20"/>
                <w:color w:val="auto"/>
              </w:rPr>
            </w:pPr>
            <w:r>
              <w:rPr>
                <w:rFonts w:ascii="Arial" w:cs="Arial" w:eastAsia="Arial" w:hAnsi="Arial"/>
                <w:sz w:val="11"/>
                <w:szCs w:val="11"/>
                <w:color w:val="auto"/>
                <w:w w:val="97"/>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218,495</w:t>
            </w:r>
          </w:p>
        </w:tc>
        <w:tc>
          <w:tcPr>
            <w:tcW w:w="120" w:type="dxa"/>
            <w:vAlign w:val="bottom"/>
          </w:tcPr>
          <w:p>
            <w:pPr>
              <w:spacing w:after="0"/>
              <w:rPr>
                <w:sz w:val="12"/>
                <w:szCs w:val="12"/>
                <w:color w:val="auto"/>
              </w:rPr>
            </w:pPr>
          </w:p>
        </w:tc>
      </w:tr>
      <w:tr>
        <w:trPr>
          <w:trHeight w:val="144"/>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Europe &amp; Australia</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110,357</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104,074</w:t>
            </w:r>
          </w:p>
        </w:tc>
        <w:tc>
          <w:tcPr>
            <w:tcW w:w="120" w:type="dxa"/>
            <w:vAlign w:val="bottom"/>
            <w:tcBorders>
              <w:bottom w:val="single" w:sz="8" w:color="auto"/>
            </w:tcBorders>
            <w:shd w:val="clear" w:color="auto" w:fill="CCEEFF"/>
          </w:tcPr>
          <w:p>
            <w:pPr>
              <w:spacing w:after="0"/>
              <w:rPr>
                <w:sz w:val="12"/>
                <w:szCs w:val="12"/>
                <w:color w:val="auto"/>
              </w:rPr>
            </w:pPr>
          </w:p>
        </w:tc>
      </w:tr>
      <w:tr>
        <w:trPr>
          <w:trHeight w:val="151"/>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331,983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322,569</w:t>
            </w:r>
          </w:p>
        </w:tc>
        <w:tc>
          <w:tcPr>
            <w:tcW w:w="120" w:type="dxa"/>
            <w:vAlign w:val="bottom"/>
            <w:tcBorders>
              <w:bottom w:val="single" w:sz="8" w:color="auto"/>
            </w:tcBorders>
          </w:tcPr>
          <w:p>
            <w:pPr>
              <w:spacing w:after="0"/>
              <w:rPr>
                <w:sz w:val="13"/>
                <w:szCs w:val="13"/>
                <w:color w:val="auto"/>
              </w:rPr>
            </w:pPr>
          </w:p>
        </w:tc>
      </w:tr>
      <w:tr>
        <w:trPr>
          <w:trHeight w:val="153"/>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2"/>
        </w:trPr>
        <w:tc>
          <w:tcPr>
            <w:tcW w:w="830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30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Americas &amp; Asia</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Pr>
          <w:p>
            <w:pPr>
              <w:ind w:left="220"/>
              <w:spacing w:after="0"/>
              <w:rPr>
                <w:sz w:val="20"/>
                <w:szCs w:val="20"/>
                <w:color w:val="auto"/>
              </w:rPr>
            </w:pPr>
            <w:r>
              <w:rPr>
                <w:rFonts w:ascii="Arial" w:cs="Arial" w:eastAsia="Arial" w:hAnsi="Arial"/>
                <w:sz w:val="11"/>
                <w:szCs w:val="11"/>
                <w:color w:val="auto"/>
              </w:rPr>
              <w:t>Organic</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55"/>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Divestiture</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(1.9)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 %</w:t>
            </w: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20"/>
        </w:trPr>
        <w:tc>
          <w:tcPr>
            <w:tcW w:w="830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Europe &amp; Australia</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Currency</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(17.0) %</w:t>
            </w: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(4.2) %</w:t>
            </w:r>
          </w:p>
        </w:tc>
      </w:tr>
      <w:tr>
        <w:trPr>
          <w:trHeight w:val="120"/>
        </w:trPr>
        <w:tc>
          <w:tcPr>
            <w:tcW w:w="8300" w:type="dxa"/>
            <w:vAlign w:val="bottom"/>
          </w:tcPr>
          <w:p>
            <w:pPr>
              <w:spacing w:after="0" w:line="118" w:lineRule="exact"/>
              <w:rPr>
                <w:sz w:val="20"/>
                <w:szCs w:val="20"/>
                <w:color w:val="auto"/>
              </w:rPr>
            </w:pPr>
            <w:r>
              <w:rPr>
                <w:rFonts w:ascii="Arial" w:cs="Arial" w:eastAsia="Arial" w:hAnsi="Arial"/>
                <w:sz w:val="11"/>
                <w:szCs w:val="11"/>
                <w:b w:val="1"/>
                <w:bCs w:val="1"/>
                <w:i w:val="1"/>
                <w:iCs w:val="1"/>
                <w:color w:val="auto"/>
              </w:rPr>
              <w:t>Total Company</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Organic</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53"/>
        </w:trPr>
        <w:tc>
          <w:tcPr>
            <w:tcW w:w="8300" w:type="dxa"/>
            <w:vAlign w:val="bottom"/>
          </w:tcPr>
          <w:p>
            <w:pPr>
              <w:ind w:left="220"/>
              <w:spacing w:after="0"/>
              <w:rPr>
                <w:sz w:val="20"/>
                <w:szCs w:val="20"/>
                <w:color w:val="auto"/>
              </w:rPr>
            </w:pPr>
            <w:r>
              <w:rPr>
                <w:rFonts w:ascii="Arial" w:cs="Arial" w:eastAsia="Arial" w:hAnsi="Arial"/>
                <w:sz w:val="11"/>
                <w:szCs w:val="11"/>
                <w:color w:val="auto"/>
              </w:rPr>
              <w:t>Currency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1.5 %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(6.6)%</w:t>
            </w:r>
          </w:p>
        </w:tc>
      </w:tr>
      <w:tr>
        <w:trPr>
          <w:trHeight w:val="142"/>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Divestiture</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(1.3) %</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1"/>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1"/>
              </w:rPr>
              <w:t>%</w:t>
            </w:r>
          </w:p>
        </w:tc>
      </w:tr>
      <w:tr>
        <w:trPr>
          <w:trHeight w:val="153"/>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2"/>
        </w:trPr>
        <w:tc>
          <w:tcPr>
            <w:tcW w:w="830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Americas &amp; Asia</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49,897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41,145</w:t>
            </w: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Europe &amp; Australia</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16,744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16,758</w:t>
            </w:r>
          </w:p>
        </w:tc>
        <w:tc>
          <w:tcPr>
            <w:tcW w:w="120" w:type="dxa"/>
            <w:vAlign w:val="bottom"/>
            <w:tcBorders>
              <w:bottom w:val="single" w:sz="8" w:color="auto"/>
            </w:tcBorders>
          </w:tcPr>
          <w:p>
            <w:pPr>
              <w:spacing w:after="0"/>
              <w:rPr>
                <w:sz w:val="12"/>
                <w:szCs w:val="12"/>
                <w:color w:val="auto"/>
              </w:rPr>
            </w:pP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66,641</w:t>
            </w: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57,903</w:t>
            </w:r>
          </w:p>
        </w:tc>
        <w:tc>
          <w:tcPr>
            <w:tcW w:w="120" w:type="dxa"/>
            <w:vAlign w:val="bottom"/>
            <w:tcBorders>
              <w:bottom w:val="single" w:sz="8" w:color="auto"/>
            </w:tcBorders>
            <w:shd w:val="clear" w:color="auto" w:fill="CCEEFF"/>
          </w:tcPr>
          <w:p>
            <w:pPr>
              <w:spacing w:after="0"/>
              <w:rPr>
                <w:sz w:val="13"/>
                <w:szCs w:val="13"/>
                <w:color w:val="auto"/>
              </w:rPr>
            </w:pPr>
          </w:p>
        </w:tc>
      </w:tr>
      <w:tr>
        <w:trPr>
          <w:trHeight w:val="120"/>
        </w:trPr>
        <w:tc>
          <w:tcPr>
            <w:tcW w:w="830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Americas &amp; Asia</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Europe &amp; Australia</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1"/>
              </w:rPr>
              <w:t>%</w:t>
            </w:r>
          </w:p>
        </w:tc>
      </w:tr>
      <w:tr>
        <w:trPr>
          <w:trHeight w:val="142"/>
        </w:trPr>
        <w:tc>
          <w:tcPr>
            <w:tcW w:w="8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20"/>
        </w:trPr>
        <w:tc>
          <w:tcPr>
            <w:tcW w:w="8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347"/>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6"/>
              <w:spacing w:after="0"/>
              <w:rPr>
                <w:sz w:val="20"/>
                <w:szCs w:val="20"/>
                <w:color w:val="auto"/>
              </w:rPr>
            </w:pPr>
            <w:r>
              <w:rPr>
                <w:rFonts w:ascii="Arial" w:cs="Arial" w:eastAsia="Arial" w:hAnsi="Arial"/>
                <w:sz w:val="11"/>
                <w:szCs w:val="11"/>
                <w:color w:val="auto"/>
                <w:w w:val="87"/>
              </w:rPr>
              <w:t>Three months ended October 31,</w:t>
            </w:r>
          </w:p>
        </w:tc>
        <w:tc>
          <w:tcPr>
            <w:tcW w:w="120" w:type="dxa"/>
            <w:vAlign w:val="bottom"/>
            <w:tcBorders>
              <w:bottom w:val="single" w:sz="8" w:color="auto"/>
            </w:tcBorders>
          </w:tcPr>
          <w:p>
            <w:pPr>
              <w:spacing w:after="0"/>
              <w:rPr>
                <w:sz w:val="24"/>
                <w:szCs w:val="24"/>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2023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2022</w:t>
            </w:r>
          </w:p>
        </w:tc>
        <w:tc>
          <w:tcPr>
            <w:tcW w:w="120" w:type="dxa"/>
            <w:vAlign w:val="bottom"/>
            <w:tcBorders>
              <w:bottom w:val="single" w:sz="8" w:color="auto"/>
            </w:tcBorders>
          </w:tcPr>
          <w:p>
            <w:pPr>
              <w:spacing w:after="0"/>
              <w:rPr>
                <w:sz w:val="13"/>
                <w:szCs w:val="13"/>
                <w:color w:val="auto"/>
              </w:rPr>
            </w:pPr>
          </w:p>
        </w:tc>
      </w:tr>
      <w:tr>
        <w:trPr>
          <w:trHeight w:val="135"/>
        </w:trPr>
        <w:tc>
          <w:tcPr>
            <w:tcW w:w="830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66,641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57,903</w:t>
            </w:r>
          </w:p>
        </w:tc>
      </w:tr>
      <w:tr>
        <w:trPr>
          <w:trHeight w:val="142"/>
        </w:trPr>
        <w:tc>
          <w:tcPr>
            <w:tcW w:w="8300" w:type="dxa"/>
            <w:vAlign w:val="bottom"/>
          </w:tcPr>
          <w:p>
            <w:pPr>
              <w:spacing w:after="0"/>
              <w:rPr>
                <w:sz w:val="20"/>
                <w:szCs w:val="20"/>
                <w:color w:val="auto"/>
              </w:rPr>
            </w:pPr>
            <w:r>
              <w:rPr>
                <w:rFonts w:ascii="Arial" w:cs="Arial" w:eastAsia="Arial" w:hAnsi="Arial"/>
                <w:sz w:val="11"/>
                <w:szCs w:val="11"/>
                <w:color w:val="auto"/>
              </w:rPr>
              <w:t>Unallocated amounts: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(6,911)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(6,517)</w:t>
            </w:r>
          </w:p>
        </w:tc>
      </w:tr>
      <w:tr>
        <w:trPr>
          <w:trHeight w:val="142"/>
        </w:trPr>
        <w:tc>
          <w:tcPr>
            <w:tcW w:w="8300" w:type="dxa"/>
            <w:vAlign w:val="bottom"/>
          </w:tcPr>
          <w:p>
            <w:pPr>
              <w:ind w:left="220"/>
              <w:spacing w:after="0"/>
              <w:rPr>
                <w:sz w:val="20"/>
                <w:szCs w:val="20"/>
                <w:color w:val="auto"/>
              </w:rPr>
            </w:pPr>
            <w:r>
              <w:rPr>
                <w:rFonts w:ascii="Arial" w:cs="Arial" w:eastAsia="Arial" w:hAnsi="Arial"/>
                <w:sz w:val="11"/>
                <w:szCs w:val="11"/>
                <w:color w:val="auto"/>
              </w:rPr>
              <w:t>Investment and other income (expense)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438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(157)</w:t>
            </w:r>
          </w:p>
        </w:tc>
      </w:tr>
      <w:tr>
        <w:trPr>
          <w:trHeight w:val="144"/>
        </w:trPr>
        <w:tc>
          <w:tcPr>
            <w:tcW w:w="83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(766)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(894)</w:t>
            </w:r>
          </w:p>
        </w:tc>
      </w:tr>
      <w:tr>
        <w:trPr>
          <w:trHeight w:val="135"/>
        </w:trPr>
        <w:tc>
          <w:tcPr>
            <w:tcW w:w="8300" w:type="dxa"/>
            <w:vAlign w:val="bottom"/>
          </w:tcPr>
          <w:p>
            <w:pPr>
              <w:spacing w:after="0"/>
              <w:rPr>
                <w:sz w:val="20"/>
                <w:szCs w:val="20"/>
                <w:color w:val="auto"/>
              </w:rPr>
            </w:pPr>
            <w:r>
              <w:rPr>
                <w:rFonts w:ascii="Arial" w:cs="Arial" w:eastAsia="Arial" w:hAnsi="Arial"/>
                <w:sz w:val="11"/>
                <w:szCs w:val="11"/>
                <w:color w:val="auto"/>
              </w:rPr>
              <w:t>Income before income taxes</w:t>
            </w:r>
          </w:p>
        </w:tc>
        <w:tc>
          <w:tcPr>
            <w:tcW w:w="4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1"/>
                <w:szCs w:val="11"/>
                <w:color w:val="auto"/>
              </w:rPr>
              <w:t>59,402</w:t>
            </w:r>
          </w:p>
        </w:tc>
        <w:tc>
          <w:tcPr>
            <w:tcW w:w="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50,335</w:t>
            </w:r>
          </w:p>
        </w:tc>
      </w:tr>
      <w:tr>
        <w:trPr>
          <w:trHeight w:val="20"/>
        </w:trPr>
        <w:tc>
          <w:tcPr>
            <w:tcW w:w="8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GAAP to NON-GAAP MEASURES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(Unaudited; Dollars in Thousands, Except Per Share Amounts)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Before Income Taxes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59,402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50,335</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2,355</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3,631</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61,757</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53,966</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12,161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10,894</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865</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12,707</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11,759</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Excluding Certain Items:</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2022</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47,241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39,441</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1,809</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2,766</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49,050</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42,207</w:t>
            </w:r>
          </w:p>
        </w:tc>
      </w:tr>
    </w:tbl>
    <w:p>
      <w:pPr>
        <w:sectPr>
          <w:pgSz w:w="11900" w:h="16838" w:orient="portrait"/>
          <w:cols w:equalWidth="0" w:num="1">
            <w:col w:w="11300"/>
          </w:cols>
          <w:pgMar w:left="300" w:top="559"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Diluted EPS Excluding Certain Items: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 (Note that certain amounts will not foot due to rounding):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1"/>
                <w:szCs w:val="11"/>
                <w:color w:val="auto"/>
              </w:rPr>
              <w:t>Three months ended October 31,</w:t>
            </w:r>
          </w:p>
        </w:tc>
        <w:tc>
          <w:tcPr>
            <w:tcW w:w="40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2023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color w:val="auto"/>
              </w:rPr>
              <w:t>2022</w:t>
            </w:r>
          </w:p>
        </w:tc>
        <w:tc>
          <w:tcPr>
            <w:tcW w:w="40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0.97</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0.79</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0.04</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0.06</w:t>
            </w:r>
          </w:p>
        </w:tc>
      </w:tr>
      <w:tr>
        <w:trPr>
          <w:trHeight w:val="151"/>
        </w:trPr>
        <w:tc>
          <w:tcPr>
            <w:tcW w:w="84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1.00</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0.84</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Diluted EPS Excluding Certain Items Guidance: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1"/>
              </w:rPr>
              <w:t>Fiscal 2024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w w:val="97"/>
              </w:rPr>
              <w:t>High</w:t>
            </w:r>
          </w:p>
        </w:tc>
      </w:tr>
      <w:tr>
        <w:trPr>
          <w:trHeight w:val="135"/>
        </w:trPr>
        <w:tc>
          <w:tcPr>
            <w:tcW w:w="84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0.15</w:t>
            </w:r>
          </w:p>
        </w:tc>
      </w:tr>
      <w:tr>
        <w:trPr>
          <w:trHeight w:val="151"/>
        </w:trPr>
        <w:tc>
          <w:tcPr>
            <w:tcW w:w="84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4.10</w:t>
            </w:r>
          </w:p>
        </w:tc>
      </w:tr>
    </w:tbl>
    <w:p>
      <w:pPr>
        <w:sectPr>
          <w:pgSz w:w="11900" w:h="16838" w:orient="portrait"/>
          <w:cols w:equalWidth="0" w:num="1">
            <w:col w:w="11300"/>
          </w:cols>
          <w:pgMar w:left="300" w:top="667"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2023-11-16T06:14:49Z</dcterms:created>
  <dcterms:modified xsi:type="dcterms:W3CDTF">2023-11-16T06:14:49Z</dcterms:modified>
</cp:coreProperties>
</file>