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34290</wp:posOffset>
            </wp:positionV>
            <wp:extent cx="160020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0200" cy="571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45085</wp:posOffset>
            </wp:positionV>
            <wp:extent cx="160020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0200" cy="5715"/>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 of the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Exchange Act of 1934</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May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46355</wp:posOffset>
            </wp:positionV>
            <wp:extent cx="16002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0200" cy="5715"/>
                    </a:xfrm>
                    <a:prstGeom prst="rect">
                      <a:avLst/>
                    </a:prstGeom>
                    <a:noFill/>
                  </pic:spPr>
                </pic:pic>
              </a:graphicData>
            </a:graphic>
          </wp:anchor>
        </w:drawing>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BRADY CORPORATION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37465</wp:posOffset>
            </wp:positionV>
            <wp:extent cx="16002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0200" cy="5715"/>
                    </a:xfrm>
                    <a:prstGeom prst="rect">
                      <a:avLst/>
                    </a:prstGeom>
                    <a:noFill/>
                  </pic:spPr>
                </pic:pic>
              </a:graphicData>
            </a:graphic>
          </wp:anchor>
        </w:drawing>
      </w:r>
    </w:p>
    <w:p>
      <w:pPr>
        <w:spacing w:after="0" w:line="188" w:lineRule="exact"/>
        <w:rPr>
          <w:sz w:val="24"/>
          <w:szCs w:val="24"/>
          <w:color w:val="auto"/>
        </w:rPr>
      </w:pPr>
    </w:p>
    <w:tbl>
      <w:tblPr>
        <w:tblLayout w:type="fixed"/>
        <w:tblInd w:w="1540" w:type="dxa"/>
        <w:tblCellMar>
          <w:top w:w="0" w:type="dxa"/>
          <w:left w:w="0" w:type="dxa"/>
          <w:bottom w:w="0" w:type="dxa"/>
          <w:right w:w="0" w:type="dxa"/>
        </w:tblCellMar>
      </w:tblPr>
      <w:tr>
        <w:trPr>
          <w:trHeight w:val="157"/>
        </w:trPr>
        <w:tc>
          <w:tcPr>
            <w:tcW w:w="2820" w:type="dxa"/>
            <w:vAlign w:val="bottom"/>
          </w:tcPr>
          <w:p>
            <w:pPr>
              <w:spacing w:after="0"/>
              <w:rPr>
                <w:sz w:val="13"/>
                <w:szCs w:val="13"/>
                <w:color w:val="auto"/>
              </w:rPr>
            </w:pPr>
          </w:p>
        </w:tc>
        <w:tc>
          <w:tcPr>
            <w:tcW w:w="4920" w:type="dxa"/>
            <w:vAlign w:val="bottom"/>
            <w:gridSpan w:val="2"/>
          </w:tcPr>
          <w:p>
            <w:pPr>
              <w:jc w:val="center"/>
              <w:ind w:right="2292"/>
              <w:spacing w:after="0"/>
              <w:rPr>
                <w:sz w:val="20"/>
                <w:szCs w:val="20"/>
                <w:color w:val="auto"/>
              </w:rPr>
            </w:pPr>
            <w:r>
              <w:rPr>
                <w:rFonts w:ascii="Arial" w:cs="Arial" w:eastAsia="Arial" w:hAnsi="Arial"/>
                <w:sz w:val="12"/>
                <w:szCs w:val="12"/>
                <w:b w:val="1"/>
                <w:bCs w:val="1"/>
                <w:color w:val="auto"/>
                <w:w w:val="90"/>
              </w:rPr>
              <w:t>Commission File Number 1-14959</w:t>
            </w:r>
          </w:p>
        </w:tc>
      </w:tr>
      <w:tr>
        <w:trPr>
          <w:trHeight w:val="265"/>
        </w:trPr>
        <w:tc>
          <w:tcPr>
            <w:tcW w:w="2820" w:type="dxa"/>
            <w:vAlign w:val="bottom"/>
          </w:tcPr>
          <w:p>
            <w:pPr>
              <w:jc w:val="center"/>
              <w:ind w:right="326"/>
              <w:spacing w:after="0"/>
              <w:rPr>
                <w:sz w:val="20"/>
                <w:szCs w:val="20"/>
                <w:color w:val="auto"/>
              </w:rPr>
            </w:pPr>
            <w:r>
              <w:rPr>
                <w:rFonts w:ascii="Arial" w:cs="Arial" w:eastAsia="Arial" w:hAnsi="Arial"/>
                <w:sz w:val="12"/>
                <w:szCs w:val="12"/>
                <w:b w:val="1"/>
                <w:bCs w:val="1"/>
                <w:color w:val="auto"/>
                <w:w w:val="86"/>
              </w:rPr>
              <w:t>Wisconsin</w:t>
            </w:r>
          </w:p>
        </w:tc>
        <w:tc>
          <w:tcPr>
            <w:tcW w:w="4920" w:type="dxa"/>
            <w:vAlign w:val="bottom"/>
            <w:gridSpan w:val="2"/>
          </w:tcPr>
          <w:p>
            <w:pPr>
              <w:jc w:val="right"/>
              <w:ind w:right="352"/>
              <w:spacing w:after="0"/>
              <w:rPr>
                <w:sz w:val="20"/>
                <w:szCs w:val="20"/>
                <w:color w:val="auto"/>
              </w:rPr>
            </w:pPr>
            <w:r>
              <w:rPr>
                <w:rFonts w:ascii="Arial" w:cs="Arial" w:eastAsia="Arial" w:hAnsi="Arial"/>
                <w:sz w:val="12"/>
                <w:szCs w:val="12"/>
                <w:b w:val="1"/>
                <w:bCs w:val="1"/>
                <w:color w:val="auto"/>
              </w:rPr>
              <w:t>39-0178960</w:t>
            </w:r>
          </w:p>
        </w:tc>
      </w:tr>
      <w:tr>
        <w:trPr>
          <w:trHeight w:val="123"/>
        </w:trPr>
        <w:tc>
          <w:tcPr>
            <w:tcW w:w="2820" w:type="dxa"/>
            <w:vAlign w:val="bottom"/>
          </w:tcPr>
          <w:p>
            <w:pPr>
              <w:jc w:val="center"/>
              <w:ind w:right="306"/>
              <w:spacing w:after="0"/>
              <w:rPr>
                <w:sz w:val="20"/>
                <w:szCs w:val="20"/>
                <w:color w:val="auto"/>
              </w:rPr>
            </w:pPr>
            <w:r>
              <w:rPr>
                <w:rFonts w:ascii="Arial" w:cs="Arial" w:eastAsia="Arial" w:hAnsi="Arial"/>
                <w:sz w:val="10"/>
                <w:szCs w:val="10"/>
                <w:b w:val="1"/>
                <w:bCs w:val="1"/>
                <w:color w:val="auto"/>
                <w:w w:val="86"/>
              </w:rPr>
              <w:t>(State or other jurisdiction of incorporation or organization)</w:t>
            </w:r>
          </w:p>
        </w:tc>
        <w:tc>
          <w:tcPr>
            <w:tcW w:w="2520" w:type="dxa"/>
            <w:vAlign w:val="bottom"/>
          </w:tcPr>
          <w:p>
            <w:pPr>
              <w:spacing w:after="0"/>
              <w:rPr>
                <w:sz w:val="10"/>
                <w:szCs w:val="10"/>
                <w:color w:val="auto"/>
              </w:rPr>
            </w:pPr>
          </w:p>
        </w:tc>
        <w:tc>
          <w:tcPr>
            <w:tcW w:w="2400" w:type="dxa"/>
            <w:vAlign w:val="bottom"/>
          </w:tcPr>
          <w:p>
            <w:pPr>
              <w:jc w:val="center"/>
              <w:ind w:left="952"/>
              <w:spacing w:after="0"/>
              <w:rPr>
                <w:sz w:val="20"/>
                <w:szCs w:val="20"/>
                <w:color w:val="auto"/>
              </w:rPr>
            </w:pPr>
            <w:r>
              <w:rPr>
                <w:rFonts w:ascii="Arial" w:cs="Arial" w:eastAsia="Arial" w:hAnsi="Arial"/>
                <w:sz w:val="10"/>
                <w:szCs w:val="10"/>
                <w:b w:val="1"/>
                <w:bCs w:val="1"/>
                <w:color w:val="auto"/>
                <w:w w:val="89"/>
              </w:rPr>
              <w:t>(IRS Employer Identification No.)</w:t>
            </w:r>
          </w:p>
        </w:tc>
      </w:tr>
      <w:tr>
        <w:trPr>
          <w:trHeight w:val="274"/>
        </w:trPr>
        <w:tc>
          <w:tcPr>
            <w:tcW w:w="2820" w:type="dxa"/>
            <w:vAlign w:val="bottom"/>
          </w:tcPr>
          <w:p>
            <w:pPr>
              <w:spacing w:after="0"/>
              <w:rPr>
                <w:sz w:val="23"/>
                <w:szCs w:val="23"/>
                <w:color w:val="auto"/>
              </w:rPr>
            </w:pPr>
          </w:p>
        </w:tc>
        <w:tc>
          <w:tcPr>
            <w:tcW w:w="4920" w:type="dxa"/>
            <w:vAlign w:val="bottom"/>
            <w:gridSpan w:val="2"/>
          </w:tcPr>
          <w:p>
            <w:pPr>
              <w:jc w:val="center"/>
              <w:ind w:right="2312"/>
              <w:spacing w:after="0"/>
              <w:rPr>
                <w:sz w:val="20"/>
                <w:szCs w:val="20"/>
                <w:color w:val="auto"/>
              </w:rPr>
            </w:pPr>
            <w:r>
              <w:rPr>
                <w:rFonts w:ascii="Arial" w:cs="Arial" w:eastAsia="Arial" w:hAnsi="Arial"/>
                <w:sz w:val="12"/>
                <w:szCs w:val="12"/>
                <w:b w:val="1"/>
                <w:bCs w:val="1"/>
                <w:color w:val="auto"/>
                <w:w w:val="89"/>
              </w:rPr>
              <w:t>6555 West Good Hope Road</w:t>
            </w:r>
          </w:p>
        </w:tc>
      </w:tr>
      <w:tr>
        <w:trPr>
          <w:trHeight w:val="142"/>
        </w:trPr>
        <w:tc>
          <w:tcPr>
            <w:tcW w:w="2820" w:type="dxa"/>
            <w:vAlign w:val="bottom"/>
          </w:tcPr>
          <w:p>
            <w:pPr>
              <w:spacing w:after="0"/>
              <w:rPr>
                <w:sz w:val="12"/>
                <w:szCs w:val="12"/>
                <w:color w:val="auto"/>
              </w:rPr>
            </w:pPr>
          </w:p>
        </w:tc>
        <w:tc>
          <w:tcPr>
            <w:tcW w:w="4920" w:type="dxa"/>
            <w:vAlign w:val="bottom"/>
            <w:gridSpan w:val="2"/>
          </w:tcPr>
          <w:p>
            <w:pPr>
              <w:jc w:val="center"/>
              <w:ind w:right="2312"/>
              <w:spacing w:after="0"/>
              <w:rPr>
                <w:sz w:val="20"/>
                <w:szCs w:val="20"/>
                <w:color w:val="auto"/>
              </w:rPr>
            </w:pPr>
            <w:r>
              <w:rPr>
                <w:rFonts w:ascii="Arial" w:cs="Arial" w:eastAsia="Arial" w:hAnsi="Arial"/>
                <w:sz w:val="12"/>
                <w:szCs w:val="12"/>
                <w:b w:val="1"/>
                <w:bCs w:val="1"/>
                <w:color w:val="auto"/>
                <w:w w:val="90"/>
              </w:rPr>
              <w:t>Milwaukee, Wisconsin 53223</w:t>
            </w:r>
          </w:p>
        </w:tc>
      </w:tr>
      <w:tr>
        <w:trPr>
          <w:trHeight w:val="123"/>
        </w:trPr>
        <w:tc>
          <w:tcPr>
            <w:tcW w:w="2820" w:type="dxa"/>
            <w:vAlign w:val="bottom"/>
          </w:tcPr>
          <w:p>
            <w:pPr>
              <w:spacing w:after="0"/>
              <w:rPr>
                <w:sz w:val="10"/>
                <w:szCs w:val="10"/>
                <w:color w:val="auto"/>
              </w:rPr>
            </w:pPr>
          </w:p>
        </w:tc>
        <w:tc>
          <w:tcPr>
            <w:tcW w:w="4920" w:type="dxa"/>
            <w:vAlign w:val="bottom"/>
            <w:gridSpan w:val="2"/>
          </w:tcPr>
          <w:p>
            <w:pPr>
              <w:jc w:val="center"/>
              <w:ind w:right="2312"/>
              <w:spacing w:after="0"/>
              <w:rPr>
                <w:sz w:val="20"/>
                <w:szCs w:val="20"/>
                <w:color w:val="auto"/>
              </w:rPr>
            </w:pPr>
            <w:r>
              <w:rPr>
                <w:rFonts w:ascii="Arial" w:cs="Arial" w:eastAsia="Arial" w:hAnsi="Arial"/>
                <w:sz w:val="10"/>
                <w:szCs w:val="10"/>
                <w:b w:val="1"/>
                <w:bCs w:val="1"/>
                <w:color w:val="auto"/>
                <w:w w:val="85"/>
              </w:rPr>
              <w:t>(Address of principal executive offices and Zip Code)</w:t>
            </w:r>
          </w:p>
        </w:tc>
      </w:tr>
      <w:tr>
        <w:trPr>
          <w:trHeight w:val="246"/>
        </w:trPr>
        <w:tc>
          <w:tcPr>
            <w:tcW w:w="2820" w:type="dxa"/>
            <w:vAlign w:val="bottom"/>
          </w:tcPr>
          <w:p>
            <w:pPr>
              <w:spacing w:after="0"/>
              <w:rPr>
                <w:sz w:val="21"/>
                <w:szCs w:val="21"/>
                <w:color w:val="auto"/>
              </w:rPr>
            </w:pPr>
          </w:p>
        </w:tc>
        <w:tc>
          <w:tcPr>
            <w:tcW w:w="2520" w:type="dxa"/>
            <w:vAlign w:val="bottom"/>
          </w:tcPr>
          <w:p>
            <w:pPr>
              <w:jc w:val="center"/>
              <w:spacing w:after="0"/>
              <w:rPr>
                <w:sz w:val="20"/>
                <w:szCs w:val="20"/>
                <w:color w:val="auto"/>
              </w:rPr>
            </w:pPr>
            <w:r>
              <w:rPr>
                <w:rFonts w:ascii="Arial" w:cs="Arial" w:eastAsia="Arial" w:hAnsi="Arial"/>
                <w:sz w:val="12"/>
                <w:szCs w:val="12"/>
                <w:b w:val="1"/>
                <w:bCs w:val="1"/>
                <w:color w:val="auto"/>
                <w:w w:val="92"/>
              </w:rPr>
              <w:t>(414) 358-6600</w:t>
            </w:r>
          </w:p>
        </w:tc>
        <w:tc>
          <w:tcPr>
            <w:tcW w:w="2400" w:type="dxa"/>
            <w:vAlign w:val="bottom"/>
          </w:tcPr>
          <w:p>
            <w:pPr>
              <w:spacing w:after="0"/>
              <w:rPr>
                <w:sz w:val="21"/>
                <w:szCs w:val="21"/>
                <w:color w:val="auto"/>
              </w:rPr>
            </w:pPr>
          </w:p>
        </w:tc>
      </w:tr>
      <w:tr>
        <w:trPr>
          <w:trHeight w:val="123"/>
        </w:trPr>
        <w:tc>
          <w:tcPr>
            <w:tcW w:w="2820" w:type="dxa"/>
            <w:vAlign w:val="bottom"/>
          </w:tcPr>
          <w:p>
            <w:pPr>
              <w:spacing w:after="0"/>
              <w:rPr>
                <w:sz w:val="10"/>
                <w:szCs w:val="10"/>
                <w:color w:val="auto"/>
              </w:rPr>
            </w:pPr>
          </w:p>
        </w:tc>
        <w:tc>
          <w:tcPr>
            <w:tcW w:w="4920" w:type="dxa"/>
            <w:vAlign w:val="bottom"/>
            <w:gridSpan w:val="2"/>
          </w:tcPr>
          <w:p>
            <w:pPr>
              <w:jc w:val="center"/>
              <w:ind w:right="2312"/>
              <w:spacing w:after="0"/>
              <w:rPr>
                <w:sz w:val="20"/>
                <w:szCs w:val="20"/>
                <w:color w:val="auto"/>
              </w:rPr>
            </w:pPr>
            <w:r>
              <w:rPr>
                <w:rFonts w:ascii="Arial" w:cs="Arial" w:eastAsia="Arial" w:hAnsi="Arial"/>
                <w:sz w:val="10"/>
                <w:szCs w:val="10"/>
                <w:b w:val="1"/>
                <w:bCs w:val="1"/>
                <w:color w:val="auto"/>
                <w:w w:val="86"/>
              </w:rPr>
              <w:t>(Registrant’s Telephone Number)</w:t>
            </w:r>
          </w:p>
        </w:tc>
      </w:tr>
      <w:tr>
        <w:trPr>
          <w:trHeight w:val="62"/>
        </w:trPr>
        <w:tc>
          <w:tcPr>
            <w:tcW w:w="2820" w:type="dxa"/>
            <w:vAlign w:val="bottom"/>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2400" w:type="dxa"/>
            <w:vAlign w:val="bottom"/>
          </w:tcPr>
          <w:p>
            <w:pPr>
              <w:spacing w:after="0"/>
              <w:rPr>
                <w:sz w:val="5"/>
                <w:szCs w:val="5"/>
                <w:color w:val="auto"/>
              </w:rPr>
            </w:pPr>
          </w:p>
        </w:tc>
      </w:tr>
    </w:tbl>
    <w:p>
      <w:pPr>
        <w:spacing w:after="0" w:line="153"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41"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Written communications pursuant to Rule 425 under the Securities Act (17 CFR 230.425)</w:t>
      </w:r>
    </w:p>
    <w:p>
      <w:pPr>
        <w:spacing w:after="0" w:line="70"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Soliciting material pursuant to Rule 14a-12 under the Exchange Act (17 CFR 240.14a-12)</w:t>
      </w:r>
    </w:p>
    <w:p>
      <w:pPr>
        <w:spacing w:after="0" w:line="70"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Pre-commencement communications pursuant to Rule 14d-2(b) under the Exchange Act (17 CFR 240.14d-2(b))</w:t>
      </w:r>
    </w:p>
    <w:p>
      <w:pPr>
        <w:spacing w:after="0" w:line="70"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Pre-commencement communications pursuant to Rule 13e-4(c) under the Exchange Act (17 CFR 240.13e-4(c))</w:t>
      </w:r>
    </w:p>
    <w:p>
      <w:pPr>
        <w:spacing w:after="0" w:line="196"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21"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6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Trading Symbol</w:t>
            </w:r>
          </w:p>
        </w:tc>
        <w:tc>
          <w:tcPr>
            <w:tcW w:w="3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Name of each exchange on which registered</w:t>
            </w:r>
          </w:p>
        </w:tc>
      </w:tr>
      <w:tr>
        <w:trPr>
          <w:trHeight w:val="146"/>
        </w:trPr>
        <w:tc>
          <w:tcPr>
            <w:tcW w:w="6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0"/>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BRC</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New York Stock Exchange</w:t>
            </w:r>
          </w:p>
        </w:tc>
      </w:tr>
    </w:tbl>
    <w:p>
      <w:pPr>
        <w:spacing w:after="0" w:line="153" w:lineRule="exact"/>
        <w:rPr>
          <w:sz w:val="24"/>
          <w:szCs w:val="24"/>
          <w:color w:val="auto"/>
        </w:rPr>
      </w:pPr>
    </w:p>
    <w:p>
      <w:pPr>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or the Securities Exchange Act of 1934 (§240.12b-2 of this chapter).</w:t>
      </w:r>
    </w:p>
    <w:p>
      <w:pPr>
        <w:spacing w:after="0" w:line="47" w:lineRule="exact"/>
        <w:rPr>
          <w:sz w:val="24"/>
          <w:szCs w:val="24"/>
          <w:color w:val="auto"/>
        </w:rPr>
      </w:pPr>
    </w:p>
    <w:p>
      <w:pPr>
        <w:spacing w:after="0" w:line="161"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4"/>
          <w:szCs w:val="14"/>
          <w:color w:val="auto"/>
        </w:rPr>
        <w:t>☐</w:t>
      </w:r>
    </w:p>
    <w:p>
      <w:pPr>
        <w:spacing w:after="0" w:line="150" w:lineRule="exact"/>
        <w:rPr>
          <w:sz w:val="24"/>
          <w:szCs w:val="24"/>
          <w:color w:val="auto"/>
        </w:rPr>
      </w:pPr>
    </w:p>
    <w:p>
      <w:pPr>
        <w:spacing w:after="0" w:line="17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345440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2" w:right="29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2"/>
          <w:szCs w:val="12"/>
          <w:color w:val="auto"/>
        </w:rPr>
        <w:t>Item 2.02</w:t>
      </w:r>
      <w:r>
        <w:rPr>
          <w:sz w:val="20"/>
          <w:szCs w:val="20"/>
          <w:color w:val="auto"/>
        </w:rPr>
        <w:tab/>
      </w:r>
      <w:r>
        <w:rPr>
          <w:rFonts w:ascii="Arial" w:cs="Arial" w:eastAsia="Arial" w:hAnsi="Arial"/>
          <w:sz w:val="11"/>
          <w:szCs w:val="11"/>
          <w:color w:val="auto"/>
        </w:rPr>
        <w:t>RESULTS OF OPERATIONS AND FINANCIAL CONDITION</w:t>
      </w:r>
    </w:p>
    <w:p>
      <w:pPr>
        <w:spacing w:after="0" w:line="231"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On May 18, 2023, Brady Corporation (the “Company”) issued a press release announcing its fiscal 2023 third quarter financial results. A copy of the press release is being furnished to the Securities and Exchange Commission as Exhibit 99.1 attached hereto and is incorporated herein by reference.</w:t>
      </w:r>
    </w:p>
    <w:p>
      <w:pPr>
        <w:spacing w:after="0" w:line="268"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color w:val="auto"/>
        </w:rPr>
        <w:t>Item 7.01</w:t>
      </w:r>
      <w:r>
        <w:rPr>
          <w:sz w:val="20"/>
          <w:szCs w:val="20"/>
          <w:color w:val="auto"/>
        </w:rPr>
        <w:tab/>
      </w:r>
      <w:r>
        <w:rPr>
          <w:rFonts w:ascii="Arial" w:cs="Arial" w:eastAsia="Arial" w:hAnsi="Arial"/>
          <w:sz w:val="11"/>
          <w:szCs w:val="11"/>
          <w:color w:val="auto"/>
        </w:rPr>
        <w:t>REGULATION FD DISCLOSURE</w:t>
      </w:r>
    </w:p>
    <w:p>
      <w:pPr>
        <w:spacing w:after="0" w:line="231"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On May 18, 2023, the Company hosted a conference call related to its fiscal 2023 third quarter financial results. A copy of the slides referenced in the conference call, which is also posted on the Company’s website, is being furnished to the Securities and Exchange Commission as Exhibit 99.2 attached hereto and is incorporated herein by reference.</w:t>
      </w:r>
    </w:p>
    <w:p>
      <w:pPr>
        <w:spacing w:after="0" w:line="268" w:lineRule="exact"/>
        <w:rPr>
          <w:sz w:val="20"/>
          <w:szCs w:val="20"/>
          <w:color w:val="auto"/>
        </w:rPr>
      </w:pPr>
    </w:p>
    <w:p>
      <w:pPr>
        <w:spacing w:after="0"/>
        <w:tabs>
          <w:tab w:leader="none" w:pos="960" w:val="left"/>
        </w:tabs>
        <w:rPr>
          <w:sz w:val="20"/>
          <w:szCs w:val="20"/>
          <w:color w:val="auto"/>
        </w:rPr>
      </w:pPr>
      <w:r>
        <w:rPr>
          <w:rFonts w:ascii="Arial" w:cs="Arial" w:eastAsia="Arial" w:hAnsi="Arial"/>
          <w:sz w:val="12"/>
          <w:szCs w:val="12"/>
          <w:color w:val="auto"/>
        </w:rPr>
        <w:t>Item 9.01</w:t>
      </w:r>
      <w:r>
        <w:rPr>
          <w:sz w:val="20"/>
          <w:szCs w:val="20"/>
          <w:color w:val="auto"/>
        </w:rPr>
        <w:tab/>
      </w:r>
      <w:r>
        <w:rPr>
          <w:rFonts w:ascii="Arial" w:cs="Arial" w:eastAsia="Arial" w:hAnsi="Arial"/>
          <w:sz w:val="11"/>
          <w:szCs w:val="11"/>
          <w:color w:val="auto"/>
        </w:rPr>
        <w:t>FINANCIAL STATEMENTS AND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80" w:type="dxa"/>
            <w:vAlign w:val="bottom"/>
          </w:tcPr>
          <w:p>
            <w:pPr>
              <w:spacing w:after="0"/>
              <w:rPr>
                <w:sz w:val="20"/>
                <w:szCs w:val="20"/>
                <w:color w:val="auto"/>
              </w:rPr>
            </w:pPr>
            <w:r>
              <w:rPr>
                <w:rFonts w:ascii="Arial" w:cs="Arial" w:eastAsia="Arial" w:hAnsi="Arial"/>
                <w:sz w:val="12"/>
                <w:szCs w:val="12"/>
                <w:color w:val="auto"/>
              </w:rPr>
              <w:t>(d) Exhibits</w:t>
            </w:r>
          </w:p>
        </w:tc>
        <w:tc>
          <w:tcPr>
            <w:tcW w:w="5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40" w:type="dxa"/>
            <w:vAlign w:val="bottom"/>
          </w:tcPr>
          <w:p>
            <w:pPr>
              <w:spacing w:after="0"/>
              <w:rPr>
                <w:sz w:val="13"/>
                <w:szCs w:val="13"/>
                <w:color w:val="auto"/>
              </w:rPr>
            </w:pPr>
          </w:p>
        </w:tc>
      </w:tr>
      <w:tr>
        <w:trPr>
          <w:trHeight w:val="279"/>
        </w:trPr>
        <w:tc>
          <w:tcPr>
            <w:tcW w:w="1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EXHIBIT NUMBER</w:t>
            </w:r>
          </w:p>
        </w:tc>
        <w:tc>
          <w:tcPr>
            <w:tcW w:w="10120" w:type="dxa"/>
            <w:vAlign w:val="bottom"/>
            <w:tcBorders>
              <w:bottom w:val="single" w:sz="8" w:color="auto"/>
            </w:tcBorders>
            <w:gridSpan w:val="3"/>
          </w:tcPr>
          <w:p>
            <w:pPr>
              <w:spacing w:after="0"/>
              <w:rPr>
                <w:sz w:val="20"/>
                <w:szCs w:val="20"/>
                <w:color w:val="auto"/>
              </w:rPr>
            </w:pPr>
            <w:r>
              <w:rPr>
                <w:rFonts w:ascii="Arial" w:cs="Arial" w:eastAsia="Arial" w:hAnsi="Arial"/>
                <w:sz w:val="12"/>
                <w:szCs w:val="12"/>
                <w:color w:val="auto"/>
              </w:rPr>
              <w:t>DESCRIPTION</w:t>
            </w:r>
          </w:p>
        </w:tc>
      </w:tr>
      <w:tr>
        <w:trPr>
          <w:trHeight w:val="178"/>
        </w:trPr>
        <w:tc>
          <w:tcPr>
            <w:tcW w:w="1180" w:type="dxa"/>
            <w:vAlign w:val="bottom"/>
          </w:tcPr>
          <w:p>
            <w:pPr>
              <w:spacing w:after="0"/>
              <w:rPr>
                <w:sz w:val="20"/>
                <w:szCs w:val="20"/>
                <w:color w:val="auto"/>
              </w:rPr>
            </w:pPr>
            <w:r>
              <w:rPr>
                <w:rFonts w:ascii="Arial" w:cs="Arial" w:eastAsia="Arial" w:hAnsi="Arial"/>
                <w:sz w:val="12"/>
                <w:szCs w:val="12"/>
                <w:color w:val="auto"/>
              </w:rPr>
              <w:t>99.1</w:t>
            </w:r>
          </w:p>
        </w:tc>
        <w:tc>
          <w:tcPr>
            <w:tcW w:w="10120" w:type="dxa"/>
            <w:vAlign w:val="bottom"/>
            <w:gridSpan w:val="3"/>
          </w:tcPr>
          <w:p>
            <w:pPr>
              <w:spacing w:after="0"/>
              <w:rPr>
                <w:sz w:val="20"/>
                <w:szCs w:val="20"/>
                <w:color w:val="auto"/>
              </w:rPr>
            </w:pPr>
            <w:r>
              <w:rPr>
                <w:rFonts w:ascii="Arial" w:cs="Arial" w:eastAsia="Arial" w:hAnsi="Arial"/>
                <w:sz w:val="12"/>
                <w:szCs w:val="12"/>
                <w:color w:val="0000FF"/>
              </w:rPr>
              <w:t>Press Release of Brady Corporation, dated May 18, 2023, relating to fiscal 2023 third quarter financial results.</w:t>
            </w:r>
          </w:p>
        </w:tc>
      </w:tr>
      <w:tr>
        <w:trPr>
          <w:trHeight w:val="20"/>
        </w:trPr>
        <w:tc>
          <w:tcPr>
            <w:tcW w:w="1180" w:type="dxa"/>
            <w:vAlign w:val="bottom"/>
          </w:tcPr>
          <w:p>
            <w:pPr>
              <w:spacing w:after="0" w:line="20" w:lineRule="exact"/>
              <w:rPr>
                <w:sz w:val="1"/>
                <w:szCs w:val="1"/>
                <w:color w:val="auto"/>
              </w:rPr>
            </w:pPr>
          </w:p>
        </w:tc>
        <w:tc>
          <w:tcPr>
            <w:tcW w:w="53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96"/>
        </w:trPr>
        <w:tc>
          <w:tcPr>
            <w:tcW w:w="1180" w:type="dxa"/>
            <w:vAlign w:val="bottom"/>
          </w:tcPr>
          <w:p>
            <w:pPr>
              <w:spacing w:after="0"/>
              <w:rPr>
                <w:sz w:val="20"/>
                <w:szCs w:val="20"/>
                <w:color w:val="auto"/>
              </w:rPr>
            </w:pPr>
            <w:r>
              <w:rPr>
                <w:rFonts w:ascii="Arial" w:cs="Arial" w:eastAsia="Arial" w:hAnsi="Arial"/>
                <w:sz w:val="12"/>
                <w:szCs w:val="12"/>
                <w:color w:val="auto"/>
              </w:rPr>
              <w:t>99.2</w:t>
            </w:r>
          </w:p>
        </w:tc>
        <w:tc>
          <w:tcPr>
            <w:tcW w:w="10120" w:type="dxa"/>
            <w:vAlign w:val="bottom"/>
            <w:gridSpan w:val="3"/>
          </w:tcPr>
          <w:p>
            <w:pPr>
              <w:spacing w:after="0"/>
              <w:rPr>
                <w:sz w:val="20"/>
                <w:szCs w:val="20"/>
                <w:color w:val="auto"/>
              </w:rPr>
            </w:pPr>
            <w:r>
              <w:rPr>
                <w:rFonts w:ascii="Arial" w:cs="Arial" w:eastAsia="Arial" w:hAnsi="Arial"/>
                <w:sz w:val="12"/>
                <w:szCs w:val="12"/>
                <w:color w:val="0000FF"/>
              </w:rPr>
              <w:t>Informational slides provided by Brady Corporation, dated May 18, 2023, relating to fiscal 2023 third quarter financial results.</w:t>
            </w:r>
          </w:p>
        </w:tc>
      </w:tr>
      <w:tr>
        <w:trPr>
          <w:trHeight w:val="223"/>
        </w:trPr>
        <w:tc>
          <w:tcPr>
            <w:tcW w:w="1180" w:type="dxa"/>
            <w:vAlign w:val="bottom"/>
          </w:tcPr>
          <w:p>
            <w:pPr>
              <w:spacing w:after="0"/>
              <w:rPr>
                <w:sz w:val="20"/>
                <w:szCs w:val="20"/>
                <w:color w:val="auto"/>
              </w:rPr>
            </w:pPr>
            <w:r>
              <w:rPr>
                <w:rFonts w:ascii="Arial" w:cs="Arial" w:eastAsia="Arial" w:hAnsi="Arial"/>
                <w:sz w:val="12"/>
                <w:szCs w:val="12"/>
                <w:color w:val="auto"/>
              </w:rPr>
              <w:t>104</w:t>
            </w:r>
          </w:p>
        </w:tc>
        <w:tc>
          <w:tcPr>
            <w:tcW w:w="6080" w:type="dxa"/>
            <w:vAlign w:val="bottom"/>
            <w:tcBorders>
              <w:top w:val="single" w:sz="8" w:color="0000FF"/>
            </w:tcBorders>
            <w:gridSpan w:val="2"/>
          </w:tcPr>
          <w:p>
            <w:pPr>
              <w:spacing w:after="0"/>
              <w:rPr>
                <w:sz w:val="20"/>
                <w:szCs w:val="20"/>
                <w:color w:val="auto"/>
              </w:rPr>
            </w:pPr>
            <w:r>
              <w:rPr>
                <w:rFonts w:ascii="Arial" w:cs="Arial" w:eastAsia="Arial" w:hAnsi="Arial"/>
                <w:sz w:val="12"/>
                <w:szCs w:val="12"/>
                <w:color w:val="auto"/>
              </w:rPr>
              <w:t>Cover Page Interactive Data File (embedded within Inline XBRL document).</w:t>
            </w:r>
          </w:p>
        </w:tc>
        <w:tc>
          <w:tcPr>
            <w:tcW w:w="4040" w:type="dxa"/>
            <w:vAlign w:val="bottom"/>
          </w:tcPr>
          <w:p>
            <w:pPr>
              <w:spacing w:after="0"/>
              <w:rPr>
                <w:sz w:val="19"/>
                <w:szCs w:val="19"/>
                <w:color w:val="auto"/>
              </w:rPr>
            </w:pPr>
          </w:p>
        </w:tc>
      </w:tr>
    </w:tbl>
    <w:p>
      <w:pPr>
        <w:spacing w:after="0" w:line="3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68" w:lineRule="exact"/>
        <w:rPr>
          <w:sz w:val="20"/>
          <w:szCs w:val="20"/>
          <w:color w:val="auto"/>
        </w:rPr>
      </w:pPr>
    </w:p>
    <w:p>
      <w:pPr>
        <w:ind w:left="7480"/>
        <w:spacing w:after="0"/>
        <w:rPr>
          <w:sz w:val="20"/>
          <w:szCs w:val="20"/>
          <w:color w:val="auto"/>
        </w:rPr>
      </w:pPr>
      <w:r>
        <w:rPr>
          <w:rFonts w:ascii="Arial" w:cs="Arial" w:eastAsia="Arial" w:hAnsi="Arial"/>
          <w:sz w:val="12"/>
          <w:szCs w:val="12"/>
          <w:color w:val="auto"/>
        </w:rPr>
        <w:t>BRADY CORPORATION</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color w:val="auto"/>
        </w:rPr>
        <w:t>Date: May 18, 2023</w:t>
      </w:r>
    </w:p>
    <w:p>
      <w:pPr>
        <w:spacing w:after="0" w:line="195" w:lineRule="exact"/>
        <w:rPr>
          <w:sz w:val="20"/>
          <w:szCs w:val="20"/>
          <w:color w:val="auto"/>
        </w:rPr>
      </w:pPr>
    </w:p>
    <w:p>
      <w:pPr>
        <w:ind w:left="7480"/>
        <w:spacing w:after="0"/>
        <w:rPr>
          <w:sz w:val="20"/>
          <w:szCs w:val="20"/>
          <w:color w:val="auto"/>
        </w:rPr>
      </w:pPr>
      <w:r>
        <w:rPr>
          <w:rFonts w:ascii="Arial" w:cs="Arial" w:eastAsia="Arial" w:hAnsi="Arial"/>
          <w:sz w:val="12"/>
          <w:szCs w:val="12"/>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4749800</wp:posOffset>
            </wp:positionH>
            <wp:positionV relativeFrom="paragraph">
              <wp:posOffset>15240</wp:posOffset>
            </wp:positionV>
            <wp:extent cx="242316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3160" cy="5715"/>
                    </a:xfrm>
                    <a:prstGeom prst="rect">
                      <a:avLst/>
                    </a:prstGeom>
                    <a:noFill/>
                  </pic:spPr>
                </pic:pic>
              </a:graphicData>
            </a:graphic>
          </wp:anchor>
        </w:drawing>
      </w:r>
    </w:p>
    <w:p>
      <w:pPr>
        <w:spacing w:after="0" w:line="13" w:lineRule="exact"/>
        <w:rPr>
          <w:sz w:val="20"/>
          <w:szCs w:val="20"/>
          <w:color w:val="auto"/>
        </w:rPr>
      </w:pPr>
    </w:p>
    <w:p>
      <w:pPr>
        <w:ind w:left="7480"/>
        <w:spacing w:after="0"/>
        <w:rPr>
          <w:sz w:val="20"/>
          <w:szCs w:val="20"/>
          <w:color w:val="auto"/>
        </w:rPr>
      </w:pPr>
      <w:r>
        <w:rPr>
          <w:rFonts w:ascii="Arial" w:cs="Arial" w:eastAsia="Arial" w:hAnsi="Arial"/>
          <w:sz w:val="12"/>
          <w:szCs w:val="12"/>
          <w:color w:val="auto"/>
        </w:rPr>
        <w:t>Ann E. Thornton</w:t>
      </w:r>
    </w:p>
    <w:p>
      <w:pPr>
        <w:spacing w:after="0" w:line="15" w:lineRule="exact"/>
        <w:rPr>
          <w:sz w:val="20"/>
          <w:szCs w:val="20"/>
          <w:color w:val="auto"/>
        </w:rPr>
      </w:pPr>
    </w:p>
    <w:p>
      <w:pPr>
        <w:ind w:left="7480"/>
        <w:spacing w:after="0"/>
        <w:rPr>
          <w:sz w:val="20"/>
          <w:szCs w:val="20"/>
          <w:color w:val="auto"/>
        </w:rPr>
      </w:pPr>
      <w:r>
        <w:rPr>
          <w:rFonts w:ascii="Arial" w:cs="Arial" w:eastAsia="Arial" w:hAnsi="Arial"/>
          <w:sz w:val="12"/>
          <w:szCs w:val="12"/>
          <w:color w:val="auto"/>
        </w:rPr>
        <w:t>Chief Financial Officer, Chief Accounting Officer and Treasurer</w:t>
      </w:r>
    </w:p>
    <w:p>
      <w:pPr>
        <w:sectPr>
          <w:pgSz w:w="11900" w:h="16838" w:orient="portrait"/>
          <w:cols w:equalWidth="0" w:num="1">
            <w:col w:w="11300"/>
          </w:cols>
          <w:pgMar w:left="300" w:top="671" w:right="299" w:bottom="1440" w:gutter="0" w:footer="0" w:header="0"/>
        </w:sectPr>
      </w:pPr>
    </w:p>
    <w:bookmarkStart w:id="2" w:name="page3"/>
    <w:bookmarkEnd w:id="2"/>
    <w:p>
      <w:pPr>
        <w:ind w:left="10480"/>
        <w:spacing w:after="0"/>
        <w:rPr>
          <w:sz w:val="20"/>
          <w:szCs w:val="20"/>
          <w:color w:val="auto"/>
        </w:rPr>
      </w:pPr>
      <w:r>
        <w:rPr>
          <w:rFonts w:ascii="Arial" w:cs="Arial" w:eastAsia="Arial" w:hAnsi="Arial"/>
          <w:sz w:val="13"/>
          <w:szCs w:val="13"/>
          <w:b w:val="1"/>
          <w:bCs w:val="1"/>
          <w:u w:val="single" w:color="auto"/>
          <w:color w:val="auto"/>
        </w:rPr>
        <w:t>EXHIBIT 99.1</w:t>
      </w: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For More Information:</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Investor contact: Ann Thornton 414-438-6887</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Media contact: Kate Venne 414-358-5176</w:t>
      </w: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Brady Corporation Reports Record EPS in its Fiscal 2023 Third Quarter and Raises the Low End of its Fiscal 2023 EPS Guidance</w:t>
      </w:r>
    </w:p>
    <w:p>
      <w:pPr>
        <w:spacing w:after="0" w:line="197" w:lineRule="exact"/>
        <w:rPr>
          <w:sz w:val="20"/>
          <w:szCs w:val="20"/>
          <w:color w:val="auto"/>
        </w:rPr>
      </w:pPr>
    </w:p>
    <w:p>
      <w:pPr>
        <w:ind w:left="420" w:hanging="212"/>
        <w:spacing w:after="0" w:line="310" w:lineRule="auto"/>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Sales for the quarter decreased 0.4 percent compared to the same quarter of the prior year. Organic sales increased 1.9 percent, foreign currency reduced sales by 2.1 percent and the divestiture of the PremiSys business reduced sales by 0.2 percent in the quarter.</w:t>
      </w:r>
    </w:p>
    <w:p>
      <w:pPr>
        <w:spacing w:after="0" w:line="12" w:lineRule="exact"/>
        <w:rPr>
          <w:rFonts w:ascii="Arial" w:cs="Arial" w:eastAsia="Arial" w:hAnsi="Arial"/>
          <w:sz w:val="14"/>
          <w:szCs w:val="14"/>
          <w:color w:val="auto"/>
        </w:rPr>
      </w:pPr>
    </w:p>
    <w:p>
      <w:pPr>
        <w:ind w:left="420" w:hanging="212"/>
        <w:spacing w:after="0" w:line="310" w:lineRule="auto"/>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Diluted EPS increased 23.1 percent to a record high of $0.96 in the third quarter of fiscal 2023 compared to $0.78 in the same quarter of the prior year. Diluted EPS Excluding Certain Items* increased 10.5 percent to a record high of $0.95 in the third quarter of fiscal 2023 compared to $0.86 in the same quarter of the prior year.</w:t>
      </w:r>
    </w:p>
    <w:p>
      <w:pPr>
        <w:spacing w:after="0" w:line="12"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Net cash provided by operating activities increased 77.2 percent to $72.5 million in the third quarter of fiscal 2023 compared to $40.9 million in the third quarter of last year.</w:t>
      </w:r>
    </w:p>
    <w:p>
      <w:pPr>
        <w:spacing w:after="0" w:line="55" w:lineRule="exact"/>
        <w:rPr>
          <w:rFonts w:ascii="Arial" w:cs="Arial" w:eastAsia="Arial" w:hAnsi="Arial"/>
          <w:sz w:val="14"/>
          <w:szCs w:val="14"/>
          <w:color w:val="auto"/>
        </w:rPr>
      </w:pPr>
    </w:p>
    <w:p>
      <w:pPr>
        <w:ind w:left="420" w:hanging="212"/>
        <w:spacing w:after="0" w:line="310" w:lineRule="auto"/>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Earnings per diluted Class A Common Share guidance was adjusted for the full year ending July 31, 2023 from the previous range of $3.23 to $3.43 to the new range of $3.32 to $3.47 on a GAAP basis, and the low end was raised from the previous range of $3.40 to $3.60 to the new range of $3.45 to $3.60, on a non-GAAP basis.</w:t>
      </w:r>
    </w:p>
    <w:p>
      <w:pPr>
        <w:spacing w:after="0" w:line="12" w:lineRule="exact"/>
        <w:rPr>
          <w:rFonts w:ascii="Arial" w:cs="Arial" w:eastAsia="Arial" w:hAnsi="Arial"/>
          <w:sz w:val="14"/>
          <w:szCs w:val="14"/>
          <w:color w:val="auto"/>
        </w:rPr>
      </w:pPr>
    </w:p>
    <w:p>
      <w:pPr>
        <w:ind w:left="420" w:hanging="212"/>
        <w:spacing w:after="0" w:line="339" w:lineRule="auto"/>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Effective February 1, 2023, the Company is organized and managed on a geographic basis with two reportable segments: Americas &amp; Asia and Europe &amp; Australia. All segment-related data has been recast to reflect the new reportable segments.</w:t>
      </w:r>
    </w:p>
    <w:p>
      <w:pPr>
        <w:spacing w:after="0" w:line="128" w:lineRule="exact"/>
        <w:rPr>
          <w:sz w:val="20"/>
          <w:szCs w:val="20"/>
          <w:color w:val="auto"/>
        </w:rPr>
      </w:pPr>
    </w:p>
    <w:p>
      <w:pPr>
        <w:jc w:val="both"/>
        <w:spacing w:after="0" w:line="343" w:lineRule="auto"/>
        <w:rPr>
          <w:sz w:val="20"/>
          <w:szCs w:val="20"/>
          <w:color w:val="auto"/>
        </w:rPr>
      </w:pPr>
      <w:r>
        <w:rPr>
          <w:rFonts w:ascii="Arial" w:cs="Arial" w:eastAsia="Arial" w:hAnsi="Arial"/>
          <w:sz w:val="13"/>
          <w:szCs w:val="13"/>
          <w:color w:val="auto"/>
        </w:rPr>
        <w:t>MILWAUKEE (May 18, 2023) -- Brady Corporation (NYSE: BRC) (“Brady” or “Company”), a world leader in identification solutions, today reported its financial results for its fiscal 2023 third quarter ended April 30, 2023.</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Quarter Ended April 30, 2023 Financial Results:</w:t>
      </w:r>
    </w:p>
    <w:p>
      <w:pPr>
        <w:spacing w:after="0" w:line="53" w:lineRule="exact"/>
        <w:rPr>
          <w:sz w:val="20"/>
          <w:szCs w:val="20"/>
          <w:color w:val="auto"/>
        </w:rPr>
      </w:pPr>
    </w:p>
    <w:p>
      <w:pPr>
        <w:jc w:val="both"/>
        <w:ind w:firstLine="432"/>
        <w:spacing w:after="0" w:line="328" w:lineRule="auto"/>
        <w:rPr>
          <w:sz w:val="20"/>
          <w:szCs w:val="20"/>
          <w:color w:val="auto"/>
        </w:rPr>
      </w:pPr>
      <w:r>
        <w:rPr>
          <w:rFonts w:ascii="Arial" w:cs="Arial" w:eastAsia="Arial" w:hAnsi="Arial"/>
          <w:sz w:val="13"/>
          <w:szCs w:val="13"/>
          <w:color w:val="auto"/>
        </w:rPr>
        <w:t>Sales for the quarter ended April 30, 2023 decreased 0.4 percent, which consisted of an organic sales increase of 1.9 percent, a decrease of 2.1 percent from foreign currency translation and a decrease of 0.2 percent from the divestiture of the PremiSys business. Sales for the quarter ended April 30, 2023 were $337.1 million compared to $338.6 million in the same quarter last year. By region, sales increased 0.1 percent in the Americas &amp; Asia and decreased 1.4 percent in Europe &amp; Australia, which consisted of an organic sales increase of 1.2 percent in the Americas &amp; Asia and an organic sales increase of 3.4 percent in Europe &amp; Australia.</w:t>
      </w:r>
    </w:p>
    <w:p>
      <w:pPr>
        <w:spacing w:after="0" w:line="2" w:lineRule="exact"/>
        <w:rPr>
          <w:sz w:val="20"/>
          <w:szCs w:val="20"/>
          <w:color w:val="auto"/>
        </w:rPr>
      </w:pPr>
    </w:p>
    <w:p>
      <w:pPr>
        <w:jc w:val="both"/>
        <w:ind w:firstLine="432"/>
        <w:spacing w:after="0" w:line="337" w:lineRule="auto"/>
        <w:rPr>
          <w:sz w:val="20"/>
          <w:szCs w:val="20"/>
          <w:color w:val="auto"/>
        </w:rPr>
      </w:pPr>
      <w:r>
        <w:rPr>
          <w:rFonts w:ascii="Arial" w:cs="Arial" w:eastAsia="Arial" w:hAnsi="Arial"/>
          <w:sz w:val="13"/>
          <w:szCs w:val="13"/>
          <w:color w:val="auto"/>
        </w:rPr>
        <w:t>Income before income taxes increased 23.0 percent to $63.0 million for the quarter ended April 30, 2023, compared to $51.3 million in the same quarter last year. Income Before Income Taxes Excluding Certain Items* for the quarter ended April 30, 2023, which was adjusted for amortization expense of $2.5 million and removes the $3.8 million pre-tax gain on the sale of the PremiSys business, was $61.7 million, an increase of 8.6 percent compared to the third quarter of last year.</w:t>
      </w:r>
    </w:p>
    <w:p>
      <w:pPr>
        <w:sectPr>
          <w:pgSz w:w="11900" w:h="16838" w:orient="portrait"/>
          <w:cols w:equalWidth="0" w:num="1">
            <w:col w:w="11300"/>
          </w:cols>
          <w:pgMar w:left="300" w:top="638" w:right="299" w:bottom="1440" w:gutter="0" w:footer="0" w:header="0"/>
        </w:sectPr>
      </w:pPr>
    </w:p>
    <w:bookmarkStart w:id="3" w:name="page4"/>
    <w:bookmarkEnd w:id="3"/>
    <w:p>
      <w:pPr>
        <w:jc w:val="both"/>
        <w:ind w:firstLine="432"/>
        <w:spacing w:after="0" w:line="340" w:lineRule="auto"/>
        <w:rPr>
          <w:sz w:val="20"/>
          <w:szCs w:val="20"/>
          <w:color w:val="auto"/>
        </w:rPr>
      </w:pPr>
      <w:r>
        <w:rPr>
          <w:rFonts w:ascii="Arial" w:cs="Arial" w:eastAsia="Arial" w:hAnsi="Arial"/>
          <w:sz w:val="13"/>
          <w:szCs w:val="13"/>
          <w:color w:val="auto"/>
        </w:rPr>
        <w:t>Net income for the quarter ended April 30, 2023 was $48.1 million compared to $40.1 million in the same quarter last year. Earnings per diluted Class A Nonvoting Common Share were $0.96 in the third quarter of fiscal 2023, compared to $0.78 in the same quarter last year. Net Income Excluding Certain Items* for the quarter ended April 30, 2023 was $47.6 million and Diluted EPS Excluding Certain Items* for the quarter ended April 30, 2023 was $0.95. Net Income Excluding Certain Items* for the quarter ended April 30, 2022 was $44.2 million, and Diluted EPS Excluding Certain Items* for the quarter ended April 30, 2022 was $0.86.</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Nine-Month Period Ended April 30, 2023 Financial Results:</w:t>
      </w:r>
    </w:p>
    <w:p>
      <w:pPr>
        <w:spacing w:after="0" w:line="53" w:lineRule="exact"/>
        <w:rPr>
          <w:sz w:val="20"/>
          <w:szCs w:val="20"/>
          <w:color w:val="auto"/>
        </w:rPr>
      </w:pPr>
    </w:p>
    <w:p>
      <w:pPr>
        <w:jc w:val="both"/>
        <w:ind w:firstLine="432"/>
        <w:spacing w:after="0" w:line="328" w:lineRule="auto"/>
        <w:rPr>
          <w:sz w:val="20"/>
          <w:szCs w:val="20"/>
          <w:color w:val="auto"/>
        </w:rPr>
      </w:pPr>
      <w:r>
        <w:rPr>
          <w:rFonts w:ascii="Arial" w:cs="Arial" w:eastAsia="Arial" w:hAnsi="Arial"/>
          <w:sz w:val="13"/>
          <w:szCs w:val="13"/>
          <w:color w:val="auto"/>
        </w:rPr>
        <w:t>Sales for the nine-month period ended April 30, 2023 increased 0.8 percent, which consisted of an organic sales increase of 5.0 percent, a decrease of 4.1 percent from foreign currency translation and a decrease of 0.1 percent from the divestiture of the PremiSys business. Sales for the nine months ended April 30, 2023 were $985.9 million compared to $978.1 million in the same period last year. By region, sales increased 2.8 percent in the Americas &amp; Asia and decreased 3.1 percent in Europe &amp; Australia, which consisted of an organic sales increase of 4.0 percent in the Americas &amp; Asia and an organic sales increase of 7.0 percent in Europe &amp; Australia.</w:t>
      </w:r>
    </w:p>
    <w:p>
      <w:pPr>
        <w:spacing w:after="0" w:line="2"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3"/>
          <w:szCs w:val="13"/>
          <w:color w:val="auto"/>
        </w:rPr>
        <w:t>Income before income taxes increased 17.3 percent to $161.9 million for the nine-month period ended April 30, 2023, compared to $138.0 million in the same period last year. Income Before Income Taxes Excluding Certain Items* for the nine months ended April 30, 2023, which was adjusted for amortization expense of $9.4 million and removes the $3.8 million gain on the sale of our PremiSys business, was $167.5 million, an increase of 10.8 percent compared to the same period of the prior year.</w:t>
      </w:r>
    </w:p>
    <w:p>
      <w:pPr>
        <w:spacing w:after="0" w:line="1" w:lineRule="exact"/>
        <w:rPr>
          <w:sz w:val="20"/>
          <w:szCs w:val="20"/>
          <w:color w:val="auto"/>
        </w:rPr>
      </w:pPr>
    </w:p>
    <w:p>
      <w:pPr>
        <w:jc w:val="both"/>
        <w:ind w:firstLine="432"/>
        <w:spacing w:after="0" w:line="350" w:lineRule="auto"/>
        <w:rPr>
          <w:sz w:val="20"/>
          <w:szCs w:val="20"/>
          <w:color w:val="auto"/>
        </w:rPr>
      </w:pPr>
      <w:r>
        <w:rPr>
          <w:rFonts w:ascii="Arial" w:cs="Arial" w:eastAsia="Arial" w:hAnsi="Arial"/>
          <w:sz w:val="13"/>
          <w:szCs w:val="13"/>
          <w:color w:val="auto"/>
        </w:rPr>
        <w:t>Net income for the nine-month period ended April 30, 2023 was $125.5 million compared to $108.9 million in the same period last year. Earnings per diluted Class A Nonvoting Common Share were $2.51 for the nine months ended April 30, 2023, compared to $2.09 in the same period last year. Net Income Excluding Certain Items* for the nine months ended April 30, 2023 was $130.3 million and Diluted EPS Excluding Certain Items* for the nine months ended April 30, 2023 was $2.60. Net Income Excluding Certain Items* for the nine months ended April 30, 2022 was $118.9 million, and Diluted EPS Excluding Certain Items* for the nine months ended April 30, 2022 was $2.28.</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Commentary:</w:t>
      </w:r>
    </w:p>
    <w:p>
      <w:pPr>
        <w:spacing w:after="0" w:line="62" w:lineRule="exact"/>
        <w:rPr>
          <w:sz w:val="20"/>
          <w:szCs w:val="20"/>
          <w:color w:val="auto"/>
        </w:rPr>
      </w:pPr>
    </w:p>
    <w:p>
      <w:pPr>
        <w:jc w:val="both"/>
        <w:ind w:firstLine="432"/>
        <w:spacing w:after="0" w:line="337" w:lineRule="auto"/>
        <w:rPr>
          <w:sz w:val="20"/>
          <w:szCs w:val="20"/>
          <w:color w:val="auto"/>
        </w:rPr>
      </w:pPr>
      <w:r>
        <w:rPr>
          <w:rFonts w:ascii="Arial" w:cs="Arial" w:eastAsia="Arial" w:hAnsi="Arial"/>
          <w:sz w:val="13"/>
          <w:szCs w:val="13"/>
          <w:color w:val="auto"/>
        </w:rPr>
        <w:t>“Our most recent financial results once again demonstrate how our investment in research and development is paying off and adding tremendous value to our customers. This quarter, we launched several new industrial printers that continue to separate us from our competition. Our ability to innovate has never been stronger and is setting the stage for continued future growth,” said Brady’s President and Chief Executive Officer, Russell R. Shaller. “This quarter, we completed the reorganization of Brady around two new operating segments: Americas &amp; Asia and Europe &amp; Australia. This reorganization is allowing us to better integrate our businesses while supporting continued organic growth by combining our best go-to-market strategies in each geography, facilitating an increased pace of new product development, and further simplifying our global businesses. While we recognize that the macro-economy is uncertain, we will continue to invest in our critical organic and inorganic growth initiatives throughout the economic cycle, which we believe positions us for future success.”</w:t>
      </w:r>
    </w:p>
    <w:p>
      <w:pPr>
        <w:spacing w:after="0" w:line="1" w:lineRule="exact"/>
        <w:rPr>
          <w:sz w:val="20"/>
          <w:szCs w:val="20"/>
          <w:color w:val="auto"/>
        </w:rPr>
      </w:pPr>
    </w:p>
    <w:p>
      <w:pPr>
        <w:jc w:val="both"/>
        <w:ind w:firstLine="432"/>
        <w:spacing w:after="0" w:line="372" w:lineRule="auto"/>
        <w:rPr>
          <w:sz w:val="20"/>
          <w:szCs w:val="20"/>
          <w:color w:val="auto"/>
        </w:rPr>
      </w:pPr>
      <w:r>
        <w:rPr>
          <w:rFonts w:ascii="Arial" w:cs="Arial" w:eastAsia="Arial" w:hAnsi="Arial"/>
          <w:sz w:val="13"/>
          <w:szCs w:val="13"/>
          <w:color w:val="auto"/>
        </w:rPr>
        <w:t>“Brady had a strong quarter. We posted record high quarterly diluted EPS of $0.96 and our operating cash flow was $72.5M, which equates to 151 percent of GAAP net income and is up 77 percent from the same quarter last year,” said Brady’s Chief Financial Officer, Ann Thornton. “We also returned $11.4 million to our</w:t>
      </w:r>
    </w:p>
    <w:p>
      <w:pPr>
        <w:sectPr>
          <w:pgSz w:w="11900" w:h="16838" w:orient="portrait"/>
          <w:cols w:equalWidth="0" w:num="1">
            <w:col w:w="11300"/>
          </w:cols>
          <w:pgMar w:left="300" w:top="678" w:right="299" w:bottom="1440" w:gutter="0" w:footer="0" w:header="0"/>
        </w:sectPr>
      </w:pPr>
    </w:p>
    <w:bookmarkStart w:id="4" w:name="page5"/>
    <w:bookmarkEnd w:id="4"/>
    <w:p>
      <w:pPr>
        <w:jc w:val="both"/>
        <w:spacing w:after="0" w:line="352" w:lineRule="auto"/>
        <w:rPr>
          <w:sz w:val="20"/>
          <w:szCs w:val="20"/>
          <w:color w:val="auto"/>
        </w:rPr>
      </w:pPr>
      <w:r>
        <w:rPr>
          <w:rFonts w:ascii="Arial" w:cs="Arial" w:eastAsia="Arial" w:hAnsi="Arial"/>
          <w:sz w:val="13"/>
          <w:szCs w:val="13"/>
          <w:color w:val="auto"/>
        </w:rPr>
        <w:t>shareholders in the form of dividends this quarter and we repurchased $29.8 million in shares during the first nine months of this fiscal year. We have minimal debt and we are in a net cash position of $84.2 million at April 30, 2023. As for capital allocation, we expect to continue to fully fund our organic investments, return cash to our shareholders in the form of dividends, be opportunistic with share buybacks and execute strategic acquisitions that increase our growth trajectory.”</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Fiscal 2023 Guidance:</w:t>
      </w:r>
    </w:p>
    <w:p>
      <w:pPr>
        <w:spacing w:after="0" w:line="53"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3"/>
          <w:szCs w:val="13"/>
          <w:color w:val="auto"/>
        </w:rPr>
        <w:t>The Company adjusted its GAAP earnings per diluted Class A Nonvoting Common Share guidance for the year ending July 31, 2023 from the previous guidance range of $3.23 to $3.43 per share to the new full year guidance range of $3.32 to $3.47 per share. The Company raised the low end of its Diluted EPS Excluding Certain Items* guidance for the year ending July 31, 2023 from the previous range of $3.40 to $3.60 per share to the new full year guidance range of $3.45 to $3.60 per share.</w:t>
      </w:r>
    </w:p>
    <w:p>
      <w:pPr>
        <w:spacing w:after="0" w:line="1" w:lineRule="exact"/>
        <w:rPr>
          <w:sz w:val="20"/>
          <w:szCs w:val="20"/>
          <w:color w:val="auto"/>
        </w:rPr>
      </w:pPr>
    </w:p>
    <w:p>
      <w:pPr>
        <w:jc w:val="both"/>
        <w:ind w:firstLine="432"/>
        <w:spacing w:after="0" w:line="358" w:lineRule="auto"/>
        <w:rPr>
          <w:sz w:val="20"/>
          <w:szCs w:val="20"/>
          <w:color w:val="auto"/>
        </w:rPr>
      </w:pPr>
      <w:r>
        <w:rPr>
          <w:rFonts w:ascii="Arial" w:cs="Arial" w:eastAsia="Arial" w:hAnsi="Arial"/>
          <w:sz w:val="13"/>
          <w:szCs w:val="13"/>
          <w:color w:val="auto"/>
        </w:rPr>
        <w:t>The assumptions included in our fiscal 2023 guidance include a full-year income tax rate of approximately 21 percent, depreciation and amortization expense ranging from $32 million to $34 million, and capital expenditures of approximately $20 million. Our fiscal 2023 guidance is based on foreign currency exchange rates as of April 30, 2023 and assumes continued economic growth.</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 xml:space="preserve">A webcast regarding Brady’s fiscal 2023 third quarter financial results will be available at </w:t>
      </w:r>
      <w:r>
        <w:rPr>
          <w:rFonts w:ascii="Arial" w:cs="Arial" w:eastAsia="Arial" w:hAnsi="Arial"/>
          <w:sz w:val="13"/>
          <w:szCs w:val="13"/>
          <w:u w:val="single" w:color="auto"/>
          <w:color w:val="0000FF"/>
        </w:rPr>
        <w:t>www.bradycorp.com/investors</w:t>
      </w:r>
      <w:r>
        <w:rPr>
          <w:rFonts w:ascii="Arial" w:cs="Arial" w:eastAsia="Arial" w:hAnsi="Arial"/>
          <w:sz w:val="13"/>
          <w:szCs w:val="13"/>
          <w:color w:val="auto"/>
        </w:rPr>
        <w:t xml:space="preserve"> beginning at 9:30 a.m. central time today.</w:t>
      </w:r>
    </w:p>
    <w:p>
      <w:pPr>
        <w:spacing w:after="0" w:line="220" w:lineRule="exact"/>
        <w:rPr>
          <w:sz w:val="20"/>
          <w:szCs w:val="20"/>
          <w:color w:val="auto"/>
        </w:rPr>
      </w:pPr>
    </w:p>
    <w:p>
      <w:pPr>
        <w:jc w:val="both"/>
        <w:ind w:firstLine="432"/>
        <w:spacing w:after="0" w:line="349" w:lineRule="auto"/>
        <w:rPr>
          <w:sz w:val="20"/>
          <w:szCs w:val="20"/>
          <w:color w:val="auto"/>
        </w:rPr>
      </w:pPr>
      <w:r>
        <w:rPr>
          <w:rFonts w:ascii="Arial" w:cs="Arial" w:eastAsia="Arial" w:hAnsi="Arial"/>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2022, employed approximately 5,700 people in its worldwide businesses. Brady’s fiscal 2022 sales were approximately $1.30 billion. Brady stock trades on the New York Stock Exchange under the symbol BRC. More information is available on the Internet at </w:t>
      </w:r>
      <w:r>
        <w:rPr>
          <w:rFonts w:ascii="Arial" w:cs="Arial" w:eastAsia="Arial" w:hAnsi="Arial"/>
          <w:sz w:val="13"/>
          <w:szCs w:val="13"/>
          <w:u w:val="single" w:color="auto"/>
          <w:color w:val="0000FF"/>
        </w:rPr>
        <w:t>www.bradyid.com</w:t>
      </w:r>
      <w:r>
        <w:rPr>
          <w:rFonts w:ascii="Arial" w:cs="Arial" w:eastAsia="Arial" w:hAnsi="Arial"/>
          <w:sz w:val="13"/>
          <w:szCs w:val="13"/>
          <w:color w:val="auto"/>
        </w:rPr>
        <w:t>.</w:t>
      </w:r>
    </w:p>
    <w:p>
      <w:pPr>
        <w:spacing w:after="0" w:line="299" w:lineRule="exact"/>
        <w:rPr>
          <w:sz w:val="20"/>
          <w:szCs w:val="20"/>
          <w:color w:val="auto"/>
        </w:rPr>
      </w:pPr>
    </w:p>
    <w:p>
      <w:pPr>
        <w:ind w:firstLine="424"/>
        <w:spacing w:after="0" w:line="358" w:lineRule="auto"/>
        <w:tabs>
          <w:tab w:leader="none" w:pos="538"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Income Before Income Taxes Excluding Certain Items, Net Income Excluding Certain Items, and Diluted EPS Excluding Certain Items are non-GAAP measures. See appendix for more information on these measures, including reconciliations to the most directly comparable GAAP measures.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203" w:lineRule="exact"/>
        <w:rPr>
          <w:sz w:val="20"/>
          <w:szCs w:val="20"/>
          <w:color w:val="auto"/>
        </w:rPr>
      </w:pPr>
    </w:p>
    <w:p>
      <w:pPr>
        <w:spacing w:after="0" w:line="245" w:lineRule="auto"/>
        <w:rPr>
          <w:sz w:val="20"/>
          <w:szCs w:val="20"/>
          <w:color w:val="auto"/>
        </w:rPr>
      </w:pPr>
      <w:r>
        <w:rPr>
          <w:rFonts w:ascii="Arial" w:cs="Arial" w:eastAsia="Arial" w:hAnsi="Arial"/>
          <w:sz w:val="12"/>
          <w:szCs w:val="12"/>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sectPr>
          <w:pgSz w:w="11900" w:h="16838" w:orient="portrait"/>
          <w:cols w:equalWidth="0" w:num="1">
            <w:col w:w="11300"/>
          </w:cols>
          <w:pgMar w:left="300" w:top="678" w:right="299" w:bottom="1440" w:gutter="0" w:footer="0" w:header="0"/>
        </w:sectPr>
      </w:pPr>
    </w:p>
    <w:bookmarkStart w:id="5" w:name="page6"/>
    <w:bookmarkEnd w:id="5"/>
    <w:p>
      <w:pPr>
        <w:jc w:val="both"/>
        <w:spacing w:after="0" w:line="260" w:lineRule="auto"/>
        <w:rPr>
          <w:sz w:val="20"/>
          <w:szCs w:val="20"/>
          <w:color w:val="auto"/>
        </w:rPr>
      </w:pPr>
      <w:r>
        <w:rPr>
          <w:rFonts w:ascii="Arial" w:cs="Arial" w:eastAsia="Arial" w:hAnsi="Arial"/>
          <w:sz w:val="11"/>
          <w:szCs w:val="11"/>
          <w:color w:val="auto"/>
        </w:rPr>
        <w:t>The use of words such as “may,” “will,” “expect,” “intend,” “estimate,” “anticipate,” “believe,” “should,” “project,”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increased cost of raw materials, labor and freight as well as material shortages and supply chain disruptions; decreased demand for our products; our ability to compete effectively or to successfully execute our strategy; our ability to develop technologically advanced products that meet customer demands; Brady’s ability to identify, integrate, and grow acquired companies, and to manage contingent liabilities from divested businesses; adverse impacts of the novel coronavirus (“COVID-19”) pandemic or other pandemics; difficulties in protecting our websites, networks, and systems against security breaches; risks associated with the loss of key employees; extensive regulations by U.S. and non-U.S. governmental and self-regulatory entities; litigation, including product liability claims; foreign currency fluctuations; potential write-offs of goodwill and other intangible assets; changes in tax legislation and tax rates; differing interests of voting and non-voting shareholders; 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2022.</w:t>
      </w:r>
    </w:p>
    <w:p>
      <w:pPr>
        <w:spacing w:after="0" w:line="135" w:lineRule="exact"/>
        <w:rPr>
          <w:sz w:val="20"/>
          <w:szCs w:val="20"/>
          <w:color w:val="auto"/>
        </w:rPr>
      </w:pPr>
    </w:p>
    <w:p>
      <w:pPr>
        <w:spacing w:after="0"/>
        <w:rPr>
          <w:sz w:val="20"/>
          <w:szCs w:val="20"/>
          <w:color w:val="auto"/>
        </w:rPr>
      </w:pPr>
      <w:r>
        <w:rPr>
          <w:rFonts w:ascii="Arial" w:cs="Arial" w:eastAsia="Arial" w:hAnsi="Arial"/>
          <w:sz w:val="10"/>
          <w:szCs w:val="10"/>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300"/>
          </w:cols>
          <w:pgMar w:left="300" w:top="635" w:right="299" w:bottom="1440" w:gutter="0" w:footer="0" w:header="0"/>
        </w:sectPr>
      </w:pPr>
    </w:p>
    <w:bookmarkStart w:id="6" w:name="page7"/>
    <w:bookmarkEnd w:id="6"/>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STATEMENTS OF INCOME</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(Unaudited; Dollars in thousands,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6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226"/>
              <w:spacing w:after="0"/>
              <w:rPr>
                <w:sz w:val="20"/>
                <w:szCs w:val="20"/>
                <w:color w:val="auto"/>
              </w:rPr>
            </w:pPr>
            <w:r>
              <w:rPr>
                <w:rFonts w:ascii="Arial" w:cs="Arial" w:eastAsia="Arial" w:hAnsi="Arial"/>
                <w:sz w:val="11"/>
                <w:szCs w:val="11"/>
                <w:color w:val="auto"/>
              </w:rPr>
              <w:t>Three months ended April 30,</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26"/>
              <w:spacing w:after="0"/>
              <w:rPr>
                <w:sz w:val="20"/>
                <w:szCs w:val="20"/>
                <w:color w:val="auto"/>
              </w:rPr>
            </w:pPr>
            <w:r>
              <w:rPr>
                <w:rFonts w:ascii="Arial" w:cs="Arial" w:eastAsia="Arial" w:hAnsi="Arial"/>
                <w:sz w:val="11"/>
                <w:szCs w:val="11"/>
                <w:color w:val="auto"/>
              </w:rPr>
              <w:t>Nine months ended April 30,</w:t>
            </w:r>
          </w:p>
        </w:tc>
      </w:tr>
      <w:tr>
        <w:trPr>
          <w:trHeight w:val="133"/>
        </w:trPr>
        <w:tc>
          <w:tcPr>
            <w:tcW w:w="5560" w:type="dxa"/>
            <w:vAlign w:val="bottom"/>
          </w:tcPr>
          <w:p>
            <w:pPr>
              <w:spacing w:after="0"/>
              <w:rPr>
                <w:sz w:val="11"/>
                <w:szCs w:val="11"/>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1"/>
                <w:szCs w:val="11"/>
                <w:color w:val="auto"/>
              </w:rPr>
              <w:t>2023</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2022</w:t>
            </w: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color w:val="auto"/>
              </w:rPr>
              <w:t>2023</w:t>
            </w: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color w:val="auto"/>
              </w:rPr>
              <w:t>2022</w:t>
            </w:r>
          </w:p>
        </w:tc>
      </w:tr>
      <w:tr>
        <w:trPr>
          <w:trHeight w:val="135"/>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Net sales</w:t>
            </w:r>
          </w:p>
        </w:tc>
        <w:tc>
          <w:tcPr>
            <w:tcW w:w="880" w:type="dxa"/>
            <w:vAlign w:val="bottom"/>
            <w:shd w:val="clear" w:color="auto" w:fill="CCEEFF"/>
          </w:tcPr>
          <w:p>
            <w:pPr>
              <w:jc w:val="right"/>
              <w:ind w:right="77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337,116</w:t>
            </w:r>
          </w:p>
        </w:tc>
        <w:tc>
          <w:tcPr>
            <w:tcW w:w="960" w:type="dxa"/>
            <w:vAlign w:val="bottom"/>
            <w:gridSpan w:val="2"/>
            <w:shd w:val="clear" w:color="auto" w:fill="CCEEFF"/>
          </w:tcPr>
          <w:p>
            <w:pPr>
              <w:jc w:val="right"/>
              <w:ind w:right="76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338,551</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985,934</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978,081</w:t>
            </w:r>
          </w:p>
        </w:tc>
      </w:tr>
      <w:tr>
        <w:trPr>
          <w:trHeight w:val="144"/>
        </w:trPr>
        <w:tc>
          <w:tcPr>
            <w:tcW w:w="5560" w:type="dxa"/>
            <w:vAlign w:val="bottom"/>
          </w:tcPr>
          <w:p>
            <w:pPr>
              <w:spacing w:after="0"/>
              <w:rPr>
                <w:sz w:val="20"/>
                <w:szCs w:val="20"/>
                <w:color w:val="auto"/>
              </w:rPr>
            </w:pPr>
            <w:r>
              <w:rPr>
                <w:rFonts w:ascii="Arial" w:cs="Arial" w:eastAsia="Arial" w:hAnsi="Arial"/>
                <w:sz w:val="11"/>
                <w:szCs w:val="11"/>
                <w:color w:val="auto"/>
              </w:rPr>
              <w:t>Cost of goods sold</w:t>
            </w:r>
          </w:p>
        </w:tc>
        <w:tc>
          <w:tcPr>
            <w:tcW w:w="8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167,425</w:t>
            </w:r>
          </w:p>
        </w:tc>
        <w:tc>
          <w:tcPr>
            <w:tcW w:w="8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174,525</w:t>
            </w: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504,539</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509,705</w:t>
            </w:r>
          </w:p>
        </w:tc>
      </w:tr>
      <w:tr>
        <w:trPr>
          <w:trHeight w:val="133"/>
        </w:trPr>
        <w:tc>
          <w:tcPr>
            <w:tcW w:w="55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Gross margin</w:t>
            </w: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169,691</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164,026</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481,395</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468,376</w:t>
            </w:r>
          </w:p>
        </w:tc>
      </w:tr>
      <w:tr>
        <w:trPr>
          <w:trHeight w:val="142"/>
        </w:trPr>
        <w:tc>
          <w:tcPr>
            <w:tcW w:w="5560" w:type="dxa"/>
            <w:vAlign w:val="bottom"/>
          </w:tcPr>
          <w:p>
            <w:pPr>
              <w:spacing w:after="0"/>
              <w:rPr>
                <w:sz w:val="20"/>
                <w:szCs w:val="20"/>
                <w:color w:val="auto"/>
              </w:rPr>
            </w:pPr>
            <w:r>
              <w:rPr>
                <w:rFonts w:ascii="Arial" w:cs="Arial" w:eastAsia="Arial" w:hAnsi="Arial"/>
                <w:sz w:val="11"/>
                <w:szCs w:val="11"/>
                <w:color w:val="auto"/>
              </w:rPr>
              <w:t>Operating expenses:</w:t>
            </w: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6"/>
        </w:trPr>
        <w:tc>
          <w:tcPr>
            <w:tcW w:w="55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Research and development</w:t>
            </w:r>
          </w:p>
        </w:tc>
        <w:tc>
          <w:tcPr>
            <w:tcW w:w="8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15,715</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14,923</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45,025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42,795</w:t>
            </w:r>
          </w:p>
        </w:tc>
      </w:tr>
      <w:tr>
        <w:trPr>
          <w:trHeight w:val="144"/>
        </w:trPr>
        <w:tc>
          <w:tcPr>
            <w:tcW w:w="5560" w:type="dxa"/>
            <w:vAlign w:val="bottom"/>
          </w:tcPr>
          <w:p>
            <w:pPr>
              <w:ind w:left="140"/>
              <w:spacing w:after="0"/>
              <w:rPr>
                <w:sz w:val="20"/>
                <w:szCs w:val="20"/>
                <w:color w:val="auto"/>
              </w:rPr>
            </w:pPr>
            <w:r>
              <w:rPr>
                <w:rFonts w:ascii="Arial" w:cs="Arial" w:eastAsia="Arial" w:hAnsi="Arial"/>
                <w:sz w:val="11"/>
                <w:szCs w:val="11"/>
                <w:color w:val="auto"/>
              </w:rPr>
              <w:t>Selling, general and administrative</w:t>
            </w:r>
          </w:p>
        </w:tc>
        <w:tc>
          <w:tcPr>
            <w:tcW w:w="8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90,975</w:t>
            </w:r>
          </w:p>
        </w:tc>
        <w:tc>
          <w:tcPr>
            <w:tcW w:w="8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96,214</w:t>
            </w: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273,202</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285,485</w:t>
            </w:r>
          </w:p>
        </w:tc>
      </w:tr>
      <w:tr>
        <w:trPr>
          <w:trHeight w:val="133"/>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Total operating expenses</w:t>
            </w: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106,690</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111,137</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318,227</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328,280</w:t>
            </w:r>
          </w:p>
        </w:tc>
      </w:tr>
      <w:tr>
        <w:trPr>
          <w:trHeight w:val="171"/>
        </w:trPr>
        <w:tc>
          <w:tcPr>
            <w:tcW w:w="5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Operating income</w:t>
            </w:r>
          </w:p>
        </w:tc>
        <w:tc>
          <w:tcPr>
            <w:tcW w:w="8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63,001</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52,889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163,168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140,096</w:t>
            </w:r>
          </w:p>
        </w:tc>
      </w:tr>
      <w:tr>
        <w:trPr>
          <w:trHeight w:val="162"/>
        </w:trPr>
        <w:tc>
          <w:tcPr>
            <w:tcW w:w="5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Other income (expense):</w:t>
            </w:r>
          </w:p>
        </w:tc>
        <w:tc>
          <w:tcPr>
            <w:tcW w:w="8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60" w:type="dxa"/>
            <w:vAlign w:val="bottom"/>
          </w:tcPr>
          <w:p>
            <w:pPr>
              <w:ind w:left="140"/>
              <w:spacing w:after="0"/>
              <w:rPr>
                <w:sz w:val="20"/>
                <w:szCs w:val="20"/>
                <w:color w:val="auto"/>
              </w:rPr>
            </w:pPr>
            <w:r>
              <w:rPr>
                <w:rFonts w:ascii="Arial" w:cs="Arial" w:eastAsia="Arial" w:hAnsi="Arial"/>
                <w:sz w:val="11"/>
                <w:szCs w:val="11"/>
                <w:color w:val="auto"/>
              </w:rPr>
              <w:t>Investment and other income (expense)</w:t>
            </w:r>
          </w:p>
        </w:tc>
        <w:tc>
          <w:tcPr>
            <w:tcW w:w="88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785</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(1,308)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1,596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(1,343)</w:t>
            </w:r>
          </w:p>
        </w:tc>
      </w:tr>
      <w:tr>
        <w:trPr>
          <w:trHeight w:val="146"/>
        </w:trPr>
        <w:tc>
          <w:tcPr>
            <w:tcW w:w="5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Interest expense</w:t>
            </w:r>
          </w:p>
        </w:tc>
        <w:tc>
          <w:tcPr>
            <w:tcW w:w="8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(753)</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(329)</w:t>
            </w: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(2,886)</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(763)</w:t>
            </w:r>
          </w:p>
        </w:tc>
      </w:tr>
      <w:tr>
        <w:trPr>
          <w:trHeight w:val="160"/>
        </w:trPr>
        <w:tc>
          <w:tcPr>
            <w:tcW w:w="5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44"/>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Income before income taxes</w:t>
            </w:r>
          </w:p>
        </w:tc>
        <w:tc>
          <w:tcPr>
            <w:tcW w:w="8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63,033</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51,252</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161,878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137,990</w:t>
            </w:r>
          </w:p>
        </w:tc>
      </w:tr>
      <w:tr>
        <w:trPr>
          <w:trHeight w:val="162"/>
        </w:trPr>
        <w:tc>
          <w:tcPr>
            <w:tcW w:w="5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Income tax expense</w:t>
            </w:r>
          </w:p>
        </w:tc>
        <w:tc>
          <w:tcPr>
            <w:tcW w:w="8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14,981</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11,198</w:t>
            </w: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36,399</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29,075</w:t>
            </w:r>
          </w:p>
        </w:tc>
      </w:tr>
      <w:tr>
        <w:trPr>
          <w:trHeight w:val="151"/>
        </w:trPr>
        <w:tc>
          <w:tcPr>
            <w:tcW w:w="5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0"/>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Net income</w:t>
            </w:r>
          </w:p>
        </w:tc>
        <w:tc>
          <w:tcPr>
            <w:tcW w:w="880" w:type="dxa"/>
            <w:vAlign w:val="bottom"/>
            <w:shd w:val="clear" w:color="auto" w:fill="CCEEFF"/>
          </w:tcPr>
          <w:p>
            <w:pPr>
              <w:jc w:val="right"/>
              <w:ind w:right="77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48,052</w:t>
            </w:r>
          </w:p>
        </w:tc>
        <w:tc>
          <w:tcPr>
            <w:tcW w:w="960" w:type="dxa"/>
            <w:vAlign w:val="bottom"/>
            <w:gridSpan w:val="2"/>
            <w:shd w:val="clear" w:color="auto" w:fill="CCEEFF"/>
          </w:tcPr>
          <w:p>
            <w:pPr>
              <w:jc w:val="right"/>
              <w:ind w:right="76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40,054</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125,479</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108,915</w:t>
            </w:r>
          </w:p>
        </w:tc>
      </w:tr>
      <w:tr>
        <w:trPr>
          <w:trHeight w:val="153"/>
        </w:trPr>
        <w:tc>
          <w:tcPr>
            <w:tcW w:w="5560" w:type="dxa"/>
            <w:vAlign w:val="bottom"/>
            <w:tcBorders>
              <w:top w:val="single" w:sz="8" w:color="CCEEFF"/>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r>
      <w:tr>
        <w:trPr>
          <w:trHeight w:val="144"/>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Net income per Class A Nonvoting Common Share:</w:t>
            </w:r>
          </w:p>
        </w:tc>
        <w:tc>
          <w:tcPr>
            <w:tcW w:w="8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60" w:type="dxa"/>
            <w:vAlign w:val="bottom"/>
          </w:tcPr>
          <w:p>
            <w:pPr>
              <w:ind w:left="140"/>
              <w:spacing w:after="0"/>
              <w:rPr>
                <w:sz w:val="20"/>
                <w:szCs w:val="20"/>
                <w:color w:val="auto"/>
              </w:rPr>
            </w:pPr>
            <w:r>
              <w:rPr>
                <w:rFonts w:ascii="Arial" w:cs="Arial" w:eastAsia="Arial" w:hAnsi="Arial"/>
                <w:sz w:val="11"/>
                <w:szCs w:val="11"/>
                <w:color w:val="auto"/>
              </w:rPr>
              <w:t>Basic</w:t>
            </w:r>
          </w:p>
        </w:tc>
        <w:tc>
          <w:tcPr>
            <w:tcW w:w="880" w:type="dxa"/>
            <w:vAlign w:val="bottom"/>
          </w:tcPr>
          <w:p>
            <w:pPr>
              <w:jc w:val="right"/>
              <w:ind w:right="77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0.97</w:t>
            </w:r>
          </w:p>
        </w:tc>
        <w:tc>
          <w:tcPr>
            <w:tcW w:w="960" w:type="dxa"/>
            <w:vAlign w:val="bottom"/>
            <w:gridSpan w:val="2"/>
          </w:tcPr>
          <w:p>
            <w:pPr>
              <w:jc w:val="right"/>
              <w:ind w:right="766"/>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0.78</w:t>
            </w:r>
          </w:p>
        </w:tc>
        <w:tc>
          <w:tcPr>
            <w:tcW w:w="4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2.52</w:t>
            </w:r>
          </w:p>
        </w:tc>
        <w:tc>
          <w:tcPr>
            <w:tcW w:w="4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2.11</w:t>
            </w:r>
          </w:p>
        </w:tc>
      </w:tr>
      <w:tr>
        <w:trPr>
          <w:trHeight w:val="146"/>
        </w:trPr>
        <w:tc>
          <w:tcPr>
            <w:tcW w:w="55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w:t>
            </w:r>
          </w:p>
        </w:tc>
        <w:tc>
          <w:tcPr>
            <w:tcW w:w="880" w:type="dxa"/>
            <w:vAlign w:val="bottom"/>
            <w:shd w:val="clear" w:color="auto" w:fill="CCEEFF"/>
          </w:tcPr>
          <w:p>
            <w:pPr>
              <w:jc w:val="right"/>
              <w:ind w:right="77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0.96</w:t>
            </w:r>
          </w:p>
        </w:tc>
        <w:tc>
          <w:tcPr>
            <w:tcW w:w="960" w:type="dxa"/>
            <w:vAlign w:val="bottom"/>
            <w:gridSpan w:val="2"/>
            <w:shd w:val="clear" w:color="auto" w:fill="CCEEFF"/>
          </w:tcPr>
          <w:p>
            <w:pPr>
              <w:jc w:val="right"/>
              <w:ind w:right="76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0.78</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2.51</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2.09</w:t>
            </w:r>
          </w:p>
        </w:tc>
      </w:tr>
      <w:tr>
        <w:trPr>
          <w:trHeight w:val="171"/>
        </w:trPr>
        <w:tc>
          <w:tcPr>
            <w:tcW w:w="5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Net income per Class B Voting Common Share:</w:t>
            </w:r>
          </w:p>
        </w:tc>
        <w:tc>
          <w:tcPr>
            <w:tcW w:w="8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60" w:type="dxa"/>
            <w:vAlign w:val="bottom"/>
          </w:tcPr>
          <w:p>
            <w:pPr>
              <w:ind w:left="140"/>
              <w:spacing w:after="0"/>
              <w:rPr>
                <w:sz w:val="20"/>
                <w:szCs w:val="20"/>
                <w:color w:val="auto"/>
              </w:rPr>
            </w:pPr>
            <w:r>
              <w:rPr>
                <w:rFonts w:ascii="Arial" w:cs="Arial" w:eastAsia="Arial" w:hAnsi="Arial"/>
                <w:sz w:val="11"/>
                <w:szCs w:val="11"/>
                <w:color w:val="auto"/>
              </w:rPr>
              <w:t>Basic</w:t>
            </w:r>
          </w:p>
        </w:tc>
        <w:tc>
          <w:tcPr>
            <w:tcW w:w="880" w:type="dxa"/>
            <w:vAlign w:val="bottom"/>
          </w:tcPr>
          <w:p>
            <w:pPr>
              <w:jc w:val="right"/>
              <w:ind w:right="77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0.97</w:t>
            </w:r>
          </w:p>
        </w:tc>
        <w:tc>
          <w:tcPr>
            <w:tcW w:w="960" w:type="dxa"/>
            <w:vAlign w:val="bottom"/>
            <w:gridSpan w:val="2"/>
          </w:tcPr>
          <w:p>
            <w:pPr>
              <w:jc w:val="right"/>
              <w:ind w:right="766"/>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0.78</w:t>
            </w:r>
          </w:p>
        </w:tc>
        <w:tc>
          <w:tcPr>
            <w:tcW w:w="4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2.51</w:t>
            </w:r>
          </w:p>
        </w:tc>
        <w:tc>
          <w:tcPr>
            <w:tcW w:w="4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2.09</w:t>
            </w:r>
          </w:p>
        </w:tc>
      </w:tr>
      <w:tr>
        <w:trPr>
          <w:trHeight w:val="146"/>
        </w:trPr>
        <w:tc>
          <w:tcPr>
            <w:tcW w:w="55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w:t>
            </w:r>
          </w:p>
        </w:tc>
        <w:tc>
          <w:tcPr>
            <w:tcW w:w="880" w:type="dxa"/>
            <w:vAlign w:val="bottom"/>
            <w:shd w:val="clear" w:color="auto" w:fill="CCEEFF"/>
          </w:tcPr>
          <w:p>
            <w:pPr>
              <w:jc w:val="right"/>
              <w:ind w:right="77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0.96</w:t>
            </w:r>
          </w:p>
        </w:tc>
        <w:tc>
          <w:tcPr>
            <w:tcW w:w="960" w:type="dxa"/>
            <w:vAlign w:val="bottom"/>
            <w:gridSpan w:val="2"/>
            <w:shd w:val="clear" w:color="auto" w:fill="CCEEFF"/>
          </w:tcPr>
          <w:p>
            <w:pPr>
              <w:jc w:val="right"/>
              <w:ind w:right="76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0.78</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w:t>
            </w:r>
          </w:p>
        </w:tc>
      </w:tr>
      <w:tr>
        <w:trPr>
          <w:trHeight w:val="162"/>
        </w:trPr>
        <w:tc>
          <w:tcPr>
            <w:tcW w:w="5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Weighted average common shares outstanding:</w:t>
            </w:r>
          </w:p>
        </w:tc>
        <w:tc>
          <w:tcPr>
            <w:tcW w:w="8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60" w:type="dxa"/>
            <w:vAlign w:val="bottom"/>
          </w:tcPr>
          <w:p>
            <w:pPr>
              <w:ind w:left="140"/>
              <w:spacing w:after="0"/>
              <w:rPr>
                <w:sz w:val="20"/>
                <w:szCs w:val="20"/>
                <w:color w:val="auto"/>
              </w:rPr>
            </w:pPr>
            <w:r>
              <w:rPr>
                <w:rFonts w:ascii="Arial" w:cs="Arial" w:eastAsia="Arial" w:hAnsi="Arial"/>
                <w:sz w:val="11"/>
                <w:szCs w:val="11"/>
                <w:color w:val="auto"/>
              </w:rPr>
              <w:t>Basic</w:t>
            </w:r>
          </w:p>
        </w:tc>
        <w:tc>
          <w:tcPr>
            <w:tcW w:w="88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49,653</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51,326</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49,755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51,700</w:t>
            </w:r>
          </w:p>
        </w:tc>
      </w:tr>
      <w:tr>
        <w:trPr>
          <w:trHeight w:val="146"/>
        </w:trPr>
        <w:tc>
          <w:tcPr>
            <w:tcW w:w="55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w:t>
            </w:r>
          </w:p>
        </w:tc>
        <w:tc>
          <w:tcPr>
            <w:tcW w:w="8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50,001</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51,568</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50,033</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52,055</w:t>
            </w:r>
          </w:p>
        </w:tc>
      </w:tr>
    </w:tbl>
    <w:p>
      <w:pPr>
        <w:sectPr>
          <w:pgSz w:w="11900" w:h="16838" w:orient="portrait"/>
          <w:cols w:equalWidth="0" w:num="1">
            <w:col w:w="11300"/>
          </w:cols>
          <w:pgMar w:left="300" w:top="562" w:right="299" w:bottom="1440" w:gutter="0" w:footer="0" w:header="0"/>
        </w:sectPr>
      </w:pPr>
    </w:p>
    <w:bookmarkStart w:id="7" w:name="page8"/>
    <w:bookmarkEnd w:id="7"/>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BALANCE SHEETS</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(Dollars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auto"/>
              </w:rPr>
              <w:t>April 30, 2023</w:t>
            </w: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July 31, 2022</w:t>
            </w:r>
          </w:p>
        </w:tc>
      </w:tr>
      <w:tr>
        <w:trPr>
          <w:trHeight w:val="133"/>
        </w:trPr>
        <w:tc>
          <w:tcPr>
            <w:tcW w:w="3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right"/>
              <w:ind w:right="366"/>
              <w:spacing w:after="0"/>
              <w:rPr>
                <w:sz w:val="20"/>
                <w:szCs w:val="20"/>
                <w:color w:val="auto"/>
              </w:rPr>
            </w:pPr>
            <w:r>
              <w:rPr>
                <w:rFonts w:ascii="Arial" w:cs="Arial" w:eastAsia="Arial" w:hAnsi="Arial"/>
                <w:sz w:val="11"/>
                <w:szCs w:val="11"/>
                <w:color w:val="auto"/>
              </w:rPr>
              <w:t>(Unaudited)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26"/>
        </w:trPr>
        <w:tc>
          <w:tcPr>
            <w:tcW w:w="30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440" w:type="dxa"/>
            <w:vAlign w:val="bottom"/>
            <w:gridSpan w:val="3"/>
            <w:shd w:val="clear" w:color="auto" w:fill="CCEEFF"/>
          </w:tcPr>
          <w:p>
            <w:pPr>
              <w:jc w:val="center"/>
              <w:ind w:right="4040"/>
              <w:spacing w:after="0" w:line="119" w:lineRule="exact"/>
              <w:rPr>
                <w:sz w:val="20"/>
                <w:szCs w:val="20"/>
                <w:color w:val="auto"/>
              </w:rPr>
            </w:pPr>
            <w:r>
              <w:rPr>
                <w:rFonts w:ascii="Arial" w:cs="Arial" w:eastAsia="Arial" w:hAnsi="Arial"/>
                <w:sz w:val="11"/>
                <w:szCs w:val="11"/>
                <w:b w:val="1"/>
                <w:bCs w:val="1"/>
                <w:color w:val="auto"/>
                <w:w w:val="90"/>
              </w:rPr>
              <w:t>ASSETS</w:t>
            </w:r>
          </w:p>
        </w:tc>
        <w:tc>
          <w:tcPr>
            <w:tcW w:w="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42"/>
        </w:trPr>
        <w:tc>
          <w:tcPr>
            <w:tcW w:w="4020" w:type="dxa"/>
            <w:vAlign w:val="bottom"/>
            <w:tcBorders>
              <w:top w:val="single" w:sz="8" w:color="CCEEFF"/>
            </w:tcBorders>
            <w:gridSpan w:val="2"/>
          </w:tcPr>
          <w:p>
            <w:pPr>
              <w:spacing w:after="0"/>
              <w:rPr>
                <w:sz w:val="20"/>
                <w:szCs w:val="20"/>
                <w:color w:val="auto"/>
              </w:rPr>
            </w:pPr>
            <w:r>
              <w:rPr>
                <w:rFonts w:ascii="Arial" w:cs="Arial" w:eastAsia="Arial" w:hAnsi="Arial"/>
                <w:sz w:val="11"/>
                <w:szCs w:val="11"/>
                <w:color w:val="auto"/>
              </w:rPr>
              <w:t>Current assets:</w:t>
            </w:r>
          </w:p>
        </w:tc>
        <w:tc>
          <w:tcPr>
            <w:tcW w:w="400" w:type="dxa"/>
            <w:vAlign w:val="bottom"/>
            <w:tcBorders>
              <w:top w:val="single" w:sz="8" w:color="auto"/>
            </w:tcBorders>
          </w:tcPr>
          <w:p>
            <w:pPr>
              <w:spacing w:after="0"/>
              <w:rPr>
                <w:sz w:val="12"/>
                <w:szCs w:val="12"/>
                <w:color w:val="auto"/>
              </w:rPr>
            </w:pPr>
          </w:p>
        </w:tc>
        <w:tc>
          <w:tcPr>
            <w:tcW w:w="4040" w:type="dxa"/>
            <w:vAlign w:val="bottom"/>
            <w:tcBorders>
              <w:top w:val="single" w:sz="8" w:color="CCEEFF"/>
            </w:tcBorders>
            <w:gridSpan w:val="2"/>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r>
      <w:tr>
        <w:trPr>
          <w:trHeight w:val="146"/>
        </w:trPr>
        <w:tc>
          <w:tcPr>
            <w:tcW w:w="846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Cash and cash equivalents</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135,047</w:t>
            </w:r>
          </w:p>
        </w:tc>
        <w:tc>
          <w:tcPr>
            <w:tcW w:w="320" w:type="dxa"/>
            <w:vAlign w:val="bottom"/>
            <w:gridSpan w:val="2"/>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114,069</w:t>
            </w:r>
          </w:p>
        </w:tc>
      </w:tr>
      <w:tr>
        <w:trPr>
          <w:trHeight w:val="142"/>
        </w:trPr>
        <w:tc>
          <w:tcPr>
            <w:tcW w:w="8460" w:type="dxa"/>
            <w:vAlign w:val="bottom"/>
            <w:gridSpan w:val="5"/>
          </w:tcPr>
          <w:p>
            <w:pPr>
              <w:ind w:left="220"/>
              <w:spacing w:after="0"/>
              <w:rPr>
                <w:sz w:val="20"/>
                <w:szCs w:val="20"/>
                <w:color w:val="auto"/>
              </w:rPr>
            </w:pPr>
            <w:r>
              <w:rPr>
                <w:rFonts w:ascii="Arial" w:cs="Arial" w:eastAsia="Arial" w:hAnsi="Arial"/>
                <w:sz w:val="11"/>
                <w:szCs w:val="11"/>
                <w:color w:val="auto"/>
              </w:rPr>
              <w:t>Accounts receivable, net of allowance for credit losses of $8,417 and $7,355, respectively</w:t>
            </w:r>
          </w:p>
        </w:tc>
        <w:tc>
          <w:tcPr>
            <w:tcW w:w="22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184,907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183,233</w:t>
            </w:r>
          </w:p>
        </w:tc>
      </w:tr>
      <w:tr>
        <w:trPr>
          <w:trHeight w:val="146"/>
        </w:trPr>
        <w:tc>
          <w:tcPr>
            <w:tcW w:w="846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Inventories</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182,809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190,023</w:t>
            </w:r>
          </w:p>
        </w:tc>
      </w:tr>
      <w:tr>
        <w:trPr>
          <w:trHeight w:val="144"/>
        </w:trPr>
        <w:tc>
          <w:tcPr>
            <w:tcW w:w="8460" w:type="dxa"/>
            <w:vAlign w:val="bottom"/>
            <w:gridSpan w:val="5"/>
          </w:tcPr>
          <w:p>
            <w:pPr>
              <w:ind w:left="220"/>
              <w:spacing w:after="0"/>
              <w:rPr>
                <w:sz w:val="20"/>
                <w:szCs w:val="20"/>
                <w:color w:val="auto"/>
              </w:rPr>
            </w:pPr>
            <w:r>
              <w:rPr>
                <w:rFonts w:ascii="Arial" w:cs="Arial" w:eastAsia="Arial" w:hAnsi="Arial"/>
                <w:sz w:val="11"/>
                <w:szCs w:val="11"/>
                <w:color w:val="auto"/>
              </w:rPr>
              <w:t>Prepaid expenses and other current assets</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14,020</w:t>
            </w: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10,743</w:t>
            </w:r>
          </w:p>
        </w:tc>
      </w:tr>
      <w:tr>
        <w:trPr>
          <w:trHeight w:val="133"/>
        </w:trPr>
        <w:tc>
          <w:tcPr>
            <w:tcW w:w="8460" w:type="dxa"/>
            <w:vAlign w:val="bottom"/>
            <w:gridSpan w:val="5"/>
            <w:shd w:val="clear" w:color="auto" w:fill="CCEEFF"/>
          </w:tcPr>
          <w:p>
            <w:pPr>
              <w:ind w:left="360"/>
              <w:spacing w:after="0"/>
              <w:rPr>
                <w:sz w:val="20"/>
                <w:szCs w:val="20"/>
                <w:color w:val="auto"/>
              </w:rPr>
            </w:pPr>
            <w:r>
              <w:rPr>
                <w:rFonts w:ascii="Arial" w:cs="Arial" w:eastAsia="Arial" w:hAnsi="Arial"/>
                <w:sz w:val="11"/>
                <w:szCs w:val="11"/>
                <w:color w:val="auto"/>
              </w:rPr>
              <w:t>Total current assets</w:t>
            </w: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516,783</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498,068</w:t>
            </w:r>
          </w:p>
        </w:tc>
      </w:tr>
      <w:tr>
        <w:trPr>
          <w:trHeight w:val="142"/>
        </w:trPr>
        <w:tc>
          <w:tcPr>
            <w:tcW w:w="8460" w:type="dxa"/>
            <w:vAlign w:val="bottom"/>
            <w:gridSpan w:val="5"/>
          </w:tcPr>
          <w:p>
            <w:pPr>
              <w:spacing w:after="0"/>
              <w:rPr>
                <w:sz w:val="20"/>
                <w:szCs w:val="20"/>
                <w:color w:val="auto"/>
              </w:rPr>
            </w:pPr>
            <w:r>
              <w:rPr>
                <w:rFonts w:ascii="Arial" w:cs="Arial" w:eastAsia="Arial" w:hAnsi="Arial"/>
                <w:sz w:val="11"/>
                <w:szCs w:val="11"/>
                <w:color w:val="auto"/>
              </w:rPr>
              <w:t>Property, plant and equipment—net</w:t>
            </w:r>
          </w:p>
        </w:tc>
        <w:tc>
          <w:tcPr>
            <w:tcW w:w="22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139,747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139,511</w:t>
            </w:r>
          </w:p>
        </w:tc>
      </w:tr>
      <w:tr>
        <w:trPr>
          <w:trHeight w:val="146"/>
        </w:trPr>
        <w:tc>
          <w:tcPr>
            <w:tcW w:w="846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Goodwill</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590,684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586,832</w:t>
            </w:r>
          </w:p>
        </w:tc>
      </w:tr>
      <w:tr>
        <w:trPr>
          <w:trHeight w:val="142"/>
        </w:trPr>
        <w:tc>
          <w:tcPr>
            <w:tcW w:w="8460" w:type="dxa"/>
            <w:vAlign w:val="bottom"/>
            <w:gridSpan w:val="5"/>
          </w:tcPr>
          <w:p>
            <w:pPr>
              <w:spacing w:after="0"/>
              <w:rPr>
                <w:sz w:val="20"/>
                <w:szCs w:val="20"/>
                <w:color w:val="auto"/>
              </w:rPr>
            </w:pPr>
            <w:r>
              <w:rPr>
                <w:rFonts w:ascii="Arial" w:cs="Arial" w:eastAsia="Arial" w:hAnsi="Arial"/>
                <w:sz w:val="11"/>
                <w:szCs w:val="11"/>
                <w:color w:val="auto"/>
              </w:rPr>
              <w:t>Other intangible assets</w:t>
            </w:r>
          </w:p>
        </w:tc>
        <w:tc>
          <w:tcPr>
            <w:tcW w:w="22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65,210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74,028</w:t>
            </w:r>
          </w:p>
        </w:tc>
      </w:tr>
      <w:tr>
        <w:trPr>
          <w:trHeight w:val="146"/>
        </w:trPr>
        <w:tc>
          <w:tcPr>
            <w:tcW w:w="846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Deferred income taxes</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15,124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15,881</w:t>
            </w:r>
          </w:p>
        </w:tc>
      </w:tr>
      <w:tr>
        <w:trPr>
          <w:trHeight w:val="142"/>
        </w:trPr>
        <w:tc>
          <w:tcPr>
            <w:tcW w:w="8460" w:type="dxa"/>
            <w:vAlign w:val="bottom"/>
            <w:gridSpan w:val="5"/>
          </w:tcPr>
          <w:p>
            <w:pPr>
              <w:spacing w:after="0"/>
              <w:rPr>
                <w:sz w:val="20"/>
                <w:szCs w:val="20"/>
                <w:color w:val="auto"/>
              </w:rPr>
            </w:pPr>
            <w:r>
              <w:rPr>
                <w:rFonts w:ascii="Arial" w:cs="Arial" w:eastAsia="Arial" w:hAnsi="Arial"/>
                <w:sz w:val="11"/>
                <w:szCs w:val="11"/>
                <w:color w:val="auto"/>
              </w:rPr>
              <w:t>Operating lease assets</w:t>
            </w:r>
          </w:p>
        </w:tc>
        <w:tc>
          <w:tcPr>
            <w:tcW w:w="22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27,378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31,293</w:t>
            </w:r>
          </w:p>
        </w:tc>
      </w:tr>
      <w:tr>
        <w:trPr>
          <w:trHeight w:val="146"/>
        </w:trPr>
        <w:tc>
          <w:tcPr>
            <w:tcW w:w="84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1"/>
                <w:szCs w:val="11"/>
                <w:color w:val="auto"/>
              </w:rPr>
              <w:t>Other assets</w:t>
            </w:r>
          </w:p>
        </w:tc>
        <w:tc>
          <w:tcPr>
            <w:tcW w:w="2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21,840</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21,719</w:t>
            </w:r>
          </w:p>
        </w:tc>
      </w:tr>
      <w:tr>
        <w:trPr>
          <w:trHeight w:val="149"/>
        </w:trPr>
        <w:tc>
          <w:tcPr>
            <w:tcW w:w="8460" w:type="dxa"/>
            <w:vAlign w:val="bottom"/>
            <w:gridSpan w:val="5"/>
          </w:tcPr>
          <w:p>
            <w:pPr>
              <w:spacing w:after="0"/>
              <w:rPr>
                <w:sz w:val="20"/>
                <w:szCs w:val="20"/>
                <w:color w:val="auto"/>
              </w:rPr>
            </w:pPr>
            <w:r>
              <w:rPr>
                <w:rFonts w:ascii="Arial" w:cs="Arial" w:eastAsia="Arial" w:hAnsi="Arial"/>
                <w:sz w:val="11"/>
                <w:szCs w:val="11"/>
                <w:color w:val="auto"/>
              </w:rPr>
              <w:t>Total</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1,376,766</w:t>
            </w:r>
          </w:p>
        </w:tc>
        <w:tc>
          <w:tcPr>
            <w:tcW w:w="320" w:type="dxa"/>
            <w:vAlign w:val="bottom"/>
            <w:gridSpan w:val="2"/>
          </w:tcPr>
          <w:p>
            <w:pPr>
              <w:jc w:val="right"/>
              <w:ind w:right="106"/>
              <w:spacing w:after="0"/>
              <w:rPr>
                <w:sz w:val="20"/>
                <w:szCs w:val="20"/>
                <w:color w:val="auto"/>
              </w:rPr>
            </w:pPr>
            <w:r>
              <w:rPr>
                <w:rFonts w:ascii="Arial" w:cs="Arial" w:eastAsia="Arial" w:hAnsi="Arial"/>
                <w:sz w:val="11"/>
                <w:szCs w:val="11"/>
                <w:color w:val="auto"/>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1,367,332</w:t>
            </w:r>
          </w:p>
        </w:tc>
      </w:tr>
      <w:tr>
        <w:trPr>
          <w:trHeight w:val="106"/>
        </w:trPr>
        <w:tc>
          <w:tcPr>
            <w:tcW w:w="3060" w:type="dxa"/>
            <w:vAlign w:val="bottom"/>
            <w:tcBorders>
              <w:top w:val="single" w:sz="8" w:color="CCEEFF"/>
              <w:bottom w:val="single" w:sz="8" w:color="CCEEFF"/>
            </w:tcBorders>
            <w:shd w:val="clear" w:color="auto" w:fill="CCEEFF"/>
          </w:tcPr>
          <w:p>
            <w:pPr>
              <w:spacing w:after="0"/>
              <w:rPr>
                <w:sz w:val="9"/>
                <w:szCs w:val="9"/>
                <w:color w:val="auto"/>
              </w:rPr>
            </w:pPr>
          </w:p>
        </w:tc>
        <w:tc>
          <w:tcPr>
            <w:tcW w:w="2340" w:type="dxa"/>
            <w:vAlign w:val="bottom"/>
            <w:tcBorders>
              <w:top w:val="single" w:sz="8" w:color="CCEEFF"/>
              <w:bottom w:val="single" w:sz="8" w:color="auto"/>
            </w:tcBorders>
            <w:gridSpan w:val="3"/>
            <w:shd w:val="clear" w:color="auto" w:fill="CCEEFF"/>
          </w:tcPr>
          <w:p>
            <w:pPr>
              <w:jc w:val="center"/>
              <w:spacing w:after="0" w:line="99" w:lineRule="exact"/>
              <w:rPr>
                <w:sz w:val="20"/>
                <w:szCs w:val="20"/>
                <w:color w:val="auto"/>
              </w:rPr>
            </w:pPr>
            <w:r>
              <w:rPr>
                <w:rFonts w:ascii="Arial" w:cs="Arial" w:eastAsia="Arial" w:hAnsi="Arial"/>
                <w:sz w:val="11"/>
                <w:szCs w:val="11"/>
                <w:b w:val="1"/>
                <w:bCs w:val="1"/>
                <w:color w:val="auto"/>
              </w:rPr>
              <w:t>LIABILITIES AND STOCKHOLDERS’ EQUITY</w:t>
            </w:r>
          </w:p>
        </w:tc>
        <w:tc>
          <w:tcPr>
            <w:tcW w:w="3060" w:type="dxa"/>
            <w:vAlign w:val="bottom"/>
            <w:tcBorders>
              <w:top w:val="single" w:sz="8" w:color="CCEEFF"/>
              <w:bottom w:val="single" w:sz="8" w:color="CCEEFF"/>
            </w:tcBorders>
            <w:shd w:val="clear" w:color="auto" w:fill="CCEEFF"/>
          </w:tcPr>
          <w:p>
            <w:pPr>
              <w:spacing w:after="0"/>
              <w:rPr>
                <w:sz w:val="9"/>
                <w:szCs w:val="9"/>
                <w:color w:val="auto"/>
              </w:rPr>
            </w:pPr>
          </w:p>
        </w:tc>
        <w:tc>
          <w:tcPr>
            <w:tcW w:w="220" w:type="dxa"/>
            <w:vAlign w:val="bottom"/>
            <w:tcBorders>
              <w:top w:val="single" w:sz="8" w:color="auto"/>
              <w:bottom w:val="single" w:sz="8" w:color="CCEEFF"/>
            </w:tcBorders>
            <w:shd w:val="clear" w:color="auto" w:fill="CCEEFF"/>
          </w:tcPr>
          <w:p>
            <w:pPr>
              <w:spacing w:after="0"/>
              <w:rPr>
                <w:sz w:val="9"/>
                <w:szCs w:val="9"/>
                <w:color w:val="auto"/>
              </w:rPr>
            </w:pPr>
          </w:p>
        </w:tc>
        <w:tc>
          <w:tcPr>
            <w:tcW w:w="1160" w:type="dxa"/>
            <w:vAlign w:val="bottom"/>
            <w:tcBorders>
              <w:top w:val="single" w:sz="8" w:color="auto"/>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240" w:type="dxa"/>
            <w:vAlign w:val="bottom"/>
            <w:tcBorders>
              <w:top w:val="single" w:sz="8" w:color="auto"/>
              <w:bottom w:val="single" w:sz="8" w:color="CCEEFF"/>
            </w:tcBorders>
            <w:shd w:val="clear" w:color="auto" w:fill="CCEEFF"/>
          </w:tcPr>
          <w:p>
            <w:pPr>
              <w:spacing w:after="0"/>
              <w:rPr>
                <w:sz w:val="9"/>
                <w:szCs w:val="9"/>
                <w:color w:val="auto"/>
              </w:rPr>
            </w:pPr>
          </w:p>
        </w:tc>
        <w:tc>
          <w:tcPr>
            <w:tcW w:w="1140" w:type="dxa"/>
            <w:vAlign w:val="bottom"/>
            <w:tcBorders>
              <w:top w:val="single" w:sz="8" w:color="auto"/>
              <w:bottom w:val="single" w:sz="8" w:color="CCEEFF"/>
            </w:tcBorders>
            <w:shd w:val="clear" w:color="auto" w:fill="CCEEFF"/>
          </w:tcPr>
          <w:p>
            <w:pPr>
              <w:spacing w:after="0"/>
              <w:rPr>
                <w:sz w:val="9"/>
                <w:szCs w:val="9"/>
                <w:color w:val="auto"/>
              </w:rPr>
            </w:pPr>
          </w:p>
        </w:tc>
      </w:tr>
      <w:tr>
        <w:trPr>
          <w:trHeight w:val="142"/>
        </w:trPr>
        <w:tc>
          <w:tcPr>
            <w:tcW w:w="8460" w:type="dxa"/>
            <w:vAlign w:val="bottom"/>
            <w:gridSpan w:val="5"/>
          </w:tcPr>
          <w:p>
            <w:pPr>
              <w:spacing w:after="0"/>
              <w:rPr>
                <w:sz w:val="20"/>
                <w:szCs w:val="20"/>
                <w:color w:val="auto"/>
              </w:rPr>
            </w:pPr>
            <w:r>
              <w:rPr>
                <w:rFonts w:ascii="Arial" w:cs="Arial" w:eastAsia="Arial" w:hAnsi="Arial"/>
                <w:sz w:val="11"/>
                <w:szCs w:val="11"/>
                <w:color w:val="auto"/>
              </w:rPr>
              <w:t>Current liabilities:</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6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Accounts payable</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74,745</w:t>
            </w:r>
          </w:p>
        </w:tc>
        <w:tc>
          <w:tcPr>
            <w:tcW w:w="320" w:type="dxa"/>
            <w:vAlign w:val="bottom"/>
            <w:gridSpan w:val="2"/>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81,116</w:t>
            </w:r>
          </w:p>
        </w:tc>
      </w:tr>
      <w:tr>
        <w:trPr>
          <w:trHeight w:val="142"/>
        </w:trPr>
        <w:tc>
          <w:tcPr>
            <w:tcW w:w="8460" w:type="dxa"/>
            <w:vAlign w:val="bottom"/>
            <w:gridSpan w:val="5"/>
          </w:tcPr>
          <w:p>
            <w:pPr>
              <w:ind w:left="220"/>
              <w:spacing w:after="0"/>
              <w:rPr>
                <w:sz w:val="20"/>
                <w:szCs w:val="20"/>
                <w:color w:val="auto"/>
              </w:rPr>
            </w:pPr>
            <w:r>
              <w:rPr>
                <w:rFonts w:ascii="Arial" w:cs="Arial" w:eastAsia="Arial" w:hAnsi="Arial"/>
                <w:sz w:val="11"/>
                <w:szCs w:val="11"/>
                <w:color w:val="auto"/>
              </w:rPr>
              <w:t>Accrued compensation and benefits</w:t>
            </w:r>
          </w:p>
        </w:tc>
        <w:tc>
          <w:tcPr>
            <w:tcW w:w="22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65,789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76,764</w:t>
            </w:r>
          </w:p>
        </w:tc>
      </w:tr>
      <w:tr>
        <w:trPr>
          <w:trHeight w:val="146"/>
        </w:trPr>
        <w:tc>
          <w:tcPr>
            <w:tcW w:w="846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Taxes, other than income taxes</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13,246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12,539</w:t>
            </w:r>
          </w:p>
        </w:tc>
      </w:tr>
      <w:tr>
        <w:trPr>
          <w:trHeight w:val="142"/>
        </w:trPr>
        <w:tc>
          <w:tcPr>
            <w:tcW w:w="8460" w:type="dxa"/>
            <w:vAlign w:val="bottom"/>
            <w:gridSpan w:val="5"/>
          </w:tcPr>
          <w:p>
            <w:pPr>
              <w:ind w:left="220"/>
              <w:spacing w:after="0"/>
              <w:rPr>
                <w:sz w:val="20"/>
                <w:szCs w:val="20"/>
                <w:color w:val="auto"/>
              </w:rPr>
            </w:pPr>
            <w:r>
              <w:rPr>
                <w:rFonts w:ascii="Arial" w:cs="Arial" w:eastAsia="Arial" w:hAnsi="Arial"/>
                <w:sz w:val="11"/>
                <w:szCs w:val="11"/>
                <w:color w:val="auto"/>
              </w:rPr>
              <w:t>Accrued income taxes</w:t>
            </w:r>
          </w:p>
        </w:tc>
        <w:tc>
          <w:tcPr>
            <w:tcW w:w="22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5,103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8,294</w:t>
            </w:r>
          </w:p>
        </w:tc>
      </w:tr>
      <w:tr>
        <w:trPr>
          <w:trHeight w:val="146"/>
        </w:trPr>
        <w:tc>
          <w:tcPr>
            <w:tcW w:w="846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Current operating lease liabilities</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14,196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15,003</w:t>
            </w:r>
          </w:p>
        </w:tc>
      </w:tr>
      <w:tr>
        <w:trPr>
          <w:trHeight w:val="144"/>
        </w:trPr>
        <w:tc>
          <w:tcPr>
            <w:tcW w:w="8460" w:type="dxa"/>
            <w:vAlign w:val="bottom"/>
            <w:gridSpan w:val="5"/>
          </w:tcPr>
          <w:p>
            <w:pPr>
              <w:ind w:left="220"/>
              <w:spacing w:after="0"/>
              <w:rPr>
                <w:sz w:val="20"/>
                <w:szCs w:val="20"/>
                <w:color w:val="auto"/>
              </w:rPr>
            </w:pPr>
            <w:r>
              <w:rPr>
                <w:rFonts w:ascii="Arial" w:cs="Arial" w:eastAsia="Arial" w:hAnsi="Arial"/>
                <w:sz w:val="11"/>
                <w:szCs w:val="11"/>
                <w:color w:val="auto"/>
              </w:rPr>
              <w:t>Other current liabilities</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63,357</w:t>
            </w: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61,458</w:t>
            </w:r>
          </w:p>
        </w:tc>
      </w:tr>
      <w:tr>
        <w:trPr>
          <w:trHeight w:val="133"/>
        </w:trPr>
        <w:tc>
          <w:tcPr>
            <w:tcW w:w="8460" w:type="dxa"/>
            <w:vAlign w:val="bottom"/>
            <w:gridSpan w:val="5"/>
            <w:shd w:val="clear" w:color="auto" w:fill="CCEEFF"/>
          </w:tcPr>
          <w:p>
            <w:pPr>
              <w:ind w:left="360"/>
              <w:spacing w:after="0"/>
              <w:rPr>
                <w:sz w:val="20"/>
                <w:szCs w:val="20"/>
                <w:color w:val="auto"/>
              </w:rPr>
            </w:pPr>
            <w:r>
              <w:rPr>
                <w:rFonts w:ascii="Arial" w:cs="Arial" w:eastAsia="Arial" w:hAnsi="Arial"/>
                <w:sz w:val="11"/>
                <w:szCs w:val="11"/>
                <w:color w:val="auto"/>
              </w:rPr>
              <w:t>Total current liabilities</w:t>
            </w: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236,436</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255,174</w:t>
            </w:r>
          </w:p>
        </w:tc>
      </w:tr>
      <w:tr>
        <w:trPr>
          <w:trHeight w:val="142"/>
        </w:trPr>
        <w:tc>
          <w:tcPr>
            <w:tcW w:w="8460" w:type="dxa"/>
            <w:vAlign w:val="bottom"/>
            <w:gridSpan w:val="5"/>
          </w:tcPr>
          <w:p>
            <w:pPr>
              <w:spacing w:after="0"/>
              <w:rPr>
                <w:sz w:val="20"/>
                <w:szCs w:val="20"/>
                <w:color w:val="auto"/>
              </w:rPr>
            </w:pPr>
            <w:r>
              <w:rPr>
                <w:rFonts w:ascii="Arial" w:cs="Arial" w:eastAsia="Arial" w:hAnsi="Arial"/>
                <w:sz w:val="11"/>
                <w:szCs w:val="11"/>
                <w:color w:val="auto"/>
              </w:rPr>
              <w:t>Long-term debt</w:t>
            </w:r>
          </w:p>
        </w:tc>
        <w:tc>
          <w:tcPr>
            <w:tcW w:w="22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50,849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95,000</w:t>
            </w:r>
          </w:p>
        </w:tc>
      </w:tr>
      <w:tr>
        <w:trPr>
          <w:trHeight w:val="146"/>
        </w:trPr>
        <w:tc>
          <w:tcPr>
            <w:tcW w:w="846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Long-term operating lease liabilities</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14,573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19,143</w:t>
            </w:r>
          </w:p>
        </w:tc>
      </w:tr>
      <w:tr>
        <w:trPr>
          <w:trHeight w:val="144"/>
        </w:trPr>
        <w:tc>
          <w:tcPr>
            <w:tcW w:w="8460" w:type="dxa"/>
            <w:vAlign w:val="bottom"/>
            <w:gridSpan w:val="5"/>
          </w:tcPr>
          <w:p>
            <w:pPr>
              <w:spacing w:after="0"/>
              <w:rPr>
                <w:sz w:val="20"/>
                <w:szCs w:val="20"/>
                <w:color w:val="auto"/>
              </w:rPr>
            </w:pPr>
            <w:r>
              <w:rPr>
                <w:rFonts w:ascii="Arial" w:cs="Arial" w:eastAsia="Arial" w:hAnsi="Arial"/>
                <w:sz w:val="11"/>
                <w:szCs w:val="11"/>
                <w:color w:val="auto"/>
              </w:rPr>
              <w:t>Other liabilities</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79,812</w:t>
            </w: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86,717</w:t>
            </w:r>
          </w:p>
        </w:tc>
      </w:tr>
      <w:tr>
        <w:trPr>
          <w:trHeight w:val="133"/>
        </w:trPr>
        <w:tc>
          <w:tcPr>
            <w:tcW w:w="8460" w:type="dxa"/>
            <w:vAlign w:val="bottom"/>
            <w:gridSpan w:val="5"/>
            <w:shd w:val="clear" w:color="auto" w:fill="CCEEFF"/>
          </w:tcPr>
          <w:p>
            <w:pPr>
              <w:ind w:left="360"/>
              <w:spacing w:after="0"/>
              <w:rPr>
                <w:sz w:val="20"/>
                <w:szCs w:val="20"/>
                <w:color w:val="auto"/>
              </w:rPr>
            </w:pPr>
            <w:r>
              <w:rPr>
                <w:rFonts w:ascii="Arial" w:cs="Arial" w:eastAsia="Arial" w:hAnsi="Arial"/>
                <w:sz w:val="11"/>
                <w:szCs w:val="11"/>
                <w:color w:val="auto"/>
              </w:rPr>
              <w:t>Total liabilities</w:t>
            </w: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381,670</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456,034</w:t>
            </w:r>
          </w:p>
        </w:tc>
      </w:tr>
      <w:tr>
        <w:trPr>
          <w:trHeight w:val="142"/>
        </w:trPr>
        <w:tc>
          <w:tcPr>
            <w:tcW w:w="8460" w:type="dxa"/>
            <w:vAlign w:val="bottom"/>
            <w:gridSpan w:val="5"/>
          </w:tcPr>
          <w:p>
            <w:pPr>
              <w:spacing w:after="0"/>
              <w:rPr>
                <w:sz w:val="20"/>
                <w:szCs w:val="20"/>
                <w:color w:val="auto"/>
              </w:rPr>
            </w:pPr>
            <w:r>
              <w:rPr>
                <w:rFonts w:ascii="Arial" w:cs="Arial" w:eastAsia="Arial" w:hAnsi="Arial"/>
                <w:sz w:val="11"/>
                <w:szCs w:val="11"/>
                <w:color w:val="auto"/>
              </w:rPr>
              <w:t>Stockholders’ equity:</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6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Common stock:</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2"/>
        </w:trPr>
        <w:tc>
          <w:tcPr>
            <w:tcW w:w="8460" w:type="dxa"/>
            <w:vAlign w:val="bottom"/>
            <w:gridSpan w:val="5"/>
          </w:tcPr>
          <w:p>
            <w:pPr>
              <w:ind w:left="360"/>
              <w:spacing w:after="0"/>
              <w:rPr>
                <w:sz w:val="20"/>
                <w:szCs w:val="20"/>
                <w:color w:val="auto"/>
              </w:rPr>
            </w:pPr>
            <w:r>
              <w:rPr>
                <w:rFonts w:ascii="Arial" w:cs="Arial" w:eastAsia="Arial" w:hAnsi="Arial"/>
                <w:sz w:val="11"/>
                <w:szCs w:val="11"/>
                <w:color w:val="auto"/>
              </w:rPr>
              <w:t>Class A nonvoting common stock—Issued 51,261,487 shares, and outstanding 45,935,672 and 46,370,708 shares, respectively</w:t>
            </w:r>
          </w:p>
        </w:tc>
        <w:tc>
          <w:tcPr>
            <w:tcW w:w="22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513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513</w:t>
            </w:r>
          </w:p>
        </w:tc>
      </w:tr>
      <w:tr>
        <w:trPr>
          <w:trHeight w:val="146"/>
        </w:trPr>
        <w:tc>
          <w:tcPr>
            <w:tcW w:w="8460" w:type="dxa"/>
            <w:vAlign w:val="bottom"/>
            <w:gridSpan w:val="5"/>
            <w:shd w:val="clear" w:color="auto" w:fill="CCEEFF"/>
          </w:tcPr>
          <w:p>
            <w:pPr>
              <w:ind w:left="360"/>
              <w:spacing w:after="0"/>
              <w:rPr>
                <w:sz w:val="20"/>
                <w:szCs w:val="20"/>
                <w:color w:val="auto"/>
              </w:rPr>
            </w:pPr>
            <w:r>
              <w:rPr>
                <w:rFonts w:ascii="Arial" w:cs="Arial" w:eastAsia="Arial" w:hAnsi="Arial"/>
                <w:sz w:val="11"/>
                <w:szCs w:val="11"/>
                <w:color w:val="auto"/>
              </w:rPr>
              <w:t>Class B voting common stock—Issued and outstanding, 3,538,628 shares</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w:t>
            </w:r>
          </w:p>
        </w:tc>
      </w:tr>
      <w:tr>
        <w:trPr>
          <w:trHeight w:val="142"/>
        </w:trPr>
        <w:tc>
          <w:tcPr>
            <w:tcW w:w="8460" w:type="dxa"/>
            <w:vAlign w:val="bottom"/>
            <w:gridSpan w:val="5"/>
          </w:tcPr>
          <w:p>
            <w:pPr>
              <w:ind w:left="220"/>
              <w:spacing w:after="0"/>
              <w:rPr>
                <w:sz w:val="20"/>
                <w:szCs w:val="20"/>
                <w:color w:val="auto"/>
              </w:rPr>
            </w:pPr>
            <w:r>
              <w:rPr>
                <w:rFonts w:ascii="Arial" w:cs="Arial" w:eastAsia="Arial" w:hAnsi="Arial"/>
                <w:sz w:val="11"/>
                <w:szCs w:val="11"/>
                <w:color w:val="auto"/>
              </w:rPr>
              <w:t>Additional paid-in capital</w:t>
            </w:r>
          </w:p>
        </w:tc>
        <w:tc>
          <w:tcPr>
            <w:tcW w:w="22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350,758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345,266</w:t>
            </w:r>
          </w:p>
        </w:tc>
      </w:tr>
      <w:tr>
        <w:trPr>
          <w:trHeight w:val="146"/>
        </w:trPr>
        <w:tc>
          <w:tcPr>
            <w:tcW w:w="846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Retained earnings</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983,694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892,417</w:t>
            </w:r>
          </w:p>
        </w:tc>
      </w:tr>
      <w:tr>
        <w:trPr>
          <w:trHeight w:val="142"/>
        </w:trPr>
        <w:tc>
          <w:tcPr>
            <w:tcW w:w="8460" w:type="dxa"/>
            <w:vAlign w:val="bottom"/>
            <w:gridSpan w:val="5"/>
          </w:tcPr>
          <w:p>
            <w:pPr>
              <w:ind w:left="220"/>
              <w:spacing w:after="0"/>
              <w:rPr>
                <w:sz w:val="20"/>
                <w:szCs w:val="20"/>
                <w:color w:val="auto"/>
              </w:rPr>
            </w:pPr>
            <w:r>
              <w:rPr>
                <w:rFonts w:ascii="Arial" w:cs="Arial" w:eastAsia="Arial" w:hAnsi="Arial"/>
                <w:sz w:val="11"/>
                <w:szCs w:val="11"/>
                <w:color w:val="auto"/>
              </w:rPr>
              <w:t>Treasury stock—5,325,815 and 4,890,779 shares, respectively of Class A nonvoting common stock, at cost</w:t>
            </w:r>
          </w:p>
        </w:tc>
        <w:tc>
          <w:tcPr>
            <w:tcW w:w="2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(244,503)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(217,856)</w:t>
            </w:r>
          </w:p>
        </w:tc>
      </w:tr>
      <w:tr>
        <w:trPr>
          <w:trHeight w:val="146"/>
        </w:trPr>
        <w:tc>
          <w:tcPr>
            <w:tcW w:w="846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1"/>
                <w:szCs w:val="11"/>
                <w:color w:val="auto"/>
              </w:rPr>
              <w:t>Accumulated other comprehensive loss</w:t>
            </w:r>
          </w:p>
        </w:tc>
        <w:tc>
          <w:tcPr>
            <w:tcW w:w="2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(95,401)</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(109,077)</w:t>
            </w:r>
          </w:p>
        </w:tc>
      </w:tr>
      <w:tr>
        <w:trPr>
          <w:trHeight w:val="133"/>
        </w:trPr>
        <w:tc>
          <w:tcPr>
            <w:tcW w:w="8460" w:type="dxa"/>
            <w:vAlign w:val="bottom"/>
            <w:gridSpan w:val="5"/>
          </w:tcPr>
          <w:p>
            <w:pPr>
              <w:ind w:left="360"/>
              <w:spacing w:after="0"/>
              <w:rPr>
                <w:sz w:val="20"/>
                <w:szCs w:val="20"/>
                <w:color w:val="auto"/>
              </w:rPr>
            </w:pPr>
            <w:r>
              <w:rPr>
                <w:rFonts w:ascii="Arial" w:cs="Arial" w:eastAsia="Arial" w:hAnsi="Arial"/>
                <w:sz w:val="11"/>
                <w:szCs w:val="11"/>
                <w:color w:val="auto"/>
              </w:rPr>
              <w:t>Total stockholders’ equity</w:t>
            </w: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995,096</w:t>
            </w: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911,298</w:t>
            </w:r>
          </w:p>
        </w:tc>
      </w:tr>
      <w:tr>
        <w:trPr>
          <w:trHeight w:val="149"/>
        </w:trPr>
        <w:tc>
          <w:tcPr>
            <w:tcW w:w="84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1"/>
                <w:szCs w:val="11"/>
                <w:color w:val="auto"/>
              </w:rPr>
              <w:t>Total</w:t>
            </w: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1,376,766</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1,367,332</w:t>
            </w:r>
          </w:p>
        </w:tc>
      </w:tr>
    </w:tbl>
    <w:p>
      <w:pPr>
        <w:sectPr>
          <w:pgSz w:w="11900" w:h="16838" w:orient="portrait"/>
          <w:cols w:equalWidth="0" w:num="1">
            <w:col w:w="11300"/>
          </w:cols>
          <w:pgMar w:left="300" w:top="562" w:right="299" w:bottom="1440" w:gutter="0" w:footer="0" w:header="0"/>
        </w:sectPr>
      </w:pPr>
    </w:p>
    <w:bookmarkStart w:id="8" w:name="page9"/>
    <w:bookmarkEnd w:id="8"/>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STATEMENTS OF CASH FLOWS</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(Unaudited; Dollars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60" w:type="dxa"/>
            <w:vAlign w:val="bottom"/>
          </w:tcPr>
          <w:p>
            <w:pPr>
              <w:spacing w:after="0"/>
              <w:rPr>
                <w:sz w:val="12"/>
                <w:szCs w:val="12"/>
                <w:color w:val="auto"/>
              </w:rPr>
            </w:pPr>
          </w:p>
        </w:tc>
        <w:tc>
          <w:tcPr>
            <w:tcW w:w="23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1"/>
                <w:szCs w:val="11"/>
                <w:color w:val="auto"/>
              </w:rPr>
              <w:t>Nine months ended April 30,</w:t>
            </w:r>
          </w:p>
        </w:tc>
        <w:tc>
          <w:tcPr>
            <w:tcW w:w="520" w:type="dxa"/>
            <w:vAlign w:val="bottom"/>
            <w:tcBorders>
              <w:bottom w:val="single" w:sz="8" w:color="auto"/>
            </w:tcBorders>
          </w:tcPr>
          <w:p>
            <w:pPr>
              <w:spacing w:after="0"/>
              <w:rPr>
                <w:sz w:val="12"/>
                <w:szCs w:val="12"/>
                <w:color w:val="auto"/>
              </w:rPr>
            </w:pPr>
          </w:p>
        </w:tc>
      </w:tr>
      <w:tr>
        <w:trPr>
          <w:trHeight w:val="133"/>
        </w:trPr>
        <w:tc>
          <w:tcPr>
            <w:tcW w:w="8460" w:type="dxa"/>
            <w:vAlign w:val="bottom"/>
          </w:tcPr>
          <w:p>
            <w:pPr>
              <w:spacing w:after="0"/>
              <w:rPr>
                <w:sz w:val="11"/>
                <w:szCs w:val="11"/>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2023</w:t>
            </w:r>
          </w:p>
        </w:tc>
        <w:tc>
          <w:tcPr>
            <w:tcW w:w="520" w:type="dxa"/>
            <w:vAlign w:val="bottom"/>
          </w:tcPr>
          <w:p>
            <w:pPr>
              <w:spacing w:after="0"/>
              <w:rPr>
                <w:sz w:val="11"/>
                <w:szCs w:val="1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1"/>
                <w:szCs w:val="11"/>
                <w:color w:val="auto"/>
              </w:rPr>
              <w:t>2022</w:t>
            </w:r>
          </w:p>
        </w:tc>
        <w:tc>
          <w:tcPr>
            <w:tcW w:w="520" w:type="dxa"/>
            <w:vAlign w:val="bottom"/>
          </w:tcPr>
          <w:p>
            <w:pPr>
              <w:spacing w:after="0"/>
              <w:rPr>
                <w:sz w:val="11"/>
                <w:szCs w:val="11"/>
                <w:color w:val="auto"/>
              </w:rPr>
            </w:pPr>
          </w:p>
        </w:tc>
      </w:tr>
      <w:tr>
        <w:trPr>
          <w:trHeight w:val="135"/>
        </w:trPr>
        <w:tc>
          <w:tcPr>
            <w:tcW w:w="8460" w:type="dxa"/>
            <w:vAlign w:val="bottom"/>
            <w:shd w:val="clear" w:color="auto" w:fill="CCEEFF"/>
          </w:tcPr>
          <w:p>
            <w:pPr>
              <w:spacing w:after="0"/>
              <w:rPr>
                <w:sz w:val="20"/>
                <w:szCs w:val="20"/>
                <w:color w:val="auto"/>
              </w:rPr>
            </w:pPr>
            <w:r>
              <w:rPr>
                <w:rFonts w:ascii="Arial" w:cs="Arial" w:eastAsia="Arial" w:hAnsi="Arial"/>
                <w:sz w:val="11"/>
                <w:szCs w:val="11"/>
                <w:color w:val="auto"/>
              </w:rPr>
              <w:t>Operating activities:</w:t>
            </w:r>
          </w:p>
        </w:tc>
        <w:tc>
          <w:tcPr>
            <w:tcW w:w="8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r>
      <w:tr>
        <w:trPr>
          <w:trHeight w:val="142"/>
        </w:trPr>
        <w:tc>
          <w:tcPr>
            <w:tcW w:w="8460" w:type="dxa"/>
            <w:vAlign w:val="bottom"/>
          </w:tcPr>
          <w:p>
            <w:pPr>
              <w:ind w:left="220"/>
              <w:spacing w:after="0"/>
              <w:rPr>
                <w:sz w:val="20"/>
                <w:szCs w:val="20"/>
                <w:color w:val="auto"/>
              </w:rPr>
            </w:pPr>
            <w:r>
              <w:rPr>
                <w:rFonts w:ascii="Arial" w:cs="Arial" w:eastAsia="Arial" w:hAnsi="Arial"/>
                <w:sz w:val="11"/>
                <w:szCs w:val="11"/>
                <w:color w:val="auto"/>
              </w:rPr>
              <w:t>Net income</w:t>
            </w:r>
          </w:p>
        </w:tc>
        <w:tc>
          <w:tcPr>
            <w:tcW w:w="860" w:type="dxa"/>
            <w:vAlign w:val="bottom"/>
          </w:tcPr>
          <w:p>
            <w:pPr>
              <w:jc w:val="right"/>
              <w:ind w:right="72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125,479</w:t>
            </w:r>
          </w:p>
        </w:tc>
        <w:tc>
          <w:tcPr>
            <w:tcW w:w="940" w:type="dxa"/>
            <w:vAlign w:val="bottom"/>
            <w:gridSpan w:val="2"/>
          </w:tcPr>
          <w:p>
            <w:pPr>
              <w:jc w:val="right"/>
              <w:ind w:right="78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108,915</w:t>
            </w:r>
          </w:p>
        </w:tc>
      </w:tr>
      <w:tr>
        <w:trPr>
          <w:trHeight w:val="146"/>
        </w:trPr>
        <w:tc>
          <w:tcPr>
            <w:tcW w:w="84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42"/>
        </w:trPr>
        <w:tc>
          <w:tcPr>
            <w:tcW w:w="8460" w:type="dxa"/>
            <w:vAlign w:val="bottom"/>
          </w:tcPr>
          <w:p>
            <w:pPr>
              <w:ind w:left="440"/>
              <w:spacing w:after="0"/>
              <w:rPr>
                <w:sz w:val="20"/>
                <w:szCs w:val="20"/>
                <w:color w:val="auto"/>
              </w:rPr>
            </w:pPr>
            <w:r>
              <w:rPr>
                <w:rFonts w:ascii="Arial" w:cs="Arial" w:eastAsia="Arial" w:hAnsi="Arial"/>
                <w:sz w:val="11"/>
                <w:szCs w:val="11"/>
                <w:color w:val="auto"/>
              </w:rPr>
              <w:t>Depreciation and amortization</w:t>
            </w:r>
          </w:p>
        </w:tc>
        <w:tc>
          <w:tcPr>
            <w:tcW w:w="8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24,522</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25,448</w:t>
            </w:r>
          </w:p>
        </w:tc>
      </w:tr>
      <w:tr>
        <w:trPr>
          <w:trHeight w:val="146"/>
        </w:trPr>
        <w:tc>
          <w:tcPr>
            <w:tcW w:w="84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Stock-based compensation expense</w:t>
            </w: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6,427</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9,153</w:t>
            </w:r>
          </w:p>
        </w:tc>
      </w:tr>
      <w:tr>
        <w:trPr>
          <w:trHeight w:val="142"/>
        </w:trPr>
        <w:tc>
          <w:tcPr>
            <w:tcW w:w="8460" w:type="dxa"/>
            <w:vAlign w:val="bottom"/>
          </w:tcPr>
          <w:p>
            <w:pPr>
              <w:ind w:left="440"/>
              <w:spacing w:after="0"/>
              <w:rPr>
                <w:sz w:val="20"/>
                <w:szCs w:val="20"/>
                <w:color w:val="auto"/>
              </w:rPr>
            </w:pPr>
            <w:r>
              <w:rPr>
                <w:rFonts w:ascii="Arial" w:cs="Arial" w:eastAsia="Arial" w:hAnsi="Arial"/>
                <w:sz w:val="11"/>
                <w:szCs w:val="11"/>
                <w:color w:val="auto"/>
              </w:rPr>
              <w:t>Gain on sale of business</w:t>
            </w:r>
          </w:p>
        </w:tc>
        <w:tc>
          <w:tcPr>
            <w:tcW w:w="8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(3,770)</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84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Deferred income taxes</w:t>
            </w: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(5,947)</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2,858</w:t>
            </w:r>
          </w:p>
        </w:tc>
      </w:tr>
      <w:tr>
        <w:trPr>
          <w:trHeight w:val="142"/>
        </w:trPr>
        <w:tc>
          <w:tcPr>
            <w:tcW w:w="8460" w:type="dxa"/>
            <w:vAlign w:val="bottom"/>
          </w:tcPr>
          <w:p>
            <w:pPr>
              <w:ind w:left="440"/>
              <w:spacing w:after="0"/>
              <w:rPr>
                <w:sz w:val="20"/>
                <w:szCs w:val="20"/>
                <w:color w:val="auto"/>
              </w:rPr>
            </w:pPr>
            <w:r>
              <w:rPr>
                <w:rFonts w:ascii="Arial" w:cs="Arial" w:eastAsia="Arial" w:hAnsi="Arial"/>
                <w:sz w:val="11"/>
                <w:szCs w:val="11"/>
                <w:color w:val="auto"/>
              </w:rPr>
              <w:t>Other</w:t>
            </w:r>
          </w:p>
        </w:tc>
        <w:tc>
          <w:tcPr>
            <w:tcW w:w="8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(1,336)</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(1,080)</w:t>
            </w:r>
          </w:p>
        </w:tc>
      </w:tr>
      <w:tr>
        <w:trPr>
          <w:trHeight w:val="146"/>
        </w:trPr>
        <w:tc>
          <w:tcPr>
            <w:tcW w:w="84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Changes in operating assets and liabilities:</w:t>
            </w: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42"/>
        </w:trPr>
        <w:tc>
          <w:tcPr>
            <w:tcW w:w="8460" w:type="dxa"/>
            <w:vAlign w:val="bottom"/>
          </w:tcPr>
          <w:p>
            <w:pPr>
              <w:ind w:left="740"/>
              <w:spacing w:after="0"/>
              <w:rPr>
                <w:sz w:val="20"/>
                <w:szCs w:val="20"/>
                <w:color w:val="auto"/>
              </w:rPr>
            </w:pPr>
            <w:r>
              <w:rPr>
                <w:rFonts w:ascii="Arial" w:cs="Arial" w:eastAsia="Arial" w:hAnsi="Arial"/>
                <w:sz w:val="11"/>
                <w:szCs w:val="11"/>
                <w:color w:val="auto"/>
              </w:rPr>
              <w:t>Accounts receivable</w:t>
            </w:r>
          </w:p>
        </w:tc>
        <w:tc>
          <w:tcPr>
            <w:tcW w:w="8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1,744</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(26,438)</w:t>
            </w:r>
          </w:p>
        </w:tc>
      </w:tr>
      <w:tr>
        <w:trPr>
          <w:trHeight w:val="146"/>
        </w:trPr>
        <w:tc>
          <w:tcPr>
            <w:tcW w:w="8460" w:type="dxa"/>
            <w:vAlign w:val="bottom"/>
            <w:shd w:val="clear" w:color="auto" w:fill="CCEEFF"/>
          </w:tcPr>
          <w:p>
            <w:pPr>
              <w:ind w:left="740"/>
              <w:spacing w:after="0"/>
              <w:rPr>
                <w:sz w:val="20"/>
                <w:szCs w:val="20"/>
                <w:color w:val="auto"/>
              </w:rPr>
            </w:pPr>
            <w:r>
              <w:rPr>
                <w:rFonts w:ascii="Arial" w:cs="Arial" w:eastAsia="Arial" w:hAnsi="Arial"/>
                <w:sz w:val="11"/>
                <w:szCs w:val="11"/>
                <w:color w:val="auto"/>
              </w:rPr>
              <w:t>Inventories</w:t>
            </w: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9,279</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(47,784)</w:t>
            </w:r>
          </w:p>
        </w:tc>
      </w:tr>
      <w:tr>
        <w:trPr>
          <w:trHeight w:val="142"/>
        </w:trPr>
        <w:tc>
          <w:tcPr>
            <w:tcW w:w="8460" w:type="dxa"/>
            <w:vAlign w:val="bottom"/>
          </w:tcPr>
          <w:p>
            <w:pPr>
              <w:ind w:left="740"/>
              <w:spacing w:after="0"/>
              <w:rPr>
                <w:sz w:val="20"/>
                <w:szCs w:val="20"/>
                <w:color w:val="auto"/>
              </w:rPr>
            </w:pPr>
            <w:r>
              <w:rPr>
                <w:rFonts w:ascii="Arial" w:cs="Arial" w:eastAsia="Arial" w:hAnsi="Arial"/>
                <w:sz w:val="11"/>
                <w:szCs w:val="11"/>
                <w:color w:val="auto"/>
              </w:rPr>
              <w:t>Prepaid expenses and other assets</w:t>
            </w:r>
          </w:p>
        </w:tc>
        <w:tc>
          <w:tcPr>
            <w:tcW w:w="8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(3,429)</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(932)</w:t>
            </w:r>
          </w:p>
        </w:tc>
      </w:tr>
      <w:tr>
        <w:trPr>
          <w:trHeight w:val="146"/>
        </w:trPr>
        <w:tc>
          <w:tcPr>
            <w:tcW w:w="8460" w:type="dxa"/>
            <w:vAlign w:val="bottom"/>
            <w:shd w:val="clear" w:color="auto" w:fill="CCEEFF"/>
          </w:tcPr>
          <w:p>
            <w:pPr>
              <w:ind w:left="740"/>
              <w:spacing w:after="0"/>
              <w:rPr>
                <w:sz w:val="20"/>
                <w:szCs w:val="20"/>
                <w:color w:val="auto"/>
              </w:rPr>
            </w:pPr>
            <w:r>
              <w:rPr>
                <w:rFonts w:ascii="Arial" w:cs="Arial" w:eastAsia="Arial" w:hAnsi="Arial"/>
                <w:sz w:val="11"/>
                <w:szCs w:val="11"/>
                <w:color w:val="auto"/>
              </w:rPr>
              <w:t>Accounts payable and accrued liabilities</w:t>
            </w: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(19,704)</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(5,584)</w:t>
            </w:r>
          </w:p>
        </w:tc>
      </w:tr>
      <w:tr>
        <w:trPr>
          <w:trHeight w:val="142"/>
        </w:trPr>
        <w:tc>
          <w:tcPr>
            <w:tcW w:w="8460" w:type="dxa"/>
            <w:vAlign w:val="bottom"/>
            <w:tcBorders>
              <w:bottom w:val="single" w:sz="8" w:color="CCEEFF"/>
            </w:tcBorders>
          </w:tcPr>
          <w:p>
            <w:pPr>
              <w:ind w:left="740"/>
              <w:spacing w:after="0"/>
              <w:rPr>
                <w:sz w:val="20"/>
                <w:szCs w:val="20"/>
                <w:color w:val="auto"/>
              </w:rPr>
            </w:pPr>
            <w:r>
              <w:rPr>
                <w:rFonts w:ascii="Arial" w:cs="Arial" w:eastAsia="Arial" w:hAnsi="Arial"/>
                <w:sz w:val="11"/>
                <w:szCs w:val="11"/>
                <w:color w:val="auto"/>
              </w:rPr>
              <w:t>Income taxes</w:t>
            </w:r>
          </w:p>
        </w:tc>
        <w:tc>
          <w:tcPr>
            <w:tcW w:w="8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(3,404)</w:t>
            </w:r>
          </w:p>
        </w:tc>
        <w:tc>
          <w:tcPr>
            <w:tcW w:w="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680</w:t>
            </w:r>
          </w:p>
        </w:tc>
      </w:tr>
      <w:tr>
        <w:trPr>
          <w:trHeight w:val="135"/>
        </w:trPr>
        <w:tc>
          <w:tcPr>
            <w:tcW w:w="8460" w:type="dxa"/>
            <w:vAlign w:val="bottom"/>
            <w:shd w:val="clear" w:color="auto" w:fill="CCEEFF"/>
          </w:tcPr>
          <w:p>
            <w:pPr>
              <w:ind w:left="1000"/>
              <w:spacing w:after="0" w:line="122" w:lineRule="exact"/>
              <w:rPr>
                <w:sz w:val="20"/>
                <w:szCs w:val="20"/>
                <w:color w:val="auto"/>
              </w:rPr>
            </w:pPr>
            <w:r>
              <w:rPr>
                <w:rFonts w:ascii="Arial" w:cs="Arial" w:eastAsia="Arial" w:hAnsi="Arial"/>
                <w:sz w:val="11"/>
                <w:szCs w:val="11"/>
                <w:color w:val="auto"/>
              </w:rPr>
              <w:t>Net cash provided by operating activities</w:t>
            </w:r>
          </w:p>
        </w:tc>
        <w:tc>
          <w:tcPr>
            <w:tcW w:w="8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129,861</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65,236</w:t>
            </w:r>
          </w:p>
        </w:tc>
      </w:tr>
      <w:tr>
        <w:trPr>
          <w:trHeight w:val="162"/>
        </w:trPr>
        <w:tc>
          <w:tcPr>
            <w:tcW w:w="8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44"/>
        </w:trPr>
        <w:tc>
          <w:tcPr>
            <w:tcW w:w="8460" w:type="dxa"/>
            <w:vAlign w:val="bottom"/>
            <w:shd w:val="clear" w:color="auto" w:fill="CCEEFF"/>
          </w:tcPr>
          <w:p>
            <w:pPr>
              <w:spacing w:after="0"/>
              <w:rPr>
                <w:sz w:val="20"/>
                <w:szCs w:val="20"/>
                <w:color w:val="auto"/>
              </w:rPr>
            </w:pPr>
            <w:r>
              <w:rPr>
                <w:rFonts w:ascii="Arial" w:cs="Arial" w:eastAsia="Arial" w:hAnsi="Arial"/>
                <w:sz w:val="11"/>
                <w:szCs w:val="11"/>
                <w:color w:val="auto"/>
              </w:rPr>
              <w:t>Investing activities:</w:t>
            </w: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42"/>
        </w:trPr>
        <w:tc>
          <w:tcPr>
            <w:tcW w:w="8460" w:type="dxa"/>
            <w:vAlign w:val="bottom"/>
          </w:tcPr>
          <w:p>
            <w:pPr>
              <w:ind w:left="440"/>
              <w:spacing w:after="0"/>
              <w:rPr>
                <w:sz w:val="20"/>
                <w:szCs w:val="20"/>
                <w:color w:val="auto"/>
              </w:rPr>
            </w:pPr>
            <w:r>
              <w:rPr>
                <w:rFonts w:ascii="Arial" w:cs="Arial" w:eastAsia="Arial" w:hAnsi="Arial"/>
                <w:sz w:val="11"/>
                <w:szCs w:val="11"/>
                <w:color w:val="auto"/>
              </w:rPr>
              <w:t>Purchases of property, plant and equipment</w:t>
            </w:r>
          </w:p>
        </w:tc>
        <w:tc>
          <w:tcPr>
            <w:tcW w:w="8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(12,912)</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(22,130)</w:t>
            </w:r>
          </w:p>
        </w:tc>
      </w:tr>
      <w:tr>
        <w:trPr>
          <w:trHeight w:val="146"/>
        </w:trPr>
        <w:tc>
          <w:tcPr>
            <w:tcW w:w="84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Sale of business</w:t>
            </w: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8,000</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8460" w:type="dxa"/>
            <w:vAlign w:val="bottom"/>
          </w:tcPr>
          <w:p>
            <w:pPr>
              <w:ind w:left="440"/>
              <w:spacing w:after="0"/>
              <w:rPr>
                <w:sz w:val="20"/>
                <w:szCs w:val="20"/>
                <w:color w:val="auto"/>
              </w:rPr>
            </w:pPr>
            <w:r>
              <w:rPr>
                <w:rFonts w:ascii="Arial" w:cs="Arial" w:eastAsia="Arial" w:hAnsi="Arial"/>
                <w:sz w:val="11"/>
                <w:szCs w:val="11"/>
                <w:color w:val="auto"/>
              </w:rPr>
              <w:t>Other</w:t>
            </w:r>
          </w:p>
        </w:tc>
        <w:tc>
          <w:tcPr>
            <w:tcW w:w="8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w:t>
            </w:r>
          </w:p>
        </w:tc>
      </w:tr>
      <w:tr>
        <w:trPr>
          <w:trHeight w:val="135"/>
        </w:trPr>
        <w:tc>
          <w:tcPr>
            <w:tcW w:w="8460" w:type="dxa"/>
            <w:vAlign w:val="bottom"/>
            <w:shd w:val="clear" w:color="auto" w:fill="CCEEFF"/>
          </w:tcPr>
          <w:p>
            <w:pPr>
              <w:ind w:left="1000"/>
              <w:spacing w:after="0"/>
              <w:rPr>
                <w:sz w:val="20"/>
                <w:szCs w:val="20"/>
                <w:color w:val="auto"/>
              </w:rPr>
            </w:pPr>
            <w:r>
              <w:rPr>
                <w:rFonts w:ascii="Arial" w:cs="Arial" w:eastAsia="Arial" w:hAnsi="Arial"/>
                <w:sz w:val="11"/>
                <w:szCs w:val="11"/>
                <w:color w:val="auto"/>
              </w:rPr>
              <w:t>Net cash used in investing activities</w:t>
            </w:r>
          </w:p>
        </w:tc>
        <w:tc>
          <w:tcPr>
            <w:tcW w:w="8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(4,901)</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(22,071)</w:t>
            </w:r>
          </w:p>
        </w:tc>
      </w:tr>
      <w:tr>
        <w:trPr>
          <w:trHeight w:val="171"/>
        </w:trPr>
        <w:tc>
          <w:tcPr>
            <w:tcW w:w="8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44"/>
        </w:trPr>
        <w:tc>
          <w:tcPr>
            <w:tcW w:w="8460" w:type="dxa"/>
            <w:vAlign w:val="bottom"/>
            <w:shd w:val="clear" w:color="auto" w:fill="CCEEFF"/>
          </w:tcPr>
          <w:p>
            <w:pPr>
              <w:spacing w:after="0"/>
              <w:rPr>
                <w:sz w:val="20"/>
                <w:szCs w:val="20"/>
                <w:color w:val="auto"/>
              </w:rPr>
            </w:pPr>
            <w:r>
              <w:rPr>
                <w:rFonts w:ascii="Arial" w:cs="Arial" w:eastAsia="Arial" w:hAnsi="Arial"/>
                <w:sz w:val="11"/>
                <w:szCs w:val="11"/>
                <w:color w:val="auto"/>
              </w:rPr>
              <w:t>Financing activities:</w:t>
            </w: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42"/>
        </w:trPr>
        <w:tc>
          <w:tcPr>
            <w:tcW w:w="8460" w:type="dxa"/>
            <w:vAlign w:val="bottom"/>
          </w:tcPr>
          <w:p>
            <w:pPr>
              <w:ind w:left="440"/>
              <w:spacing w:after="0"/>
              <w:rPr>
                <w:sz w:val="20"/>
                <w:szCs w:val="20"/>
                <w:color w:val="auto"/>
              </w:rPr>
            </w:pPr>
            <w:r>
              <w:rPr>
                <w:rFonts w:ascii="Arial" w:cs="Arial" w:eastAsia="Arial" w:hAnsi="Arial"/>
                <w:sz w:val="11"/>
                <w:szCs w:val="11"/>
                <w:color w:val="auto"/>
              </w:rPr>
              <w:t>Payment of dividends</w:t>
            </w:r>
          </w:p>
        </w:tc>
        <w:tc>
          <w:tcPr>
            <w:tcW w:w="8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(34,202)</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(34,701)</w:t>
            </w:r>
          </w:p>
        </w:tc>
      </w:tr>
      <w:tr>
        <w:trPr>
          <w:trHeight w:val="146"/>
        </w:trPr>
        <w:tc>
          <w:tcPr>
            <w:tcW w:w="84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Proceeds from exercise of stock options</w:t>
            </w: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4,091</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663</w:t>
            </w:r>
          </w:p>
        </w:tc>
      </w:tr>
      <w:tr>
        <w:trPr>
          <w:trHeight w:val="142"/>
        </w:trPr>
        <w:tc>
          <w:tcPr>
            <w:tcW w:w="8460" w:type="dxa"/>
            <w:vAlign w:val="bottom"/>
          </w:tcPr>
          <w:p>
            <w:pPr>
              <w:ind w:left="440"/>
              <w:spacing w:after="0"/>
              <w:rPr>
                <w:sz w:val="20"/>
                <w:szCs w:val="20"/>
                <w:color w:val="auto"/>
              </w:rPr>
            </w:pPr>
            <w:r>
              <w:rPr>
                <w:rFonts w:ascii="Arial" w:cs="Arial" w:eastAsia="Arial" w:hAnsi="Arial"/>
                <w:sz w:val="11"/>
                <w:szCs w:val="11"/>
                <w:color w:val="auto"/>
              </w:rPr>
              <w:t>Payments for employee taxes withheld from stock-based awards</w:t>
            </w:r>
          </w:p>
        </w:tc>
        <w:tc>
          <w:tcPr>
            <w:tcW w:w="8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(1,965)</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(5,070)</w:t>
            </w:r>
          </w:p>
        </w:tc>
      </w:tr>
      <w:tr>
        <w:trPr>
          <w:trHeight w:val="146"/>
        </w:trPr>
        <w:tc>
          <w:tcPr>
            <w:tcW w:w="84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Purchase of treasury stock</w:t>
            </w: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(29,774)</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(84,930)</w:t>
            </w:r>
          </w:p>
        </w:tc>
      </w:tr>
      <w:tr>
        <w:trPr>
          <w:trHeight w:val="142"/>
        </w:trPr>
        <w:tc>
          <w:tcPr>
            <w:tcW w:w="8460" w:type="dxa"/>
            <w:vAlign w:val="bottom"/>
          </w:tcPr>
          <w:p>
            <w:pPr>
              <w:ind w:left="440"/>
              <w:spacing w:after="0"/>
              <w:rPr>
                <w:sz w:val="20"/>
                <w:szCs w:val="20"/>
                <w:color w:val="auto"/>
              </w:rPr>
            </w:pPr>
            <w:r>
              <w:rPr>
                <w:rFonts w:ascii="Arial" w:cs="Arial" w:eastAsia="Arial" w:hAnsi="Arial"/>
                <w:sz w:val="11"/>
                <w:szCs w:val="11"/>
                <w:color w:val="auto"/>
              </w:rPr>
              <w:t>Proceeds from borrowing on credit agreement</w:t>
            </w:r>
          </w:p>
        </w:tc>
        <w:tc>
          <w:tcPr>
            <w:tcW w:w="8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102,916</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155,216</w:t>
            </w:r>
          </w:p>
        </w:tc>
      </w:tr>
      <w:tr>
        <w:trPr>
          <w:trHeight w:val="146"/>
        </w:trPr>
        <w:tc>
          <w:tcPr>
            <w:tcW w:w="84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Repayment of borrowing on credit agreement</w:t>
            </w: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(147,067)</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(116,216)</w:t>
            </w:r>
          </w:p>
        </w:tc>
      </w:tr>
      <w:tr>
        <w:trPr>
          <w:trHeight w:val="142"/>
        </w:trPr>
        <w:tc>
          <w:tcPr>
            <w:tcW w:w="8460" w:type="dxa"/>
            <w:vAlign w:val="bottom"/>
            <w:tcBorders>
              <w:bottom w:val="single" w:sz="8" w:color="CCEEFF"/>
            </w:tcBorders>
          </w:tcPr>
          <w:p>
            <w:pPr>
              <w:ind w:left="440"/>
              <w:spacing w:after="0"/>
              <w:rPr>
                <w:sz w:val="20"/>
                <w:szCs w:val="20"/>
                <w:color w:val="auto"/>
              </w:rPr>
            </w:pPr>
            <w:r>
              <w:rPr>
                <w:rFonts w:ascii="Arial" w:cs="Arial" w:eastAsia="Arial" w:hAnsi="Arial"/>
                <w:sz w:val="11"/>
                <w:szCs w:val="11"/>
                <w:color w:val="auto"/>
              </w:rPr>
              <w:t>Other</w:t>
            </w:r>
          </w:p>
        </w:tc>
        <w:tc>
          <w:tcPr>
            <w:tcW w:w="8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w:t>
            </w:r>
          </w:p>
        </w:tc>
        <w:tc>
          <w:tcPr>
            <w:tcW w:w="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3,276</w:t>
            </w:r>
          </w:p>
        </w:tc>
      </w:tr>
      <w:tr>
        <w:trPr>
          <w:trHeight w:val="135"/>
        </w:trPr>
        <w:tc>
          <w:tcPr>
            <w:tcW w:w="8460" w:type="dxa"/>
            <w:vAlign w:val="bottom"/>
            <w:shd w:val="clear" w:color="auto" w:fill="CCEEFF"/>
          </w:tcPr>
          <w:p>
            <w:pPr>
              <w:ind w:left="1000"/>
              <w:spacing w:after="0" w:line="122" w:lineRule="exact"/>
              <w:rPr>
                <w:sz w:val="20"/>
                <w:szCs w:val="20"/>
                <w:color w:val="auto"/>
              </w:rPr>
            </w:pPr>
            <w:r>
              <w:rPr>
                <w:rFonts w:ascii="Arial" w:cs="Arial" w:eastAsia="Arial" w:hAnsi="Arial"/>
                <w:sz w:val="11"/>
                <w:szCs w:val="11"/>
                <w:color w:val="auto"/>
              </w:rPr>
              <w:t>Net cash used in financing activities</w:t>
            </w:r>
          </w:p>
        </w:tc>
        <w:tc>
          <w:tcPr>
            <w:tcW w:w="8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(105,935)</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(81,762)</w:t>
            </w:r>
          </w:p>
        </w:tc>
      </w:tr>
      <w:tr>
        <w:trPr>
          <w:trHeight w:val="171"/>
        </w:trPr>
        <w:tc>
          <w:tcPr>
            <w:tcW w:w="8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42"/>
        </w:trPr>
        <w:tc>
          <w:tcPr>
            <w:tcW w:w="8460" w:type="dxa"/>
            <w:vAlign w:val="bottom"/>
            <w:shd w:val="clear" w:color="auto" w:fill="CCEEFF"/>
          </w:tcPr>
          <w:p>
            <w:pPr>
              <w:spacing w:after="0"/>
              <w:rPr>
                <w:sz w:val="20"/>
                <w:szCs w:val="20"/>
                <w:color w:val="auto"/>
              </w:rPr>
            </w:pPr>
            <w:r>
              <w:rPr>
                <w:rFonts w:ascii="Arial" w:cs="Arial" w:eastAsia="Arial" w:hAnsi="Arial"/>
                <w:sz w:val="11"/>
                <w:szCs w:val="11"/>
                <w:color w:val="auto"/>
              </w:rPr>
              <w:t>Effect of exchange rate changes on cash</w:t>
            </w:r>
          </w:p>
        </w:tc>
        <w:tc>
          <w:tcPr>
            <w:tcW w:w="8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1,953</w:t>
            </w:r>
          </w:p>
        </w:tc>
        <w:tc>
          <w:tcPr>
            <w:tcW w:w="8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(5,670)</w:t>
            </w:r>
          </w:p>
        </w:tc>
      </w:tr>
      <w:tr>
        <w:trPr>
          <w:trHeight w:val="153"/>
        </w:trPr>
        <w:tc>
          <w:tcPr>
            <w:tcW w:w="8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44"/>
        </w:trPr>
        <w:tc>
          <w:tcPr>
            <w:tcW w:w="8460" w:type="dxa"/>
            <w:vAlign w:val="bottom"/>
            <w:shd w:val="clear" w:color="auto" w:fill="CCEEFF"/>
          </w:tcPr>
          <w:p>
            <w:pPr>
              <w:spacing w:after="0"/>
              <w:rPr>
                <w:sz w:val="20"/>
                <w:szCs w:val="20"/>
                <w:color w:val="auto"/>
              </w:rPr>
            </w:pPr>
            <w:r>
              <w:rPr>
                <w:rFonts w:ascii="Arial" w:cs="Arial" w:eastAsia="Arial" w:hAnsi="Arial"/>
                <w:sz w:val="11"/>
                <w:szCs w:val="11"/>
                <w:color w:val="auto"/>
              </w:rPr>
              <w:t>Net increase (decrease) in cash and cash equivalents</w:t>
            </w: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20,978</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(44,267)</w:t>
            </w:r>
          </w:p>
        </w:tc>
      </w:tr>
      <w:tr>
        <w:trPr>
          <w:trHeight w:val="142"/>
        </w:trPr>
        <w:tc>
          <w:tcPr>
            <w:tcW w:w="84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Cash and cash equivalents, beginning of period</w:t>
            </w:r>
          </w:p>
        </w:tc>
        <w:tc>
          <w:tcPr>
            <w:tcW w:w="8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114,069</w:t>
            </w:r>
          </w:p>
        </w:tc>
        <w:tc>
          <w:tcPr>
            <w:tcW w:w="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147,335</w:t>
            </w:r>
          </w:p>
        </w:tc>
      </w:tr>
      <w:tr>
        <w:trPr>
          <w:trHeight w:val="153"/>
        </w:trPr>
        <w:tc>
          <w:tcPr>
            <w:tcW w:w="84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44"/>
        </w:trPr>
        <w:tc>
          <w:tcPr>
            <w:tcW w:w="8460" w:type="dxa"/>
            <w:vAlign w:val="bottom"/>
          </w:tcPr>
          <w:p>
            <w:pPr>
              <w:spacing w:after="0"/>
              <w:rPr>
                <w:sz w:val="20"/>
                <w:szCs w:val="20"/>
                <w:color w:val="auto"/>
              </w:rPr>
            </w:pPr>
            <w:r>
              <w:rPr>
                <w:rFonts w:ascii="Arial" w:cs="Arial" w:eastAsia="Arial" w:hAnsi="Arial"/>
                <w:sz w:val="11"/>
                <w:szCs w:val="11"/>
                <w:color w:val="auto"/>
              </w:rPr>
              <w:t>Cash and cash equivalents, end of period</w:t>
            </w:r>
          </w:p>
        </w:tc>
        <w:tc>
          <w:tcPr>
            <w:tcW w:w="860" w:type="dxa"/>
            <w:vAlign w:val="bottom"/>
          </w:tcPr>
          <w:p>
            <w:pPr>
              <w:jc w:val="right"/>
              <w:ind w:right="72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135,047</w:t>
            </w:r>
          </w:p>
        </w:tc>
        <w:tc>
          <w:tcPr>
            <w:tcW w:w="940" w:type="dxa"/>
            <w:vAlign w:val="bottom"/>
            <w:gridSpan w:val="2"/>
          </w:tcPr>
          <w:p>
            <w:pPr>
              <w:jc w:val="right"/>
              <w:ind w:right="78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103,068</w:t>
            </w:r>
          </w:p>
        </w:tc>
      </w:tr>
      <w:tr>
        <w:trPr>
          <w:trHeight w:val="20"/>
        </w:trPr>
        <w:tc>
          <w:tcPr>
            <w:tcW w:w="84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62" w:right="299" w:bottom="1440" w:gutter="0" w:footer="0" w:header="0"/>
        </w:sectPr>
      </w:pPr>
    </w:p>
    <w:bookmarkStart w:id="9" w:name="page10"/>
    <w:bookmarkEnd w:id="9"/>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SEGMENT INFORMATION</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(Unaudited; Dollars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380" w:type="dxa"/>
            <w:vAlign w:val="bottom"/>
          </w:tcPr>
          <w:p>
            <w:pPr>
              <w:spacing w:after="0"/>
              <w:rPr>
                <w:sz w:val="12"/>
                <w:szCs w:val="12"/>
                <w:color w:val="auto"/>
              </w:rPr>
            </w:pPr>
          </w:p>
        </w:tc>
        <w:tc>
          <w:tcPr>
            <w:tcW w:w="23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1"/>
                <w:szCs w:val="11"/>
                <w:color w:val="auto"/>
              </w:rPr>
              <w:t>Three months ended April 30,</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color w:val="auto"/>
              </w:rPr>
              <w:t>Nine months ended April 30,</w:t>
            </w:r>
          </w:p>
        </w:tc>
        <w:tc>
          <w:tcPr>
            <w:tcW w:w="820" w:type="dxa"/>
            <w:vAlign w:val="bottom"/>
            <w:tcBorders>
              <w:bottom w:val="single" w:sz="8" w:color="auto"/>
            </w:tcBorders>
          </w:tcPr>
          <w:p>
            <w:pPr>
              <w:spacing w:after="0"/>
              <w:rPr>
                <w:sz w:val="12"/>
                <w:szCs w:val="12"/>
                <w:color w:val="auto"/>
              </w:rPr>
            </w:pPr>
          </w:p>
        </w:tc>
      </w:tr>
      <w:tr>
        <w:trPr>
          <w:trHeight w:val="151"/>
        </w:trPr>
        <w:tc>
          <w:tcPr>
            <w:tcW w:w="53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2023</w:t>
            </w:r>
          </w:p>
        </w:tc>
        <w:tc>
          <w:tcPr>
            <w:tcW w:w="540" w:type="dxa"/>
            <w:vAlign w:val="bottom"/>
          </w:tcPr>
          <w:p>
            <w:pPr>
              <w:spacing w:after="0"/>
              <w:rPr>
                <w:sz w:val="13"/>
                <w:szCs w:val="1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1"/>
                <w:szCs w:val="11"/>
                <w:color w:val="auto"/>
              </w:rPr>
              <w:t>2022</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546"/>
              <w:spacing w:after="0"/>
              <w:rPr>
                <w:sz w:val="20"/>
                <w:szCs w:val="20"/>
                <w:color w:val="auto"/>
              </w:rPr>
            </w:pPr>
            <w:r>
              <w:rPr>
                <w:rFonts w:ascii="Arial" w:cs="Arial" w:eastAsia="Arial" w:hAnsi="Arial"/>
                <w:sz w:val="11"/>
                <w:szCs w:val="11"/>
                <w:color w:val="auto"/>
              </w:rPr>
              <w:t>2023</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jc w:val="right"/>
              <w:ind w:right="546"/>
              <w:spacing w:after="0"/>
              <w:rPr>
                <w:sz w:val="20"/>
                <w:szCs w:val="20"/>
                <w:color w:val="auto"/>
              </w:rPr>
            </w:pPr>
            <w:r>
              <w:rPr>
                <w:rFonts w:ascii="Arial" w:cs="Arial" w:eastAsia="Arial" w:hAnsi="Arial"/>
                <w:sz w:val="11"/>
                <w:szCs w:val="11"/>
                <w:color w:val="auto"/>
                <w:w w:val="81"/>
              </w:rPr>
              <w:t>2022</w:t>
            </w:r>
          </w:p>
        </w:tc>
      </w:tr>
      <w:tr>
        <w:trPr>
          <w:trHeight w:val="135"/>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NET SALES</w:t>
            </w:r>
          </w:p>
        </w:tc>
        <w:tc>
          <w:tcPr>
            <w:tcW w:w="8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r>
      <w:tr>
        <w:trPr>
          <w:trHeight w:val="142"/>
        </w:trPr>
        <w:tc>
          <w:tcPr>
            <w:tcW w:w="5380" w:type="dxa"/>
            <w:vAlign w:val="bottom"/>
          </w:tcPr>
          <w:p>
            <w:pPr>
              <w:ind w:left="220"/>
              <w:spacing w:after="0"/>
              <w:rPr>
                <w:sz w:val="20"/>
                <w:szCs w:val="20"/>
                <w:color w:val="auto"/>
              </w:rPr>
            </w:pPr>
            <w:r>
              <w:rPr>
                <w:rFonts w:ascii="Arial" w:cs="Arial" w:eastAsia="Arial" w:hAnsi="Arial"/>
                <w:sz w:val="11"/>
                <w:szCs w:val="11"/>
                <w:color w:val="auto"/>
              </w:rPr>
              <w:t>Americas &amp; Asia</w:t>
            </w:r>
          </w:p>
        </w:tc>
        <w:tc>
          <w:tcPr>
            <w:tcW w:w="860" w:type="dxa"/>
            <w:vAlign w:val="bottom"/>
          </w:tcPr>
          <w:p>
            <w:pPr>
              <w:jc w:val="right"/>
              <w:ind w:right="74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222,813</w:t>
            </w:r>
          </w:p>
        </w:tc>
        <w:tc>
          <w:tcPr>
            <w:tcW w:w="980" w:type="dxa"/>
            <w:vAlign w:val="bottom"/>
            <w:gridSpan w:val="2"/>
          </w:tcPr>
          <w:p>
            <w:pPr>
              <w:jc w:val="right"/>
              <w:ind w:right="82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66"/>
              <w:spacing w:after="0"/>
              <w:rPr>
                <w:sz w:val="20"/>
                <w:szCs w:val="20"/>
                <w:color w:val="auto"/>
              </w:rPr>
            </w:pPr>
            <w:r>
              <w:rPr>
                <w:rFonts w:ascii="Arial" w:cs="Arial" w:eastAsia="Arial" w:hAnsi="Arial"/>
                <w:sz w:val="11"/>
                <w:szCs w:val="11"/>
                <w:color w:val="auto"/>
                <w:w w:val="95"/>
              </w:rPr>
              <w:t>222,579</w:t>
            </w:r>
          </w:p>
        </w:tc>
        <w:tc>
          <w:tcPr>
            <w:tcW w:w="4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86"/>
              <w:spacing w:after="0"/>
              <w:rPr>
                <w:sz w:val="20"/>
                <w:szCs w:val="20"/>
                <w:color w:val="auto"/>
              </w:rPr>
            </w:pPr>
            <w:r>
              <w:rPr>
                <w:rFonts w:ascii="Arial" w:cs="Arial" w:eastAsia="Arial" w:hAnsi="Arial"/>
                <w:sz w:val="11"/>
                <w:szCs w:val="11"/>
                <w:color w:val="auto"/>
              </w:rPr>
              <w:t>661,375</w:t>
            </w:r>
          </w:p>
        </w:tc>
        <w:tc>
          <w:tcPr>
            <w:tcW w:w="680" w:type="dxa"/>
            <w:vAlign w:val="bottom"/>
            <w:gridSpan w:val="2"/>
          </w:tcPr>
          <w:p>
            <w:pPr>
              <w:jc w:val="right"/>
              <w:ind w:right="54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643,292</w:t>
            </w:r>
          </w:p>
        </w:tc>
      </w:tr>
      <w:tr>
        <w:trPr>
          <w:trHeight w:val="144"/>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Europe &amp; Australia</w:t>
            </w:r>
          </w:p>
        </w:tc>
        <w:tc>
          <w:tcPr>
            <w:tcW w:w="8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114,303</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5"/>
              </w:rPr>
              <w:t>115,972</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324,559</w:t>
            </w:r>
          </w:p>
        </w:tc>
        <w:tc>
          <w:tcPr>
            <w:tcW w:w="8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334,789</w:t>
            </w:r>
          </w:p>
        </w:tc>
      </w:tr>
      <w:tr>
        <w:trPr>
          <w:trHeight w:val="151"/>
        </w:trPr>
        <w:tc>
          <w:tcPr>
            <w:tcW w:w="5380" w:type="dxa"/>
            <w:vAlign w:val="bottom"/>
          </w:tcPr>
          <w:p>
            <w:pPr>
              <w:ind w:left="220"/>
              <w:spacing w:after="0"/>
              <w:rPr>
                <w:sz w:val="20"/>
                <w:szCs w:val="20"/>
                <w:color w:val="auto"/>
              </w:rPr>
            </w:pPr>
            <w:r>
              <w:rPr>
                <w:rFonts w:ascii="Arial" w:cs="Arial" w:eastAsia="Arial" w:hAnsi="Arial"/>
                <w:sz w:val="11"/>
                <w:szCs w:val="11"/>
                <w:color w:val="auto"/>
              </w:rPr>
              <w:t>Total</w:t>
            </w:r>
          </w:p>
        </w:tc>
        <w:tc>
          <w:tcPr>
            <w:tcW w:w="860" w:type="dxa"/>
            <w:vAlign w:val="bottom"/>
          </w:tcPr>
          <w:p>
            <w:pPr>
              <w:jc w:val="right"/>
              <w:ind w:right="74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337,116</w:t>
            </w:r>
          </w:p>
        </w:tc>
        <w:tc>
          <w:tcPr>
            <w:tcW w:w="980" w:type="dxa"/>
            <w:vAlign w:val="bottom"/>
            <w:gridSpan w:val="2"/>
          </w:tcPr>
          <w:p>
            <w:pPr>
              <w:jc w:val="right"/>
              <w:ind w:right="82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66"/>
              <w:spacing w:after="0"/>
              <w:rPr>
                <w:sz w:val="20"/>
                <w:szCs w:val="20"/>
                <w:color w:val="auto"/>
              </w:rPr>
            </w:pPr>
            <w:r>
              <w:rPr>
                <w:rFonts w:ascii="Arial" w:cs="Arial" w:eastAsia="Arial" w:hAnsi="Arial"/>
                <w:sz w:val="11"/>
                <w:szCs w:val="11"/>
                <w:color w:val="auto"/>
                <w:w w:val="95"/>
              </w:rPr>
              <w:t>338,551</w:t>
            </w:r>
          </w:p>
        </w:tc>
        <w:tc>
          <w:tcPr>
            <w:tcW w:w="4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86"/>
              <w:spacing w:after="0"/>
              <w:rPr>
                <w:sz w:val="20"/>
                <w:szCs w:val="20"/>
                <w:color w:val="auto"/>
              </w:rPr>
            </w:pPr>
            <w:r>
              <w:rPr>
                <w:rFonts w:ascii="Arial" w:cs="Arial" w:eastAsia="Arial" w:hAnsi="Arial"/>
                <w:sz w:val="11"/>
                <w:szCs w:val="11"/>
                <w:color w:val="auto"/>
              </w:rPr>
              <w:t>985,934</w:t>
            </w:r>
          </w:p>
        </w:tc>
        <w:tc>
          <w:tcPr>
            <w:tcW w:w="680" w:type="dxa"/>
            <w:vAlign w:val="bottom"/>
            <w:gridSpan w:val="2"/>
          </w:tcPr>
          <w:p>
            <w:pPr>
              <w:jc w:val="right"/>
              <w:ind w:right="54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978,081</w:t>
            </w:r>
          </w:p>
        </w:tc>
      </w:tr>
      <w:tr>
        <w:trPr>
          <w:trHeight w:val="153"/>
        </w:trPr>
        <w:tc>
          <w:tcPr>
            <w:tcW w:w="53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380" w:type="dxa"/>
            <w:vAlign w:val="bottom"/>
          </w:tcPr>
          <w:p>
            <w:pPr>
              <w:spacing w:after="0"/>
              <w:rPr>
                <w:sz w:val="20"/>
                <w:szCs w:val="20"/>
                <w:color w:val="auto"/>
              </w:rPr>
            </w:pPr>
            <w:r>
              <w:rPr>
                <w:rFonts w:ascii="Arial" w:cs="Arial" w:eastAsia="Arial" w:hAnsi="Arial"/>
                <w:sz w:val="11"/>
                <w:szCs w:val="11"/>
                <w:b w:val="1"/>
                <w:bCs w:val="1"/>
                <w:color w:val="auto"/>
              </w:rPr>
              <w:t>SALES INFORMATION</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6"/>
        </w:trPr>
        <w:tc>
          <w:tcPr>
            <w:tcW w:w="5380" w:type="dxa"/>
            <w:vAlign w:val="bottom"/>
            <w:shd w:val="clear" w:color="auto" w:fill="CCEEFF"/>
          </w:tcPr>
          <w:p>
            <w:pPr>
              <w:spacing w:after="0"/>
              <w:rPr>
                <w:sz w:val="20"/>
                <w:szCs w:val="20"/>
                <w:color w:val="auto"/>
              </w:rPr>
            </w:pPr>
            <w:r>
              <w:rPr>
                <w:rFonts w:ascii="Arial" w:cs="Arial" w:eastAsia="Arial" w:hAnsi="Arial"/>
                <w:sz w:val="11"/>
                <w:szCs w:val="11"/>
                <w:b w:val="1"/>
                <w:bCs w:val="1"/>
                <w:i w:val="1"/>
                <w:iCs w:val="1"/>
                <w:color w:val="auto"/>
              </w:rPr>
              <w:t>Americas &amp; Asia</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2"/>
        </w:trPr>
        <w:tc>
          <w:tcPr>
            <w:tcW w:w="5380" w:type="dxa"/>
            <w:vAlign w:val="bottom"/>
          </w:tcPr>
          <w:p>
            <w:pPr>
              <w:ind w:left="220"/>
              <w:spacing w:after="0"/>
              <w:rPr>
                <w:sz w:val="20"/>
                <w:szCs w:val="20"/>
                <w:color w:val="auto"/>
              </w:rPr>
            </w:pPr>
            <w:r>
              <w:rPr>
                <w:rFonts w:ascii="Arial" w:cs="Arial" w:eastAsia="Arial" w:hAnsi="Arial"/>
                <w:sz w:val="11"/>
                <w:szCs w:val="11"/>
                <w:color w:val="auto"/>
              </w:rPr>
              <w:t>Organic</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1.2 %</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9.2 %</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4.0 %</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10.7 %</w:t>
            </w:r>
          </w:p>
        </w:tc>
      </w:tr>
      <w:tr>
        <w:trPr>
          <w:trHeight w:val="146"/>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Currency</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0.3 %</w:t>
            </w:r>
          </w:p>
        </w:tc>
      </w:tr>
      <w:tr>
        <w:trPr>
          <w:trHeight w:val="142"/>
        </w:trPr>
        <w:tc>
          <w:tcPr>
            <w:tcW w:w="5380" w:type="dxa"/>
            <w:vAlign w:val="bottom"/>
          </w:tcPr>
          <w:p>
            <w:pPr>
              <w:ind w:left="220"/>
              <w:spacing w:after="0"/>
              <w:rPr>
                <w:sz w:val="20"/>
                <w:szCs w:val="20"/>
                <w:color w:val="auto"/>
              </w:rPr>
            </w:pPr>
            <w:r>
              <w:rPr>
                <w:rFonts w:ascii="Arial" w:cs="Arial" w:eastAsia="Arial" w:hAnsi="Arial"/>
                <w:sz w:val="11"/>
                <w:szCs w:val="11"/>
                <w:color w:val="auto"/>
              </w:rPr>
              <w:t>Divestiture</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(0.3)%</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 %</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(0.1)%</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 %</w:t>
            </w:r>
          </w:p>
        </w:tc>
      </w:tr>
      <w:tr>
        <w:trPr>
          <w:trHeight w:val="144"/>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Acquisition</w:t>
            </w: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10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8.6 %</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8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8.3 %</w:t>
            </w:r>
          </w:p>
        </w:tc>
      </w:tr>
      <w:tr>
        <w:trPr>
          <w:trHeight w:val="151"/>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Total</w:t>
            </w: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0.1 %</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17.7 %</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2.8 %</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19.3 %</w:t>
            </w:r>
          </w:p>
        </w:tc>
      </w:tr>
      <w:tr>
        <w:trPr>
          <w:trHeight w:val="144"/>
        </w:trPr>
        <w:tc>
          <w:tcPr>
            <w:tcW w:w="5380" w:type="dxa"/>
            <w:vAlign w:val="bottom"/>
            <w:shd w:val="clear" w:color="auto" w:fill="CCEEFF"/>
          </w:tcPr>
          <w:p>
            <w:pPr>
              <w:spacing w:after="0"/>
              <w:rPr>
                <w:sz w:val="20"/>
                <w:szCs w:val="20"/>
                <w:color w:val="auto"/>
              </w:rPr>
            </w:pPr>
            <w:r>
              <w:rPr>
                <w:rFonts w:ascii="Arial" w:cs="Arial" w:eastAsia="Arial" w:hAnsi="Arial"/>
                <w:sz w:val="11"/>
                <w:szCs w:val="11"/>
                <w:b w:val="1"/>
                <w:bCs w:val="1"/>
                <w:i w:val="1"/>
                <w:iCs w:val="1"/>
                <w:color w:val="auto"/>
              </w:rPr>
              <w:t>Europe &amp; Australia</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2"/>
        </w:trPr>
        <w:tc>
          <w:tcPr>
            <w:tcW w:w="5380" w:type="dxa"/>
            <w:vAlign w:val="bottom"/>
          </w:tcPr>
          <w:p>
            <w:pPr>
              <w:ind w:left="220"/>
              <w:spacing w:after="0"/>
              <w:rPr>
                <w:sz w:val="20"/>
                <w:szCs w:val="20"/>
                <w:color w:val="auto"/>
              </w:rPr>
            </w:pPr>
            <w:r>
              <w:rPr>
                <w:rFonts w:ascii="Arial" w:cs="Arial" w:eastAsia="Arial" w:hAnsi="Arial"/>
                <w:sz w:val="11"/>
                <w:szCs w:val="11"/>
                <w:color w:val="auto"/>
              </w:rPr>
              <w:t>Organic</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3.4 %</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8.4 %</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7.0 %</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7.6 %</w:t>
            </w:r>
          </w:p>
        </w:tc>
      </w:tr>
      <w:tr>
        <w:trPr>
          <w:trHeight w:val="146"/>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Currency</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w:t>
            </w:r>
          </w:p>
        </w:tc>
      </w:tr>
      <w:tr>
        <w:trPr>
          <w:trHeight w:val="142"/>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Acquisition</w:t>
            </w: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 %</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8.7 %</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 %</w:t>
            </w: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8.8 %</w:t>
            </w:r>
          </w:p>
        </w:tc>
      </w:tr>
      <w:tr>
        <w:trPr>
          <w:trHeight w:val="155"/>
        </w:trPr>
        <w:tc>
          <w:tcPr>
            <w:tcW w:w="5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Total</w:t>
            </w: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9.0 %</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11.8 %</w:t>
            </w:r>
          </w:p>
        </w:tc>
      </w:tr>
      <w:tr>
        <w:trPr>
          <w:trHeight w:val="138"/>
        </w:trPr>
        <w:tc>
          <w:tcPr>
            <w:tcW w:w="5380" w:type="dxa"/>
            <w:vAlign w:val="bottom"/>
          </w:tcPr>
          <w:p>
            <w:pPr>
              <w:spacing w:after="0"/>
              <w:rPr>
                <w:sz w:val="20"/>
                <w:szCs w:val="20"/>
                <w:color w:val="auto"/>
              </w:rPr>
            </w:pPr>
            <w:r>
              <w:rPr>
                <w:rFonts w:ascii="Arial" w:cs="Arial" w:eastAsia="Arial" w:hAnsi="Arial"/>
                <w:sz w:val="11"/>
                <w:szCs w:val="11"/>
                <w:b w:val="1"/>
                <w:bCs w:val="1"/>
                <w:i w:val="1"/>
                <w:iCs w:val="1"/>
                <w:color w:val="auto"/>
              </w:rPr>
              <w:t>Total Company</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6"/>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Organic</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1.9 %</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9.0 %</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5.0 %</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9.6 %</w:t>
            </w:r>
          </w:p>
        </w:tc>
      </w:tr>
      <w:tr>
        <w:trPr>
          <w:trHeight w:val="142"/>
        </w:trPr>
        <w:tc>
          <w:tcPr>
            <w:tcW w:w="5380" w:type="dxa"/>
            <w:vAlign w:val="bottom"/>
          </w:tcPr>
          <w:p>
            <w:pPr>
              <w:ind w:left="220"/>
              <w:spacing w:after="0"/>
              <w:rPr>
                <w:sz w:val="20"/>
                <w:szCs w:val="20"/>
                <w:color w:val="auto"/>
              </w:rPr>
            </w:pPr>
            <w:r>
              <w:rPr>
                <w:rFonts w:ascii="Arial" w:cs="Arial" w:eastAsia="Arial" w:hAnsi="Arial"/>
                <w:sz w:val="11"/>
                <w:szCs w:val="11"/>
                <w:color w:val="auto"/>
              </w:rPr>
              <w:t>Currency</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(4.1)%</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(1.5)%</w:t>
            </w:r>
          </w:p>
        </w:tc>
      </w:tr>
      <w:tr>
        <w:trPr>
          <w:trHeight w:val="146"/>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Divestiture</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r>
      <w:tr>
        <w:trPr>
          <w:trHeight w:val="142"/>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Acquisition</w:t>
            </w: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 %</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8.6 %</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 %</w:t>
            </w: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8.5 %</w:t>
            </w:r>
          </w:p>
        </w:tc>
      </w:tr>
      <w:tr>
        <w:trPr>
          <w:trHeight w:val="151"/>
        </w:trPr>
        <w:tc>
          <w:tcPr>
            <w:tcW w:w="5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Total</w:t>
            </w: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14.6 %</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0.8 %</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16.6 %</w:t>
            </w:r>
          </w:p>
        </w:tc>
      </w:tr>
      <w:tr>
        <w:trPr>
          <w:trHeight w:val="144"/>
        </w:trPr>
        <w:tc>
          <w:tcPr>
            <w:tcW w:w="5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4"/>
        </w:trPr>
        <w:tc>
          <w:tcPr>
            <w:tcW w:w="53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SEGMENT PROFIT</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2"/>
        </w:trPr>
        <w:tc>
          <w:tcPr>
            <w:tcW w:w="5380" w:type="dxa"/>
            <w:vAlign w:val="bottom"/>
          </w:tcPr>
          <w:p>
            <w:pPr>
              <w:ind w:left="220"/>
              <w:spacing w:after="0"/>
              <w:rPr>
                <w:sz w:val="20"/>
                <w:szCs w:val="20"/>
                <w:color w:val="auto"/>
              </w:rPr>
            </w:pPr>
            <w:r>
              <w:rPr>
                <w:rFonts w:ascii="Arial" w:cs="Arial" w:eastAsia="Arial" w:hAnsi="Arial"/>
                <w:sz w:val="11"/>
                <w:szCs w:val="11"/>
                <w:color w:val="auto"/>
              </w:rPr>
              <w:t>Americas &amp; Asia</w:t>
            </w:r>
          </w:p>
        </w:tc>
        <w:tc>
          <w:tcPr>
            <w:tcW w:w="900" w:type="dxa"/>
            <w:vAlign w:val="bottom"/>
          </w:tcPr>
          <w:p>
            <w:pPr>
              <w:jc w:val="right"/>
              <w:ind w:right="79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49,192</w:t>
            </w:r>
          </w:p>
        </w:tc>
        <w:tc>
          <w:tcPr>
            <w:tcW w:w="1000" w:type="dxa"/>
            <w:vAlign w:val="bottom"/>
            <w:gridSpan w:val="2"/>
          </w:tcPr>
          <w:p>
            <w:pPr>
              <w:jc w:val="right"/>
              <w:ind w:right="789"/>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45,021</w:t>
            </w:r>
          </w:p>
        </w:tc>
        <w:tc>
          <w:tcPr>
            <w:tcW w:w="440" w:type="dxa"/>
            <w:vAlign w:val="bottom"/>
            <w:gridSpan w:val="2"/>
          </w:tcPr>
          <w:p>
            <w:pPr>
              <w:jc w:val="right"/>
              <w:ind w:right="231"/>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86"/>
              <w:spacing w:after="0"/>
              <w:rPr>
                <w:sz w:val="20"/>
                <w:szCs w:val="20"/>
                <w:color w:val="auto"/>
              </w:rPr>
            </w:pPr>
            <w:r>
              <w:rPr>
                <w:rFonts w:ascii="Arial" w:cs="Arial" w:eastAsia="Arial" w:hAnsi="Arial"/>
                <w:sz w:val="11"/>
                <w:szCs w:val="11"/>
                <w:color w:val="auto"/>
              </w:rPr>
              <w:t>130,511</w:t>
            </w:r>
          </w:p>
        </w:tc>
        <w:tc>
          <w:tcPr>
            <w:tcW w:w="680" w:type="dxa"/>
            <w:vAlign w:val="bottom"/>
            <w:gridSpan w:val="2"/>
          </w:tcPr>
          <w:p>
            <w:pPr>
              <w:jc w:val="right"/>
              <w:ind w:right="491"/>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114,659</w:t>
            </w:r>
          </w:p>
        </w:tc>
      </w:tr>
      <w:tr>
        <w:trPr>
          <w:trHeight w:val="146"/>
        </w:trPr>
        <w:tc>
          <w:tcPr>
            <w:tcW w:w="5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Europe &amp; Australia</w:t>
            </w: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17,099</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16,050</w:t>
            </w: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47,316</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46,165</w:t>
            </w:r>
          </w:p>
        </w:tc>
      </w:tr>
      <w:tr>
        <w:trPr>
          <w:trHeight w:val="149"/>
        </w:trPr>
        <w:tc>
          <w:tcPr>
            <w:tcW w:w="5380" w:type="dxa"/>
            <w:vAlign w:val="bottom"/>
          </w:tcPr>
          <w:p>
            <w:pPr>
              <w:ind w:left="220"/>
              <w:spacing w:after="0"/>
              <w:rPr>
                <w:sz w:val="20"/>
                <w:szCs w:val="20"/>
                <w:color w:val="auto"/>
              </w:rPr>
            </w:pPr>
            <w:r>
              <w:rPr>
                <w:rFonts w:ascii="Arial" w:cs="Arial" w:eastAsia="Arial" w:hAnsi="Arial"/>
                <w:sz w:val="11"/>
                <w:szCs w:val="11"/>
                <w:color w:val="auto"/>
              </w:rPr>
              <w:t>Total</w:t>
            </w:r>
          </w:p>
        </w:tc>
        <w:tc>
          <w:tcPr>
            <w:tcW w:w="900" w:type="dxa"/>
            <w:vAlign w:val="bottom"/>
          </w:tcPr>
          <w:p>
            <w:pPr>
              <w:jc w:val="right"/>
              <w:ind w:right="79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66,291</w:t>
            </w:r>
          </w:p>
        </w:tc>
        <w:tc>
          <w:tcPr>
            <w:tcW w:w="1000" w:type="dxa"/>
            <w:vAlign w:val="bottom"/>
            <w:gridSpan w:val="2"/>
          </w:tcPr>
          <w:p>
            <w:pPr>
              <w:jc w:val="right"/>
              <w:ind w:right="789"/>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61,071</w:t>
            </w:r>
          </w:p>
        </w:tc>
        <w:tc>
          <w:tcPr>
            <w:tcW w:w="440" w:type="dxa"/>
            <w:vAlign w:val="bottom"/>
            <w:gridSpan w:val="2"/>
          </w:tcPr>
          <w:p>
            <w:pPr>
              <w:jc w:val="right"/>
              <w:ind w:right="231"/>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86"/>
              <w:spacing w:after="0"/>
              <w:rPr>
                <w:sz w:val="20"/>
                <w:szCs w:val="20"/>
                <w:color w:val="auto"/>
              </w:rPr>
            </w:pPr>
            <w:r>
              <w:rPr>
                <w:rFonts w:ascii="Arial" w:cs="Arial" w:eastAsia="Arial" w:hAnsi="Arial"/>
                <w:sz w:val="11"/>
                <w:szCs w:val="11"/>
                <w:color w:val="auto"/>
              </w:rPr>
              <w:t>177,827</w:t>
            </w:r>
          </w:p>
        </w:tc>
        <w:tc>
          <w:tcPr>
            <w:tcW w:w="680" w:type="dxa"/>
            <w:vAlign w:val="bottom"/>
            <w:gridSpan w:val="2"/>
          </w:tcPr>
          <w:p>
            <w:pPr>
              <w:jc w:val="right"/>
              <w:ind w:right="491"/>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160,824</w:t>
            </w:r>
          </w:p>
        </w:tc>
      </w:tr>
      <w:tr>
        <w:trPr>
          <w:trHeight w:val="144"/>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SEGMENT PROFIT AS A PERCENT OF NET SALES</w:t>
            </w:r>
          </w:p>
        </w:tc>
        <w:tc>
          <w:tcPr>
            <w:tcW w:w="9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r>
      <w:tr>
        <w:trPr>
          <w:trHeight w:val="142"/>
        </w:trPr>
        <w:tc>
          <w:tcPr>
            <w:tcW w:w="5380" w:type="dxa"/>
            <w:vAlign w:val="bottom"/>
          </w:tcPr>
          <w:p>
            <w:pPr>
              <w:ind w:left="220"/>
              <w:spacing w:after="0"/>
              <w:rPr>
                <w:sz w:val="20"/>
                <w:szCs w:val="20"/>
                <w:color w:val="auto"/>
              </w:rPr>
            </w:pPr>
            <w:r>
              <w:rPr>
                <w:rFonts w:ascii="Arial" w:cs="Arial" w:eastAsia="Arial" w:hAnsi="Arial"/>
                <w:sz w:val="11"/>
                <w:szCs w:val="11"/>
                <w:color w:val="auto"/>
              </w:rPr>
              <w:t>Americas &amp; Asia</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22.1 %</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20.2 %</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19.7 %</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17.8 %</w:t>
            </w:r>
          </w:p>
        </w:tc>
      </w:tr>
      <w:tr>
        <w:trPr>
          <w:trHeight w:val="146"/>
        </w:trPr>
        <w:tc>
          <w:tcPr>
            <w:tcW w:w="5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Europe &amp; Australia</w:t>
            </w: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15.0 %</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13.8 %</w:t>
            </w: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14.6 %</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13.8 %</w:t>
            </w:r>
          </w:p>
        </w:tc>
      </w:tr>
      <w:tr>
        <w:trPr>
          <w:trHeight w:val="133"/>
        </w:trPr>
        <w:tc>
          <w:tcPr>
            <w:tcW w:w="5380" w:type="dxa"/>
            <w:vAlign w:val="bottom"/>
          </w:tcPr>
          <w:p>
            <w:pPr>
              <w:ind w:left="220"/>
              <w:spacing w:after="0"/>
              <w:rPr>
                <w:sz w:val="20"/>
                <w:szCs w:val="20"/>
                <w:color w:val="auto"/>
              </w:rPr>
            </w:pPr>
            <w:r>
              <w:rPr>
                <w:rFonts w:ascii="Arial" w:cs="Arial" w:eastAsia="Arial" w:hAnsi="Arial"/>
                <w:sz w:val="11"/>
                <w:szCs w:val="11"/>
                <w:color w:val="auto"/>
              </w:rPr>
              <w:t>Total</w:t>
            </w:r>
          </w:p>
        </w:tc>
        <w:tc>
          <w:tcPr>
            <w:tcW w:w="9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19.7 %</w:t>
            </w:r>
          </w:p>
        </w:tc>
        <w:tc>
          <w:tcPr>
            <w:tcW w:w="1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18.0 %</w:t>
            </w: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18.0 %</w:t>
            </w:r>
          </w:p>
        </w:tc>
        <w:tc>
          <w:tcPr>
            <w:tcW w:w="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16.4 %</w:t>
            </w:r>
          </w:p>
        </w:tc>
      </w:tr>
      <w:tr>
        <w:trPr>
          <w:trHeight w:val="20"/>
        </w:trPr>
        <w:tc>
          <w:tcPr>
            <w:tcW w:w="538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60"/>
        </w:trPr>
        <w:tc>
          <w:tcPr>
            <w:tcW w:w="5380" w:type="dxa"/>
            <w:vAlign w:val="bottom"/>
          </w:tcPr>
          <w:p>
            <w:pPr>
              <w:spacing w:after="0"/>
              <w:rPr>
                <w:sz w:val="24"/>
                <w:szCs w:val="24"/>
                <w:color w:val="auto"/>
              </w:rPr>
            </w:pPr>
          </w:p>
        </w:tc>
        <w:tc>
          <w:tcPr>
            <w:tcW w:w="240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1"/>
                <w:szCs w:val="11"/>
                <w:color w:val="auto"/>
              </w:rPr>
              <w:t>Three months ended April 30,</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Nine months ended April 30,</w:t>
            </w:r>
          </w:p>
        </w:tc>
        <w:tc>
          <w:tcPr>
            <w:tcW w:w="820" w:type="dxa"/>
            <w:vAlign w:val="bottom"/>
            <w:tcBorders>
              <w:bottom w:val="single" w:sz="8" w:color="auto"/>
            </w:tcBorders>
          </w:tcPr>
          <w:p>
            <w:pPr>
              <w:spacing w:after="0"/>
              <w:rPr>
                <w:sz w:val="24"/>
                <w:szCs w:val="24"/>
                <w:color w:val="auto"/>
              </w:rPr>
            </w:pPr>
          </w:p>
        </w:tc>
      </w:tr>
      <w:tr>
        <w:trPr>
          <w:trHeight w:val="142"/>
        </w:trPr>
        <w:tc>
          <w:tcPr>
            <w:tcW w:w="5380" w:type="dxa"/>
            <w:vAlign w:val="bottom"/>
          </w:tcPr>
          <w:p>
            <w:pPr>
              <w:spacing w:after="0"/>
              <w:rPr>
                <w:sz w:val="12"/>
                <w:szCs w:val="1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1"/>
                <w:szCs w:val="11"/>
                <w:color w:val="auto"/>
              </w:rPr>
              <w:t>2023</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1"/>
                <w:szCs w:val="11"/>
                <w:color w:val="auto"/>
              </w:rPr>
              <w:t>2022</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color w:val="auto"/>
              </w:rPr>
              <w:t>2023</w:t>
            </w:r>
          </w:p>
        </w:tc>
        <w:tc>
          <w:tcPr>
            <w:tcW w:w="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color w:val="auto"/>
                <w:w w:val="81"/>
              </w:rPr>
              <w:t>2022</w:t>
            </w:r>
          </w:p>
        </w:tc>
      </w:tr>
      <w:tr>
        <w:trPr>
          <w:trHeight w:val="135"/>
        </w:trPr>
        <w:tc>
          <w:tcPr>
            <w:tcW w:w="5380" w:type="dxa"/>
            <w:vAlign w:val="bottom"/>
            <w:shd w:val="clear" w:color="auto" w:fill="CCEEFF"/>
          </w:tcPr>
          <w:p>
            <w:pPr>
              <w:spacing w:after="0"/>
              <w:rPr>
                <w:sz w:val="20"/>
                <w:szCs w:val="20"/>
                <w:color w:val="auto"/>
              </w:rPr>
            </w:pPr>
            <w:r>
              <w:rPr>
                <w:rFonts w:ascii="Arial" w:cs="Arial" w:eastAsia="Arial" w:hAnsi="Arial"/>
                <w:sz w:val="11"/>
                <w:szCs w:val="11"/>
                <w:color w:val="auto"/>
              </w:rPr>
              <w:t>Total segment profit</w:t>
            </w: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66,291</w:t>
            </w:r>
          </w:p>
        </w:tc>
        <w:tc>
          <w:tcPr>
            <w:tcW w:w="1000" w:type="dxa"/>
            <w:vAlign w:val="bottom"/>
            <w:gridSpan w:val="2"/>
            <w:shd w:val="clear" w:color="auto" w:fill="CCEEFF"/>
          </w:tcPr>
          <w:p>
            <w:pPr>
              <w:jc w:val="right"/>
              <w:ind w:right="789"/>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61,071</w:t>
            </w:r>
          </w:p>
        </w:tc>
        <w:tc>
          <w:tcPr>
            <w:tcW w:w="440" w:type="dxa"/>
            <w:vAlign w:val="bottom"/>
            <w:gridSpan w:val="2"/>
            <w:shd w:val="clear" w:color="auto" w:fill="CCEEFF"/>
          </w:tcPr>
          <w:p>
            <w:pPr>
              <w:jc w:val="right"/>
              <w:ind w:right="231"/>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177,827</w:t>
            </w:r>
          </w:p>
        </w:tc>
        <w:tc>
          <w:tcPr>
            <w:tcW w:w="680" w:type="dxa"/>
            <w:vAlign w:val="bottom"/>
            <w:gridSpan w:val="2"/>
            <w:shd w:val="clear" w:color="auto" w:fill="CCEEFF"/>
          </w:tcPr>
          <w:p>
            <w:pPr>
              <w:jc w:val="right"/>
              <w:ind w:right="491"/>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160,824</w:t>
            </w:r>
          </w:p>
        </w:tc>
      </w:tr>
      <w:tr>
        <w:trPr>
          <w:trHeight w:val="142"/>
        </w:trPr>
        <w:tc>
          <w:tcPr>
            <w:tcW w:w="5380" w:type="dxa"/>
            <w:vAlign w:val="bottom"/>
          </w:tcPr>
          <w:p>
            <w:pPr>
              <w:spacing w:after="0"/>
              <w:rPr>
                <w:sz w:val="20"/>
                <w:szCs w:val="20"/>
                <w:color w:val="auto"/>
              </w:rPr>
            </w:pPr>
            <w:r>
              <w:rPr>
                <w:rFonts w:ascii="Arial" w:cs="Arial" w:eastAsia="Arial" w:hAnsi="Arial"/>
                <w:sz w:val="11"/>
                <w:szCs w:val="11"/>
                <w:color w:val="auto"/>
              </w:rPr>
              <w:t>Unallocated amounts:</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6"/>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Administrative costs</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(7,060)</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(8,182)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(18,429)</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(20,728)</w:t>
            </w:r>
          </w:p>
        </w:tc>
      </w:tr>
      <w:tr>
        <w:trPr>
          <w:trHeight w:val="142"/>
        </w:trPr>
        <w:tc>
          <w:tcPr>
            <w:tcW w:w="5380" w:type="dxa"/>
            <w:vAlign w:val="bottom"/>
          </w:tcPr>
          <w:p>
            <w:pPr>
              <w:ind w:left="220"/>
              <w:spacing w:after="0"/>
              <w:rPr>
                <w:sz w:val="20"/>
                <w:szCs w:val="20"/>
                <w:color w:val="auto"/>
              </w:rPr>
            </w:pPr>
            <w:r>
              <w:rPr>
                <w:rFonts w:ascii="Arial" w:cs="Arial" w:eastAsia="Arial" w:hAnsi="Arial"/>
                <w:sz w:val="11"/>
                <w:szCs w:val="11"/>
                <w:color w:val="auto"/>
              </w:rPr>
              <w:t>Gain on sale of business</w:t>
            </w:r>
          </w:p>
        </w:tc>
        <w:tc>
          <w:tcPr>
            <w:tcW w:w="90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3,770</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86"/>
              <w:spacing w:after="0"/>
              <w:rPr>
                <w:sz w:val="20"/>
                <w:szCs w:val="20"/>
                <w:color w:val="auto"/>
              </w:rPr>
            </w:pPr>
            <w:r>
              <w:rPr>
                <w:rFonts w:ascii="Arial" w:cs="Arial" w:eastAsia="Arial" w:hAnsi="Arial"/>
                <w:sz w:val="11"/>
                <w:szCs w:val="11"/>
                <w:color w:val="auto"/>
              </w:rPr>
              <w:t>3,770</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w:t>
            </w:r>
          </w:p>
        </w:tc>
      </w:tr>
      <w:tr>
        <w:trPr>
          <w:trHeight w:val="146"/>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Investment and other income (expense)</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785</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(1,308)</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1,596</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(1,343)</w:t>
            </w:r>
          </w:p>
        </w:tc>
      </w:tr>
      <w:tr>
        <w:trPr>
          <w:trHeight w:val="144"/>
        </w:trPr>
        <w:tc>
          <w:tcPr>
            <w:tcW w:w="5380" w:type="dxa"/>
            <w:vAlign w:val="bottom"/>
          </w:tcPr>
          <w:p>
            <w:pPr>
              <w:ind w:left="220"/>
              <w:spacing w:after="0"/>
              <w:rPr>
                <w:sz w:val="20"/>
                <w:szCs w:val="20"/>
                <w:color w:val="auto"/>
              </w:rPr>
            </w:pPr>
            <w:r>
              <w:rPr>
                <w:rFonts w:ascii="Arial" w:cs="Arial" w:eastAsia="Arial" w:hAnsi="Arial"/>
                <w:sz w:val="11"/>
                <w:szCs w:val="11"/>
                <w:color w:val="auto"/>
              </w:rPr>
              <w:t>Interest expense</w:t>
            </w: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(753)</w:t>
            </w:r>
          </w:p>
        </w:tc>
        <w:tc>
          <w:tcPr>
            <w:tcW w:w="1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(329)</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(2,886)</w:t>
            </w:r>
          </w:p>
        </w:tc>
        <w:tc>
          <w:tcPr>
            <w:tcW w:w="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(763)</w:t>
            </w:r>
          </w:p>
        </w:tc>
      </w:tr>
      <w:tr>
        <w:trPr>
          <w:trHeight w:val="149"/>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Income before income taxes</w:t>
            </w:r>
          </w:p>
        </w:tc>
        <w:tc>
          <w:tcPr>
            <w:tcW w:w="9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63,033</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789"/>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51,252</w:t>
            </w: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161,878</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137,990</w:t>
            </w:r>
          </w:p>
        </w:tc>
      </w:tr>
    </w:tbl>
    <w:p>
      <w:pPr>
        <w:sectPr>
          <w:pgSz w:w="11900" w:h="16838" w:orient="portrait"/>
          <w:cols w:equalWidth="0" w:num="1">
            <w:col w:w="11300"/>
          </w:cols>
          <w:pgMar w:left="300" w:top="562" w:right="29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color w:val="auto"/>
        </w:rPr>
        <w:t>GAAP to NON-GAAP MEASURES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(Unaudited; Dollars in Thousands, Except Per Share Amounts)</w:t>
      </w:r>
    </w:p>
    <w:p>
      <w:pPr>
        <w:spacing w:after="0" w:line="10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Before Income Taxes Excluding Certain Items:</w:t>
      </w:r>
    </w:p>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Brady is presenting the non-GAAP measure, "Income Before Income Taxes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profit measure provides an important perspective of underlying business trends and results and provides a more comparable measure from year to year. The table below provides a reconciliation of the GAAP measure of Income before income taxes to the non-GAAP measure of Income Before Income Taxes Excluding Certain Items: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6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1"/>
                <w:szCs w:val="11"/>
                <w:color w:val="auto"/>
              </w:rPr>
              <w:t>Three months ended April 30,</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246"/>
              <w:spacing w:after="0"/>
              <w:rPr>
                <w:sz w:val="20"/>
                <w:szCs w:val="20"/>
                <w:color w:val="auto"/>
              </w:rPr>
            </w:pPr>
            <w:r>
              <w:rPr>
                <w:rFonts w:ascii="Arial" w:cs="Arial" w:eastAsia="Arial" w:hAnsi="Arial"/>
                <w:sz w:val="11"/>
                <w:szCs w:val="11"/>
                <w:color w:val="auto"/>
              </w:rPr>
              <w:t>Nine months ended April 30,</w:t>
            </w:r>
          </w:p>
        </w:tc>
        <w:tc>
          <w:tcPr>
            <w:tcW w:w="480" w:type="dxa"/>
            <w:vAlign w:val="bottom"/>
            <w:tcBorders>
              <w:bottom w:val="single" w:sz="8" w:color="auto"/>
            </w:tcBorders>
          </w:tcPr>
          <w:p>
            <w:pPr>
              <w:spacing w:after="0"/>
              <w:rPr>
                <w:sz w:val="12"/>
                <w:szCs w:val="12"/>
                <w:color w:val="auto"/>
              </w:rPr>
            </w:pPr>
          </w:p>
        </w:tc>
      </w:tr>
      <w:tr>
        <w:trPr>
          <w:trHeight w:val="133"/>
        </w:trPr>
        <w:tc>
          <w:tcPr>
            <w:tcW w:w="5560" w:type="dxa"/>
            <w:vAlign w:val="bottom"/>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2023</w:t>
            </w: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1"/>
                <w:szCs w:val="11"/>
                <w:color w:val="auto"/>
              </w:rPr>
              <w:t>2022</w:t>
            </w: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1"/>
                <w:szCs w:val="11"/>
                <w:color w:val="auto"/>
              </w:rPr>
              <w:t>2023</w:t>
            </w: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2022</w:t>
            </w:r>
          </w:p>
        </w:tc>
        <w:tc>
          <w:tcPr>
            <w:tcW w:w="480" w:type="dxa"/>
            <w:vAlign w:val="bottom"/>
            <w:tcBorders>
              <w:bottom w:val="single" w:sz="8" w:color="auto"/>
            </w:tcBorders>
          </w:tcPr>
          <w:p>
            <w:pPr>
              <w:spacing w:after="0"/>
              <w:rPr>
                <w:sz w:val="11"/>
                <w:szCs w:val="11"/>
                <w:color w:val="auto"/>
              </w:rPr>
            </w:pPr>
          </w:p>
        </w:tc>
      </w:tr>
      <w:tr>
        <w:trPr>
          <w:trHeight w:val="135"/>
        </w:trPr>
        <w:tc>
          <w:tcPr>
            <w:tcW w:w="55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Income before income taxes (GAAP measure)</w:t>
            </w:r>
          </w:p>
        </w:tc>
        <w:tc>
          <w:tcPr>
            <w:tcW w:w="920" w:type="dxa"/>
            <w:vAlign w:val="bottom"/>
            <w:shd w:val="clear" w:color="auto" w:fill="CCEEFF"/>
          </w:tcPr>
          <w:p>
            <w:pPr>
              <w:jc w:val="right"/>
              <w:ind w:right="786"/>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63,033</w:t>
            </w:r>
          </w:p>
        </w:tc>
        <w:tc>
          <w:tcPr>
            <w:tcW w:w="980" w:type="dxa"/>
            <w:vAlign w:val="bottom"/>
            <w:gridSpan w:val="2"/>
            <w:shd w:val="clear" w:color="auto" w:fill="CCEEFF"/>
          </w:tcPr>
          <w:p>
            <w:pPr>
              <w:jc w:val="right"/>
              <w:ind w:right="789"/>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51,252</w:t>
            </w:r>
          </w:p>
        </w:tc>
        <w:tc>
          <w:tcPr>
            <w:tcW w:w="980" w:type="dxa"/>
            <w:vAlign w:val="bottom"/>
            <w:gridSpan w:val="2"/>
            <w:shd w:val="clear" w:color="auto" w:fill="CCEEFF"/>
          </w:tcPr>
          <w:p>
            <w:pPr>
              <w:jc w:val="right"/>
              <w:ind w:right="768"/>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161,878</w:t>
            </w:r>
          </w:p>
        </w:tc>
        <w:tc>
          <w:tcPr>
            <w:tcW w:w="980" w:type="dxa"/>
            <w:vAlign w:val="bottom"/>
            <w:gridSpan w:val="2"/>
            <w:shd w:val="clear" w:color="auto" w:fill="CCEEFF"/>
          </w:tcPr>
          <w:p>
            <w:pPr>
              <w:jc w:val="right"/>
              <w:ind w:right="76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137,990</w:t>
            </w:r>
          </w:p>
        </w:tc>
      </w:tr>
      <w:tr>
        <w:trPr>
          <w:trHeight w:val="142"/>
        </w:trPr>
        <w:tc>
          <w:tcPr>
            <w:tcW w:w="5560" w:type="dxa"/>
            <w:vAlign w:val="bottom"/>
          </w:tcPr>
          <w:p>
            <w:pPr>
              <w:ind w:left="440"/>
              <w:spacing w:after="0"/>
              <w:rPr>
                <w:sz w:val="20"/>
                <w:szCs w:val="20"/>
                <w:color w:val="auto"/>
              </w:rPr>
            </w:pPr>
            <w:r>
              <w:rPr>
                <w:rFonts w:ascii="Arial" w:cs="Arial" w:eastAsia="Arial" w:hAnsi="Arial"/>
                <w:sz w:val="11"/>
                <w:szCs w:val="11"/>
                <w:color w:val="auto"/>
              </w:rPr>
              <w:t>Amortization expense</w:t>
            </w:r>
          </w:p>
        </w:tc>
        <w:tc>
          <w:tcPr>
            <w:tcW w:w="92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2,461</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3,735</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9,350</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11,291</w:t>
            </w:r>
          </w:p>
        </w:tc>
      </w:tr>
      <w:tr>
        <w:trPr>
          <w:trHeight w:val="146"/>
        </w:trPr>
        <w:tc>
          <w:tcPr>
            <w:tcW w:w="55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Gain on sale of business</w:t>
            </w:r>
          </w:p>
        </w:tc>
        <w:tc>
          <w:tcPr>
            <w:tcW w:w="9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(3,770)</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(3,770)</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5560" w:type="dxa"/>
            <w:vAlign w:val="bottom"/>
          </w:tcPr>
          <w:p>
            <w:pPr>
              <w:ind w:left="440"/>
              <w:spacing w:after="0"/>
              <w:rPr>
                <w:sz w:val="20"/>
                <w:szCs w:val="20"/>
                <w:color w:val="auto"/>
              </w:rPr>
            </w:pPr>
            <w:r>
              <w:rPr>
                <w:rFonts w:ascii="Arial" w:cs="Arial" w:eastAsia="Arial" w:hAnsi="Arial"/>
                <w:sz w:val="11"/>
                <w:szCs w:val="11"/>
                <w:color w:val="auto"/>
              </w:rPr>
              <w:t>Other non-routine charges</w:t>
            </w:r>
          </w:p>
        </w:tc>
        <w:tc>
          <w:tcPr>
            <w:tcW w:w="9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1,841</w:t>
            </w:r>
          </w:p>
        </w:tc>
        <w:tc>
          <w:tcPr>
            <w:tcW w:w="10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1,841</w:t>
            </w:r>
          </w:p>
        </w:tc>
      </w:tr>
      <w:tr>
        <w:trPr>
          <w:trHeight w:val="151"/>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Income Before Income Taxes Excluding Certain Items (non-GAAP measure)</w:t>
            </w:r>
          </w:p>
        </w:tc>
        <w:tc>
          <w:tcPr>
            <w:tcW w:w="920" w:type="dxa"/>
            <w:vAlign w:val="bottom"/>
            <w:tcBorders>
              <w:bottom w:val="single" w:sz="8" w:color="auto"/>
            </w:tcBorders>
            <w:shd w:val="clear" w:color="auto" w:fill="CCEEFF"/>
          </w:tcPr>
          <w:p>
            <w:pPr>
              <w:jc w:val="right"/>
              <w:ind w:right="786"/>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61,724</w:t>
            </w: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89"/>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56,828</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167,458</w:t>
            </w: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66"/>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151,122</w:t>
            </w: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 Expense Excluding Certain Items:</w:t>
      </w:r>
    </w:p>
    <w:p>
      <w:pPr>
        <w:spacing w:after="0" w:line="19"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Brady is presenting the non-GAAP measure, "Income Tax Expense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Income tax expense to the non-GAAP measure of Income Tax Expense Excluding Certain Items: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6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1"/>
                <w:szCs w:val="11"/>
                <w:color w:val="auto"/>
              </w:rPr>
              <w:t>Three months ended April 30,</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26"/>
              <w:spacing w:after="0"/>
              <w:rPr>
                <w:sz w:val="20"/>
                <w:szCs w:val="20"/>
                <w:color w:val="auto"/>
              </w:rPr>
            </w:pPr>
            <w:r>
              <w:rPr>
                <w:rFonts w:ascii="Arial" w:cs="Arial" w:eastAsia="Arial" w:hAnsi="Arial"/>
                <w:sz w:val="11"/>
                <w:szCs w:val="11"/>
                <w:color w:val="auto"/>
              </w:rPr>
              <w:t>Nine months ended April 30,</w:t>
            </w:r>
          </w:p>
        </w:tc>
      </w:tr>
      <w:tr>
        <w:trPr>
          <w:trHeight w:val="133"/>
        </w:trPr>
        <w:tc>
          <w:tcPr>
            <w:tcW w:w="556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2023</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1"/>
                <w:szCs w:val="11"/>
                <w:color w:val="auto"/>
              </w:rPr>
              <w:t>2022</w:t>
            </w: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color w:val="auto"/>
              </w:rPr>
              <w:t>2022</w:t>
            </w:r>
          </w:p>
        </w:tc>
      </w:tr>
      <w:tr>
        <w:trPr>
          <w:trHeight w:val="135"/>
        </w:trPr>
        <w:tc>
          <w:tcPr>
            <w:tcW w:w="556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Income tax expense (GAAP measure)</w:t>
            </w:r>
          </w:p>
        </w:tc>
        <w:tc>
          <w:tcPr>
            <w:tcW w:w="920" w:type="dxa"/>
            <w:vAlign w:val="bottom"/>
            <w:shd w:val="clear" w:color="auto" w:fill="CCEEFF"/>
          </w:tcPr>
          <w:p>
            <w:pPr>
              <w:jc w:val="right"/>
              <w:ind w:right="786"/>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14,981</w:t>
            </w:r>
          </w:p>
        </w:tc>
        <w:tc>
          <w:tcPr>
            <w:tcW w:w="980" w:type="dxa"/>
            <w:vAlign w:val="bottom"/>
            <w:gridSpan w:val="2"/>
            <w:shd w:val="clear" w:color="auto" w:fill="CCEEFF"/>
          </w:tcPr>
          <w:p>
            <w:pPr>
              <w:jc w:val="right"/>
              <w:ind w:right="789"/>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11,198</w:t>
            </w:r>
          </w:p>
        </w:tc>
        <w:tc>
          <w:tcPr>
            <w:tcW w:w="420" w:type="dxa"/>
            <w:vAlign w:val="bottom"/>
            <w:gridSpan w:val="2"/>
            <w:shd w:val="clear" w:color="auto" w:fill="CCEEFF"/>
          </w:tcPr>
          <w:p>
            <w:pPr>
              <w:jc w:val="right"/>
              <w:ind w:right="211"/>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36,399</w:t>
            </w:r>
          </w:p>
        </w:tc>
        <w:tc>
          <w:tcPr>
            <w:tcW w:w="420" w:type="dxa"/>
            <w:vAlign w:val="bottom"/>
            <w:gridSpan w:val="2"/>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29,075</w:t>
            </w:r>
          </w:p>
        </w:tc>
      </w:tr>
      <w:tr>
        <w:trPr>
          <w:trHeight w:val="142"/>
        </w:trPr>
        <w:tc>
          <w:tcPr>
            <w:tcW w:w="5560" w:type="dxa"/>
            <w:vAlign w:val="bottom"/>
          </w:tcPr>
          <w:p>
            <w:pPr>
              <w:ind w:left="440"/>
              <w:spacing w:after="0"/>
              <w:rPr>
                <w:sz w:val="20"/>
                <w:szCs w:val="20"/>
                <w:color w:val="auto"/>
              </w:rPr>
            </w:pPr>
            <w:r>
              <w:rPr>
                <w:rFonts w:ascii="Arial" w:cs="Arial" w:eastAsia="Arial" w:hAnsi="Arial"/>
                <w:sz w:val="11"/>
                <w:szCs w:val="11"/>
                <w:color w:val="auto"/>
              </w:rPr>
              <w:t>Amortization expense</w:t>
            </w:r>
          </w:p>
        </w:tc>
        <w:tc>
          <w:tcPr>
            <w:tcW w:w="92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569</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885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2,203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2,672</w:t>
            </w:r>
          </w:p>
        </w:tc>
      </w:tr>
      <w:tr>
        <w:trPr>
          <w:trHeight w:val="146"/>
        </w:trPr>
        <w:tc>
          <w:tcPr>
            <w:tcW w:w="55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Gain on sale of business</w:t>
            </w:r>
          </w:p>
        </w:tc>
        <w:tc>
          <w:tcPr>
            <w:tcW w:w="9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(1,431)</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5560" w:type="dxa"/>
            <w:vAlign w:val="bottom"/>
            <w:tcBorders>
              <w:bottom w:val="single" w:sz="8" w:color="CCEEFF"/>
            </w:tcBorders>
          </w:tcPr>
          <w:p>
            <w:pPr>
              <w:ind w:left="440"/>
              <w:spacing w:after="0"/>
              <w:rPr>
                <w:sz w:val="20"/>
                <w:szCs w:val="20"/>
                <w:color w:val="auto"/>
              </w:rPr>
            </w:pPr>
            <w:r>
              <w:rPr>
                <w:rFonts w:ascii="Arial" w:cs="Arial" w:eastAsia="Arial" w:hAnsi="Arial"/>
                <w:sz w:val="11"/>
                <w:szCs w:val="11"/>
                <w:color w:val="auto"/>
              </w:rPr>
              <w:t>Other non-routine charges</w:t>
            </w:r>
          </w:p>
        </w:tc>
        <w:tc>
          <w:tcPr>
            <w:tcW w:w="9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496</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496</w:t>
            </w:r>
          </w:p>
        </w:tc>
      </w:tr>
      <w:tr>
        <w:trPr>
          <w:trHeight w:val="151"/>
        </w:trPr>
        <w:tc>
          <w:tcPr>
            <w:tcW w:w="5560" w:type="dxa"/>
            <w:vAlign w:val="bottom"/>
            <w:tcBorders>
              <w:bottom w:val="single" w:sz="8" w:color="CCEEFF"/>
            </w:tcBorders>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Income Tax Expense Excluding Certain Items (non-GAAP measure)</w:t>
            </w:r>
          </w:p>
        </w:tc>
        <w:tc>
          <w:tcPr>
            <w:tcW w:w="920" w:type="dxa"/>
            <w:vAlign w:val="bottom"/>
            <w:tcBorders>
              <w:bottom w:val="single" w:sz="8" w:color="auto"/>
            </w:tcBorders>
            <w:shd w:val="clear" w:color="auto" w:fill="CCEEFF"/>
          </w:tcPr>
          <w:p>
            <w:pPr>
              <w:jc w:val="right"/>
              <w:ind w:right="786"/>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14,119</w:t>
            </w: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89"/>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12,579</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37,171</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32,243</w:t>
            </w:r>
          </w:p>
        </w:tc>
      </w:tr>
    </w:tbl>
    <w:p>
      <w:pPr>
        <w:sectPr>
          <w:pgSz w:w="11900" w:h="16838" w:orient="portrait"/>
          <w:cols w:equalWidth="0" w:num="1">
            <w:col w:w="11300"/>
          </w:cols>
          <w:pgMar w:left="300" w:top="559" w:right="29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color w:val="auto"/>
        </w:rPr>
        <w:t>Net Income Excluding Certain Items:</w:t>
      </w:r>
    </w:p>
    <w:p>
      <w:pPr>
        <w:spacing w:after="0" w:line="19"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Brady is presenting the non-GAAP measure, "Net Income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to the non-GAAP measure of Net Income Excluding Certain Items: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6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1"/>
                <w:szCs w:val="11"/>
                <w:color w:val="auto"/>
              </w:rPr>
              <w:t>Three months ended April 30,</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26"/>
              <w:spacing w:after="0"/>
              <w:rPr>
                <w:sz w:val="20"/>
                <w:szCs w:val="20"/>
                <w:color w:val="auto"/>
              </w:rPr>
            </w:pPr>
            <w:r>
              <w:rPr>
                <w:rFonts w:ascii="Arial" w:cs="Arial" w:eastAsia="Arial" w:hAnsi="Arial"/>
                <w:sz w:val="11"/>
                <w:szCs w:val="11"/>
                <w:color w:val="auto"/>
              </w:rPr>
              <w:t>Nine months ended April 30,</w:t>
            </w:r>
          </w:p>
        </w:tc>
      </w:tr>
      <w:tr>
        <w:trPr>
          <w:trHeight w:val="133"/>
        </w:trPr>
        <w:tc>
          <w:tcPr>
            <w:tcW w:w="5560" w:type="dxa"/>
            <w:vAlign w:val="bottom"/>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2023</w:t>
            </w: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1"/>
                <w:szCs w:val="11"/>
                <w:color w:val="auto"/>
              </w:rPr>
              <w:t>2022</w:t>
            </w: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color w:val="auto"/>
              </w:rPr>
              <w:t>2023</w:t>
            </w: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color w:val="auto"/>
              </w:rPr>
              <w:t>2022</w:t>
            </w:r>
          </w:p>
        </w:tc>
      </w:tr>
      <w:tr>
        <w:trPr>
          <w:trHeight w:val="135"/>
        </w:trPr>
        <w:tc>
          <w:tcPr>
            <w:tcW w:w="55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Net income (GAAP measure)</w:t>
            </w:r>
          </w:p>
        </w:tc>
        <w:tc>
          <w:tcPr>
            <w:tcW w:w="920" w:type="dxa"/>
            <w:vAlign w:val="bottom"/>
            <w:shd w:val="clear" w:color="auto" w:fill="CCEEFF"/>
          </w:tcPr>
          <w:p>
            <w:pPr>
              <w:jc w:val="right"/>
              <w:ind w:right="786"/>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48,052</w:t>
            </w:r>
          </w:p>
        </w:tc>
        <w:tc>
          <w:tcPr>
            <w:tcW w:w="980" w:type="dxa"/>
            <w:vAlign w:val="bottom"/>
            <w:gridSpan w:val="2"/>
            <w:shd w:val="clear" w:color="auto" w:fill="CCEEFF"/>
          </w:tcPr>
          <w:p>
            <w:pPr>
              <w:jc w:val="right"/>
              <w:ind w:right="789"/>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40,054</w:t>
            </w:r>
          </w:p>
        </w:tc>
        <w:tc>
          <w:tcPr>
            <w:tcW w:w="420" w:type="dxa"/>
            <w:vAlign w:val="bottom"/>
            <w:gridSpan w:val="2"/>
            <w:shd w:val="clear" w:color="auto" w:fill="CCEEFF"/>
          </w:tcPr>
          <w:p>
            <w:pPr>
              <w:jc w:val="right"/>
              <w:ind w:right="211"/>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125,479</w:t>
            </w:r>
          </w:p>
        </w:tc>
        <w:tc>
          <w:tcPr>
            <w:tcW w:w="420" w:type="dxa"/>
            <w:vAlign w:val="bottom"/>
            <w:gridSpan w:val="2"/>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108,915</w:t>
            </w:r>
          </w:p>
        </w:tc>
      </w:tr>
      <w:tr>
        <w:trPr>
          <w:trHeight w:val="142"/>
        </w:trPr>
        <w:tc>
          <w:tcPr>
            <w:tcW w:w="5560" w:type="dxa"/>
            <w:vAlign w:val="bottom"/>
          </w:tcPr>
          <w:p>
            <w:pPr>
              <w:ind w:left="440"/>
              <w:spacing w:after="0"/>
              <w:rPr>
                <w:sz w:val="20"/>
                <w:szCs w:val="20"/>
                <w:color w:val="auto"/>
              </w:rPr>
            </w:pPr>
            <w:r>
              <w:rPr>
                <w:rFonts w:ascii="Arial" w:cs="Arial" w:eastAsia="Arial" w:hAnsi="Arial"/>
                <w:sz w:val="11"/>
                <w:szCs w:val="11"/>
                <w:color w:val="auto"/>
              </w:rPr>
              <w:t>Amortization expense</w:t>
            </w:r>
          </w:p>
        </w:tc>
        <w:tc>
          <w:tcPr>
            <w:tcW w:w="92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1,892</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2,850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7,147</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8,619</w:t>
            </w:r>
          </w:p>
        </w:tc>
      </w:tr>
      <w:tr>
        <w:trPr>
          <w:trHeight w:val="146"/>
        </w:trPr>
        <w:tc>
          <w:tcPr>
            <w:tcW w:w="55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Gain on sale of business</w:t>
            </w:r>
          </w:p>
        </w:tc>
        <w:tc>
          <w:tcPr>
            <w:tcW w:w="9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(2,339)</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(2,339)</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5560" w:type="dxa"/>
            <w:vAlign w:val="bottom"/>
          </w:tcPr>
          <w:p>
            <w:pPr>
              <w:ind w:left="440"/>
              <w:spacing w:after="0"/>
              <w:rPr>
                <w:sz w:val="20"/>
                <w:szCs w:val="20"/>
                <w:color w:val="auto"/>
              </w:rPr>
            </w:pPr>
            <w:r>
              <w:rPr>
                <w:rFonts w:ascii="Arial" w:cs="Arial" w:eastAsia="Arial" w:hAnsi="Arial"/>
                <w:sz w:val="11"/>
                <w:szCs w:val="11"/>
                <w:color w:val="auto"/>
              </w:rPr>
              <w:t>Other non-routine charges</w:t>
            </w:r>
          </w:p>
        </w:tc>
        <w:tc>
          <w:tcPr>
            <w:tcW w:w="9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1,345</w:t>
            </w: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1,345</w:t>
            </w:r>
          </w:p>
        </w:tc>
      </w:tr>
      <w:tr>
        <w:trPr>
          <w:trHeight w:val="151"/>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Net Income Excluding Certain Items (non-GAAP measure)</w:t>
            </w:r>
          </w:p>
        </w:tc>
        <w:tc>
          <w:tcPr>
            <w:tcW w:w="920" w:type="dxa"/>
            <w:vAlign w:val="bottom"/>
            <w:tcBorders>
              <w:bottom w:val="single" w:sz="8" w:color="auto"/>
            </w:tcBorders>
            <w:shd w:val="clear" w:color="auto" w:fill="CCEEFF"/>
          </w:tcPr>
          <w:p>
            <w:pPr>
              <w:jc w:val="right"/>
              <w:ind w:right="786"/>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47,605</w:t>
            </w: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89"/>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44,249</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130,287</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118,879</w:t>
            </w: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Diluted EPS Excluding Certain Items:</w:t>
      </w:r>
    </w:p>
    <w:p>
      <w:pPr>
        <w:spacing w:after="0" w:line="19"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Brady is presenting the non-GAAP measure, "Diluted EPS Excluding Certain Items." This is not a calculation based upon GAAP. The amounts included in this non-GAAP measure are derived from amounts included in the Consolidated Financial Statements.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per Class A Nonvoting Common Share to the non-GAAP measure of Diluted EPS Excluding Certain Items: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60" w:type="dxa"/>
            <w:vAlign w:val="bottom"/>
          </w:tcPr>
          <w:p>
            <w:pPr>
              <w:spacing w:after="0"/>
              <w:rPr>
                <w:sz w:val="12"/>
                <w:szCs w:val="12"/>
                <w:color w:val="auto"/>
              </w:rPr>
            </w:pPr>
          </w:p>
        </w:tc>
        <w:tc>
          <w:tcPr>
            <w:tcW w:w="2420" w:type="dxa"/>
            <w:vAlign w:val="bottom"/>
            <w:tcBorders>
              <w:bottom w:val="single" w:sz="8" w:color="auto"/>
            </w:tcBorders>
            <w:gridSpan w:val="4"/>
          </w:tcPr>
          <w:p>
            <w:pPr>
              <w:jc w:val="right"/>
              <w:ind w:right="309"/>
              <w:spacing w:after="0"/>
              <w:rPr>
                <w:sz w:val="20"/>
                <w:szCs w:val="20"/>
                <w:color w:val="auto"/>
              </w:rPr>
            </w:pPr>
            <w:r>
              <w:rPr>
                <w:rFonts w:ascii="Arial" w:cs="Arial" w:eastAsia="Arial" w:hAnsi="Arial"/>
                <w:sz w:val="11"/>
                <w:szCs w:val="11"/>
                <w:color w:val="auto"/>
              </w:rPr>
              <w:t>Three months ended April 30,</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26"/>
              <w:spacing w:after="0"/>
              <w:rPr>
                <w:sz w:val="20"/>
                <w:szCs w:val="20"/>
                <w:color w:val="auto"/>
              </w:rPr>
            </w:pPr>
            <w:r>
              <w:rPr>
                <w:rFonts w:ascii="Arial" w:cs="Arial" w:eastAsia="Arial" w:hAnsi="Arial"/>
                <w:sz w:val="11"/>
                <w:szCs w:val="11"/>
                <w:color w:val="auto"/>
              </w:rPr>
              <w:t>Nine months ended April 30,</w:t>
            </w:r>
          </w:p>
        </w:tc>
      </w:tr>
      <w:tr>
        <w:trPr>
          <w:trHeight w:val="133"/>
        </w:trPr>
        <w:tc>
          <w:tcPr>
            <w:tcW w:w="556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2023</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color w:val="auto"/>
              </w:rPr>
              <w:t>2023</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color w:val="auto"/>
              </w:rPr>
              <w:t>2022</w:t>
            </w:r>
          </w:p>
        </w:tc>
      </w:tr>
      <w:tr>
        <w:trPr>
          <w:trHeight w:val="135"/>
        </w:trPr>
        <w:tc>
          <w:tcPr>
            <w:tcW w:w="556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Net income per Class A Nonvoting Common Share (GAAP measure)</w:t>
            </w:r>
          </w:p>
        </w:tc>
        <w:tc>
          <w:tcPr>
            <w:tcW w:w="940" w:type="dxa"/>
            <w:vAlign w:val="bottom"/>
            <w:shd w:val="clear" w:color="auto" w:fill="CCEEFF"/>
          </w:tcPr>
          <w:p>
            <w:pPr>
              <w:jc w:val="right"/>
              <w:ind w:right="80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0.96</w:t>
            </w:r>
          </w:p>
        </w:tc>
        <w:tc>
          <w:tcPr>
            <w:tcW w:w="1040" w:type="dxa"/>
            <w:vAlign w:val="bottom"/>
            <w:gridSpan w:val="2"/>
            <w:shd w:val="clear" w:color="auto" w:fill="CCEEFF"/>
          </w:tcPr>
          <w:p>
            <w:pPr>
              <w:jc w:val="right"/>
              <w:ind w:right="849"/>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0.78</w:t>
            </w:r>
          </w:p>
        </w:tc>
        <w:tc>
          <w:tcPr>
            <w:tcW w:w="400" w:type="dxa"/>
            <w:vAlign w:val="bottom"/>
            <w:gridSpan w:val="2"/>
            <w:shd w:val="clear" w:color="auto" w:fill="CCEEFF"/>
          </w:tcPr>
          <w:p>
            <w:pPr>
              <w:jc w:val="right"/>
              <w:ind w:right="211"/>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2.51</w:t>
            </w:r>
          </w:p>
        </w:tc>
        <w:tc>
          <w:tcPr>
            <w:tcW w:w="420" w:type="dxa"/>
            <w:vAlign w:val="bottom"/>
            <w:gridSpan w:val="2"/>
            <w:shd w:val="clear" w:color="auto" w:fill="CCEEFF"/>
          </w:tcPr>
          <w:p>
            <w:pPr>
              <w:jc w:val="right"/>
              <w:ind w:right="211"/>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2.09</w:t>
            </w:r>
          </w:p>
        </w:tc>
      </w:tr>
      <w:tr>
        <w:trPr>
          <w:trHeight w:val="142"/>
        </w:trPr>
        <w:tc>
          <w:tcPr>
            <w:tcW w:w="5560" w:type="dxa"/>
            <w:vAlign w:val="bottom"/>
          </w:tcPr>
          <w:p>
            <w:pPr>
              <w:ind w:left="440"/>
              <w:spacing w:after="0"/>
              <w:rPr>
                <w:sz w:val="20"/>
                <w:szCs w:val="20"/>
                <w:color w:val="auto"/>
              </w:rPr>
            </w:pPr>
            <w:r>
              <w:rPr>
                <w:rFonts w:ascii="Arial" w:cs="Arial" w:eastAsia="Arial" w:hAnsi="Arial"/>
                <w:sz w:val="11"/>
                <w:szCs w:val="11"/>
                <w:color w:val="auto"/>
              </w:rPr>
              <w:t>Amortization expense</w:t>
            </w:r>
          </w:p>
        </w:tc>
        <w:tc>
          <w:tcPr>
            <w:tcW w:w="94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0.04</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0.06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0.14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0.17</w:t>
            </w:r>
          </w:p>
        </w:tc>
      </w:tr>
      <w:tr>
        <w:trPr>
          <w:trHeight w:val="146"/>
        </w:trPr>
        <w:tc>
          <w:tcPr>
            <w:tcW w:w="55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Gain on sale of business</w:t>
            </w:r>
          </w:p>
        </w:tc>
        <w:tc>
          <w:tcPr>
            <w:tcW w:w="9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(0.05)</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(0.05)</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5560" w:type="dxa"/>
            <w:vAlign w:val="bottom"/>
            <w:tcBorders>
              <w:bottom w:val="single" w:sz="8" w:color="CCEEFF"/>
            </w:tcBorders>
          </w:tcPr>
          <w:p>
            <w:pPr>
              <w:ind w:left="440"/>
              <w:spacing w:after="0"/>
              <w:rPr>
                <w:sz w:val="20"/>
                <w:szCs w:val="20"/>
                <w:color w:val="auto"/>
              </w:rPr>
            </w:pPr>
            <w:r>
              <w:rPr>
                <w:rFonts w:ascii="Arial" w:cs="Arial" w:eastAsia="Arial" w:hAnsi="Arial"/>
                <w:sz w:val="11"/>
                <w:szCs w:val="11"/>
                <w:color w:val="auto"/>
              </w:rPr>
              <w:t>Other non-routine charges</w:t>
            </w:r>
          </w:p>
        </w:tc>
        <w:tc>
          <w:tcPr>
            <w:tcW w:w="9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0.03</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0.03</w:t>
            </w:r>
          </w:p>
        </w:tc>
      </w:tr>
      <w:tr>
        <w:trPr>
          <w:trHeight w:val="151"/>
        </w:trPr>
        <w:tc>
          <w:tcPr>
            <w:tcW w:w="5560" w:type="dxa"/>
            <w:vAlign w:val="bottom"/>
            <w:tcBorders>
              <w:bottom w:val="single" w:sz="8" w:color="CCEEFF"/>
            </w:tcBorders>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Diluted EPS Excluding Certain Items (non-GAAP measure)</w:t>
            </w:r>
          </w:p>
        </w:tc>
        <w:tc>
          <w:tcPr>
            <w:tcW w:w="940" w:type="dxa"/>
            <w:vAlign w:val="bottom"/>
            <w:tcBorders>
              <w:bottom w:val="single" w:sz="8" w:color="auto"/>
            </w:tcBorders>
            <w:shd w:val="clear" w:color="auto" w:fill="CCEEFF"/>
          </w:tcPr>
          <w:p>
            <w:pPr>
              <w:jc w:val="right"/>
              <w:ind w:right="806"/>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0.95</w:t>
            </w:r>
          </w:p>
        </w:tc>
        <w:tc>
          <w:tcPr>
            <w:tcW w:w="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849"/>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0.86</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2.60</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2.28</w:t>
            </w: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Diluted EPS Excluding Certain Items Guidance: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color w:val="auto"/>
                <w:w w:val="91"/>
              </w:rPr>
              <w:t>Fiscal 2023 Expectations</w:t>
            </w:r>
          </w:p>
        </w:tc>
        <w:tc>
          <w:tcPr>
            <w:tcW w:w="820" w:type="dxa"/>
            <w:vAlign w:val="bottom"/>
            <w:tcBorders>
              <w:bottom w:val="single" w:sz="8" w:color="auto"/>
            </w:tcBorders>
          </w:tcPr>
          <w:p>
            <w:pPr>
              <w:spacing w:after="0"/>
              <w:rPr>
                <w:sz w:val="12"/>
                <w:szCs w:val="12"/>
                <w:color w:val="auto"/>
              </w:rPr>
            </w:pPr>
          </w:p>
        </w:tc>
      </w:tr>
      <w:tr>
        <w:trPr>
          <w:trHeight w:val="133"/>
        </w:trPr>
        <w:tc>
          <w:tcPr>
            <w:tcW w:w="8460" w:type="dxa"/>
            <w:vAlign w:val="bottom"/>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Low</w:t>
            </w: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High</w:t>
            </w:r>
          </w:p>
        </w:tc>
      </w:tr>
      <w:tr>
        <w:trPr>
          <w:trHeight w:val="135"/>
        </w:trPr>
        <w:tc>
          <w:tcPr>
            <w:tcW w:w="84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Earnings per Class A Nonvoting Common Share (GAAP measure)</w:t>
            </w:r>
          </w:p>
        </w:tc>
        <w:tc>
          <w:tcPr>
            <w:tcW w:w="820" w:type="dxa"/>
            <w:vAlign w:val="bottom"/>
            <w:shd w:val="clear" w:color="auto" w:fill="CCEEFF"/>
          </w:tcPr>
          <w:p>
            <w:pPr>
              <w:jc w:val="right"/>
              <w:ind w:right="71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center"/>
              <w:ind w:left="206"/>
              <w:spacing w:after="0"/>
              <w:rPr>
                <w:sz w:val="20"/>
                <w:szCs w:val="20"/>
                <w:color w:val="auto"/>
              </w:rPr>
            </w:pPr>
            <w:r>
              <w:rPr>
                <w:rFonts w:ascii="Arial" w:cs="Arial" w:eastAsia="Arial" w:hAnsi="Arial"/>
                <w:sz w:val="11"/>
                <w:szCs w:val="11"/>
                <w:color w:val="auto"/>
                <w:w w:val="93"/>
              </w:rPr>
              <w:t>3.32</w:t>
            </w:r>
          </w:p>
        </w:tc>
        <w:tc>
          <w:tcPr>
            <w:tcW w:w="640" w:type="dxa"/>
            <w:vAlign w:val="bottom"/>
            <w:gridSpan w:val="2"/>
            <w:shd w:val="clear" w:color="auto" w:fill="CCEEFF"/>
          </w:tcPr>
          <w:p>
            <w:pPr>
              <w:jc w:val="right"/>
              <w:ind w:right="48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center"/>
              <w:ind w:left="486"/>
              <w:spacing w:after="0"/>
              <w:rPr>
                <w:sz w:val="20"/>
                <w:szCs w:val="20"/>
                <w:color w:val="auto"/>
              </w:rPr>
            </w:pPr>
            <w:r>
              <w:rPr>
                <w:rFonts w:ascii="Arial" w:cs="Arial" w:eastAsia="Arial" w:hAnsi="Arial"/>
                <w:sz w:val="11"/>
                <w:szCs w:val="11"/>
                <w:color w:val="auto"/>
                <w:w w:val="93"/>
              </w:rPr>
              <w:t>3.47</w:t>
            </w:r>
          </w:p>
        </w:tc>
      </w:tr>
      <w:tr>
        <w:trPr>
          <w:trHeight w:val="142"/>
        </w:trPr>
        <w:tc>
          <w:tcPr>
            <w:tcW w:w="8460" w:type="dxa"/>
            <w:vAlign w:val="bottom"/>
          </w:tcPr>
          <w:p>
            <w:pPr>
              <w:ind w:left="440"/>
              <w:spacing w:after="0"/>
              <w:rPr>
                <w:sz w:val="20"/>
                <w:szCs w:val="20"/>
                <w:color w:val="auto"/>
              </w:rPr>
            </w:pPr>
            <w:r>
              <w:rPr>
                <w:rFonts w:ascii="Arial" w:cs="Arial" w:eastAsia="Arial" w:hAnsi="Arial"/>
                <w:sz w:val="11"/>
                <w:szCs w:val="11"/>
                <w:color w:val="auto"/>
              </w:rPr>
              <w:t>Amortization expense</w:t>
            </w:r>
          </w:p>
        </w:tc>
        <w:tc>
          <w:tcPr>
            <w:tcW w:w="820" w:type="dxa"/>
            <w:vAlign w:val="bottom"/>
          </w:tcPr>
          <w:p>
            <w:pPr>
              <w:spacing w:after="0"/>
              <w:rPr>
                <w:sz w:val="12"/>
                <w:szCs w:val="12"/>
                <w:color w:val="auto"/>
              </w:rPr>
            </w:pPr>
          </w:p>
        </w:tc>
        <w:tc>
          <w:tcPr>
            <w:tcW w:w="540" w:type="dxa"/>
            <w:vAlign w:val="bottom"/>
          </w:tcPr>
          <w:p>
            <w:pPr>
              <w:jc w:val="center"/>
              <w:ind w:left="206"/>
              <w:spacing w:after="0"/>
              <w:rPr>
                <w:sz w:val="20"/>
                <w:szCs w:val="20"/>
                <w:color w:val="auto"/>
              </w:rPr>
            </w:pPr>
            <w:r>
              <w:rPr>
                <w:rFonts w:ascii="Arial" w:cs="Arial" w:eastAsia="Arial" w:hAnsi="Arial"/>
                <w:sz w:val="11"/>
                <w:szCs w:val="11"/>
                <w:color w:val="auto"/>
                <w:w w:val="93"/>
              </w:rPr>
              <w:t>0.18</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jc w:val="center"/>
              <w:ind w:left="486"/>
              <w:spacing w:after="0"/>
              <w:rPr>
                <w:sz w:val="20"/>
                <w:szCs w:val="20"/>
                <w:color w:val="auto"/>
              </w:rPr>
            </w:pPr>
            <w:r>
              <w:rPr>
                <w:rFonts w:ascii="Arial" w:cs="Arial" w:eastAsia="Arial" w:hAnsi="Arial"/>
                <w:sz w:val="11"/>
                <w:szCs w:val="11"/>
                <w:color w:val="auto"/>
                <w:w w:val="93"/>
              </w:rPr>
              <w:t>0.18</w:t>
            </w:r>
          </w:p>
        </w:tc>
      </w:tr>
      <w:tr>
        <w:trPr>
          <w:trHeight w:val="144"/>
        </w:trPr>
        <w:tc>
          <w:tcPr>
            <w:tcW w:w="8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1"/>
                <w:szCs w:val="11"/>
                <w:color w:val="auto"/>
              </w:rPr>
              <w:t>Gain on sale of business</w:t>
            </w:r>
          </w:p>
        </w:tc>
        <w:tc>
          <w:tcPr>
            <w:tcW w:w="8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center"/>
              <w:ind w:left="186"/>
              <w:spacing w:after="0"/>
              <w:rPr>
                <w:sz w:val="20"/>
                <w:szCs w:val="20"/>
                <w:color w:val="auto"/>
              </w:rPr>
            </w:pPr>
            <w:r>
              <w:rPr>
                <w:rFonts w:ascii="Arial" w:cs="Arial" w:eastAsia="Arial" w:hAnsi="Arial"/>
                <w:sz w:val="11"/>
                <w:szCs w:val="11"/>
                <w:color w:val="auto"/>
                <w:w w:val="90"/>
              </w:rPr>
              <w:t>(0.05)</w:t>
            </w: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center"/>
              <w:ind w:left="466"/>
              <w:spacing w:after="0"/>
              <w:rPr>
                <w:sz w:val="20"/>
                <w:szCs w:val="20"/>
                <w:color w:val="auto"/>
              </w:rPr>
            </w:pPr>
            <w:r>
              <w:rPr>
                <w:rFonts w:ascii="Arial" w:cs="Arial" w:eastAsia="Arial" w:hAnsi="Arial"/>
                <w:sz w:val="11"/>
                <w:szCs w:val="11"/>
                <w:color w:val="auto"/>
                <w:w w:val="90"/>
              </w:rPr>
              <w:t>(0.05)</w:t>
            </w:r>
          </w:p>
        </w:tc>
      </w:tr>
      <w:tr>
        <w:trPr>
          <w:trHeight w:val="133"/>
        </w:trPr>
        <w:tc>
          <w:tcPr>
            <w:tcW w:w="8460" w:type="dxa"/>
            <w:vAlign w:val="bottom"/>
          </w:tcPr>
          <w:p>
            <w:pPr>
              <w:spacing w:after="0"/>
              <w:rPr>
                <w:sz w:val="20"/>
                <w:szCs w:val="20"/>
                <w:color w:val="auto"/>
              </w:rPr>
            </w:pPr>
            <w:r>
              <w:rPr>
                <w:rFonts w:ascii="Arial" w:cs="Arial" w:eastAsia="Arial" w:hAnsi="Arial"/>
                <w:sz w:val="11"/>
                <w:szCs w:val="11"/>
                <w:b w:val="1"/>
                <w:bCs w:val="1"/>
                <w:color w:val="auto"/>
              </w:rPr>
              <w:t>Diluted EPS Excluding Certain Items (non-GAAP measure)</w:t>
            </w:r>
          </w:p>
        </w:tc>
        <w:tc>
          <w:tcPr>
            <w:tcW w:w="820" w:type="dxa"/>
            <w:vAlign w:val="bottom"/>
          </w:tcPr>
          <w:p>
            <w:pPr>
              <w:jc w:val="right"/>
              <w:ind w:right="710"/>
              <w:spacing w:after="0"/>
              <w:rPr>
                <w:sz w:val="20"/>
                <w:szCs w:val="20"/>
                <w:color w:val="auto"/>
              </w:rPr>
            </w:pPr>
            <w:r>
              <w:rPr>
                <w:rFonts w:ascii="Arial" w:cs="Arial" w:eastAsia="Arial" w:hAnsi="Arial"/>
                <w:sz w:val="10"/>
                <w:szCs w:val="10"/>
                <w:b w:val="1"/>
                <w:bCs w:val="1"/>
                <w:color w:val="auto"/>
                <w:w w:val="71"/>
              </w:rPr>
              <w:t>$</w:t>
            </w:r>
          </w:p>
        </w:tc>
        <w:tc>
          <w:tcPr>
            <w:tcW w:w="540" w:type="dxa"/>
            <w:vAlign w:val="bottom"/>
          </w:tcPr>
          <w:p>
            <w:pPr>
              <w:jc w:val="center"/>
              <w:ind w:left="206"/>
              <w:spacing w:after="0"/>
              <w:rPr>
                <w:sz w:val="20"/>
                <w:szCs w:val="20"/>
                <w:color w:val="auto"/>
              </w:rPr>
            </w:pPr>
            <w:r>
              <w:rPr>
                <w:rFonts w:ascii="Arial" w:cs="Arial" w:eastAsia="Arial" w:hAnsi="Arial"/>
                <w:sz w:val="11"/>
                <w:szCs w:val="11"/>
                <w:b w:val="1"/>
                <w:bCs w:val="1"/>
                <w:color w:val="auto"/>
                <w:w w:val="93"/>
              </w:rPr>
              <w:t>3.45</w:t>
            </w:r>
          </w:p>
        </w:tc>
        <w:tc>
          <w:tcPr>
            <w:tcW w:w="64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center"/>
              <w:ind w:left="486"/>
              <w:spacing w:after="0"/>
              <w:rPr>
                <w:sz w:val="20"/>
                <w:szCs w:val="20"/>
                <w:color w:val="auto"/>
              </w:rPr>
            </w:pPr>
            <w:r>
              <w:rPr>
                <w:rFonts w:ascii="Arial" w:cs="Arial" w:eastAsia="Arial" w:hAnsi="Arial"/>
                <w:sz w:val="11"/>
                <w:szCs w:val="11"/>
                <w:b w:val="1"/>
                <w:bCs w:val="1"/>
                <w:color w:val="auto"/>
                <w:w w:val="93"/>
              </w:rPr>
              <w:t>3.60</w:t>
            </w:r>
          </w:p>
        </w:tc>
      </w:tr>
      <w:tr>
        <w:trPr>
          <w:trHeight w:val="20"/>
        </w:trPr>
        <w:tc>
          <w:tcPr>
            <w:tcW w:w="8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667" w:right="29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5495" cy="4501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549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45072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549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549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549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549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549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549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549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549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549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549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549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549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549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45072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549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45072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549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2023-05-18T06:11:25Z</dcterms:created>
  <dcterms:modified xsi:type="dcterms:W3CDTF">2023-05-18T06:11:25Z</dcterms:modified>
</cp:coreProperties>
</file>