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ind w:left="2960"/>
        <w:spacing w:after="0"/>
        <w:rPr>
          <w:sz w:val="20"/>
          <w:szCs w:val="20"/>
          <w:color w:val="auto"/>
        </w:rPr>
      </w:pPr>
      <w:r>
        <w:rPr>
          <w:rFonts w:ascii="Arial" w:cs="Arial" w:eastAsia="Arial" w:hAnsi="Arial"/>
          <w:sz w:val="19"/>
          <w:szCs w:val="19"/>
          <w:b w:val="1"/>
          <w:bCs w:val="1"/>
          <w:color w:val="auto"/>
        </w:rPr>
        <w:t>Date of Report (Date of earliest event reported): September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400"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6"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or the Securities Exchange Act of 1934 (17 CFR 240.12b-2).</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3" w:lineRule="exact"/>
        <w:rPr>
          <w:sz w:val="24"/>
          <w:szCs w:val="24"/>
          <w:color w:val="auto"/>
        </w:rPr>
      </w:pPr>
    </w:p>
    <w:p>
      <w:pPr>
        <w:ind w:right="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000"/>
          </w:cols>
          <w:pgMar w:left="240" w:top="670" w:right="65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On September 7, 2017, Brady Corporation (the “Company”) issued a press release announcing its fiscal 2017 fourth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7, 2017, the Company hosted a conference call related to its fiscal 2017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31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2"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6, 2017, the Company announced that its Board of Directors had increased the annual cash dividend on its Class A Common Stock from $0.82 to $0.83 per share. A quarterly dividend in the amount of $0.2075 per share will be paid on October 31, 2017, to shareholders of record as of the close of business on October 10, 2017. A copy of the press release regarding the dividend is attached hereto as Exhibit 99.2 and is incorporated herein by reference.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0" w:type="dxa"/>
            <w:vAlign w:val="bottom"/>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280"/>
              <w:spacing w:after="0"/>
              <w:rPr>
                <w:sz w:val="20"/>
                <w:szCs w:val="20"/>
                <w:color w:val="auto"/>
              </w:rPr>
            </w:pPr>
            <w:r>
              <w:rPr>
                <w:rFonts w:ascii="Arial" w:cs="Arial" w:eastAsia="Arial" w:hAnsi="Arial"/>
                <w:sz w:val="16"/>
                <w:szCs w:val="16"/>
                <w:color w:val="auto"/>
                <w:w w:val="91"/>
              </w:rPr>
              <w:t>Press Release of Brady Corporation, dated September 7, 2017, relating to fourth quarter fiscal 2017 financial results.</w:t>
            </w:r>
          </w:p>
        </w:tc>
        <w:tc>
          <w:tcPr>
            <w:tcW w:w="0" w:type="dxa"/>
            <w:vAlign w:val="bottom"/>
          </w:tcPr>
          <w:p>
            <w:pPr>
              <w:spacing w:after="0"/>
              <w:rPr>
                <w:sz w:val="1"/>
                <w:szCs w:val="1"/>
                <w:color w:val="auto"/>
              </w:rPr>
            </w:pPr>
          </w:p>
        </w:tc>
      </w:tr>
      <w:tr>
        <w:trPr>
          <w:trHeight w:val="241"/>
        </w:trPr>
        <w:tc>
          <w:tcPr>
            <w:tcW w:w="860" w:type="dxa"/>
            <w:vAlign w:val="bottom"/>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280"/>
              <w:spacing w:after="0"/>
              <w:rPr>
                <w:sz w:val="20"/>
                <w:szCs w:val="20"/>
                <w:color w:val="auto"/>
              </w:rPr>
            </w:pPr>
            <w:r>
              <w:rPr>
                <w:rFonts w:ascii="Arial" w:cs="Arial" w:eastAsia="Arial" w:hAnsi="Arial"/>
                <w:sz w:val="16"/>
                <w:szCs w:val="16"/>
                <w:color w:val="auto"/>
              </w:rPr>
              <w:t>Press Release of Brady Corporation, dated September 6, 2017, relating to increase in annual dividend.</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6"/>
                <w:szCs w:val="16"/>
                <w:color w:val="auto"/>
              </w:rPr>
              <w:t>99.3</w:t>
            </w:r>
          </w:p>
        </w:tc>
        <w:tc>
          <w:tcPr>
            <w:tcW w:w="7820" w:type="dxa"/>
            <w:vAlign w:val="bottom"/>
          </w:tcPr>
          <w:p>
            <w:pPr>
              <w:ind w:left="280"/>
              <w:spacing w:after="0"/>
              <w:rPr>
                <w:sz w:val="20"/>
                <w:szCs w:val="20"/>
                <w:color w:val="auto"/>
              </w:rPr>
            </w:pPr>
            <w:r>
              <w:rPr>
                <w:rFonts w:ascii="Arial" w:cs="Arial" w:eastAsia="Arial" w:hAnsi="Arial"/>
                <w:sz w:val="16"/>
                <w:szCs w:val="16"/>
                <w:color w:val="auto"/>
                <w:w w:val="92"/>
              </w:rPr>
              <w:t>Informational slides provided by Brady Corporation, dated September 7, 2017, relating to fourth quarter fiscal 2017</w:t>
            </w: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September 7, 2017</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gridSpan w:val="4"/>
          </w:tcPr>
          <w:p>
            <w:pPr>
              <w:ind w:left="29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1140" w:type="dxa"/>
            <w:vAlign w:val="bottom"/>
          </w:tcPr>
          <w:p>
            <w:pPr>
              <w:ind w:left="20"/>
              <w:spacing w:after="0"/>
              <w:rPr>
                <w:sz w:val="20"/>
                <w:szCs w:val="20"/>
                <w:color w:val="auto"/>
              </w:rPr>
            </w:pPr>
            <w:r>
              <w:rPr>
                <w:rFonts w:ascii="Arial" w:cs="Arial" w:eastAsia="Arial" w:hAnsi="Arial"/>
                <w:sz w:val="14"/>
                <w:szCs w:val="14"/>
                <w:color w:val="auto"/>
              </w:rPr>
              <w:t>EXHIBIT</w:t>
            </w:r>
          </w:p>
        </w:tc>
        <w:tc>
          <w:tcPr>
            <w:tcW w:w="7540" w:type="dxa"/>
            <w:vAlign w:val="bottom"/>
            <w:gridSpan w:val="5"/>
            <w:vMerge w:val="restart"/>
          </w:tcPr>
          <w:p>
            <w:pPr>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NUMBER</w:t>
            </w:r>
          </w:p>
        </w:tc>
        <w:tc>
          <w:tcPr>
            <w:tcW w:w="75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140" w:type="dxa"/>
            <w:vAlign w:val="bottom"/>
          </w:tcPr>
          <w:p>
            <w:pPr>
              <w:ind w:left="20"/>
              <w:spacing w:after="0"/>
              <w:rPr>
                <w:sz w:val="20"/>
                <w:szCs w:val="20"/>
                <w:color w:val="auto"/>
              </w:rPr>
            </w:pPr>
            <w:r>
              <w:rPr>
                <w:rFonts w:ascii="Arial" w:cs="Arial" w:eastAsia="Arial" w:hAnsi="Arial"/>
                <w:sz w:val="16"/>
                <w:szCs w:val="16"/>
                <w:color w:val="auto"/>
              </w:rPr>
              <w:t>99.1</w:t>
            </w:r>
          </w:p>
        </w:tc>
        <w:tc>
          <w:tcPr>
            <w:tcW w:w="7540" w:type="dxa"/>
            <w:vAlign w:val="bottom"/>
            <w:gridSpan w:val="5"/>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Press Release of Brady Corporation, dated September 7, 2017, relating to fourth quarter fiscal 2017 financial results.</w:t>
              </w:r>
            </w:hyperlink>
          </w:p>
        </w:tc>
        <w:tc>
          <w:tcPr>
            <w:tcW w:w="0" w:type="dxa"/>
            <w:vAlign w:val="bottom"/>
          </w:tcPr>
          <w:p>
            <w:pPr>
              <w:spacing w:after="0"/>
              <w:rPr>
                <w:sz w:val="1"/>
                <w:szCs w:val="1"/>
                <w:color w:val="auto"/>
              </w:rPr>
            </w:pPr>
          </w:p>
        </w:tc>
      </w:tr>
      <w:tr>
        <w:trPr>
          <w:trHeight w:val="294"/>
        </w:trPr>
        <w:tc>
          <w:tcPr>
            <w:tcW w:w="1140" w:type="dxa"/>
            <w:vAlign w:val="bottom"/>
          </w:tcPr>
          <w:p>
            <w:pPr>
              <w:ind w:left="20"/>
              <w:spacing w:after="0"/>
              <w:rPr>
                <w:sz w:val="20"/>
                <w:szCs w:val="20"/>
                <w:color w:val="auto"/>
              </w:rPr>
            </w:pPr>
            <w:r>
              <w:rPr>
                <w:rFonts w:ascii="Arial" w:cs="Arial" w:eastAsia="Arial" w:hAnsi="Arial"/>
                <w:sz w:val="16"/>
                <w:szCs w:val="16"/>
                <w:color w:val="auto"/>
              </w:rPr>
              <w:t>99.2</w:t>
            </w:r>
          </w:p>
        </w:tc>
        <w:tc>
          <w:tcPr>
            <w:tcW w:w="7500" w:type="dxa"/>
            <w:vAlign w:val="bottom"/>
            <w:tcBorders>
              <w:top w:val="single" w:sz="8" w:color="0000FF"/>
            </w:tcBorders>
            <w:gridSpan w:val="4"/>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Press Release of Brady Corporation, dated September 6, 2017, relating to increase in annual dividend.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tcPr>
          <w:p>
            <w:pPr>
              <w:ind w:left="20"/>
              <w:spacing w:after="0"/>
              <w:rPr>
                <w:sz w:val="20"/>
                <w:szCs w:val="20"/>
                <w:color w:val="auto"/>
              </w:rPr>
            </w:pPr>
            <w:r>
              <w:rPr>
                <w:rFonts w:ascii="Arial" w:cs="Arial" w:eastAsia="Arial" w:hAnsi="Arial"/>
                <w:sz w:val="16"/>
                <w:szCs w:val="16"/>
                <w:color w:val="auto"/>
              </w:rPr>
              <w:t>99.3</w:t>
            </w:r>
          </w:p>
        </w:tc>
        <w:tc>
          <w:tcPr>
            <w:tcW w:w="7540" w:type="dxa"/>
            <w:vAlign w:val="bottom"/>
            <w:gridSpan w:val="5"/>
          </w:tcPr>
          <w:p>
            <w:pPr>
              <w:spacing w:after="0"/>
              <w:rPr>
                <w:rFonts w:ascii="Arial" w:cs="Arial" w:eastAsia="Arial" w:hAnsi="Arial"/>
                <w:sz w:val="16"/>
                <w:szCs w:val="16"/>
                <w:color w:val="0000FF"/>
                <w:w w:val="92"/>
              </w:rPr>
            </w:pPr>
            <w:hyperlink w:anchor="page12">
              <w:r>
                <w:rPr>
                  <w:rFonts w:ascii="Arial" w:cs="Arial" w:eastAsia="Arial" w:hAnsi="Arial"/>
                  <w:sz w:val="16"/>
                  <w:szCs w:val="16"/>
                  <w:color w:val="0000FF"/>
                  <w:w w:val="92"/>
                </w:rPr>
                <w:t>Informational slides provided by Brady Corporation, dated September 7, 2017, relating to fourth quarter fiscal 2017</w:t>
              </w:r>
            </w:hyperlink>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7440" w:type="dxa"/>
            <w:vAlign w:val="bottom"/>
            <w:tcBorders>
              <w:top w:val="single" w:sz="8" w:color="0000FF"/>
            </w:tcBorders>
            <w:gridSpan w:val="3"/>
          </w:tcPr>
          <w:p>
            <w:pPr>
              <w:spacing w:after="0" w:line="173" w:lineRule="exact"/>
              <w:rPr>
                <w:rFonts w:ascii="Arial" w:cs="Arial" w:eastAsia="Arial" w:hAnsi="Arial"/>
                <w:sz w:val="16"/>
                <w:szCs w:val="16"/>
                <w:color w:val="0000FF"/>
              </w:rPr>
            </w:pPr>
            <w:hyperlink w:anchor="page12">
              <w:r>
                <w:rPr>
                  <w:rFonts w:ascii="Arial" w:cs="Arial" w:eastAsia="Arial" w:hAnsi="Arial"/>
                  <w:sz w:val="16"/>
                  <w:szCs w:val="16"/>
                  <w:color w:val="0000FF"/>
                </w:rPr>
                <w:t>financial results.</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2017 Fourth Quarter Results and Announces its Fiscal 2018 EPS Guidance</w:t>
      </w:r>
    </w:p>
    <w:p>
      <w:pPr>
        <w:spacing w:after="0" w:line="330"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revenues increased 3.0 percent for the quarter ended July 31, 2017.</w:t>
      </w:r>
    </w:p>
    <w:p>
      <w:pPr>
        <w:spacing w:after="0" w:line="94" w:lineRule="exact"/>
        <w:rPr>
          <w:rFonts w:ascii="Arial" w:cs="Arial" w:eastAsia="Arial" w:hAnsi="Arial"/>
          <w:sz w:val="16"/>
          <w:szCs w:val="16"/>
          <w:color w:val="auto"/>
        </w:rPr>
      </w:pPr>
    </w:p>
    <w:p>
      <w:pPr>
        <w:ind w:left="580" w:right="16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before income taxes increased 12.2 percent to $35.9 million in the fourth quarter of fiscal 2017 compared to $32.0 million in the same quarter of the prior year.</w:t>
      </w:r>
    </w:p>
    <w:p>
      <w:pPr>
        <w:spacing w:after="0" w:line="1" w:lineRule="exact"/>
        <w:rPr>
          <w:rFonts w:ascii="Arial" w:cs="Arial" w:eastAsia="Arial" w:hAnsi="Arial"/>
          <w:sz w:val="16"/>
          <w:szCs w:val="16"/>
          <w:color w:val="auto"/>
        </w:rPr>
      </w:pPr>
    </w:p>
    <w:p>
      <w:pPr>
        <w:ind w:left="580" w:right="36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were $0.48 in the fourth quarter of fiscal 2017 compared to $0.49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2018 announced at a range of $1.85 to $1.95.</w:t>
      </w:r>
    </w:p>
    <w:p>
      <w:pPr>
        <w:spacing w:after="0" w:line="372" w:lineRule="exact"/>
        <w:rPr>
          <w:sz w:val="20"/>
          <w:szCs w:val="20"/>
          <w:color w:val="auto"/>
        </w:rPr>
      </w:pPr>
    </w:p>
    <w:p>
      <w:pPr>
        <w:ind w:right="260"/>
        <w:spacing w:after="0" w:line="368" w:lineRule="auto"/>
        <w:rPr>
          <w:sz w:val="20"/>
          <w:szCs w:val="20"/>
          <w:color w:val="auto"/>
        </w:rPr>
      </w:pPr>
      <w:r>
        <w:rPr>
          <w:rFonts w:ascii="Arial" w:cs="Arial" w:eastAsia="Arial" w:hAnsi="Arial"/>
          <w:sz w:val="18"/>
          <w:szCs w:val="18"/>
          <w:color w:val="auto"/>
        </w:rPr>
        <w:t>MILWAUKEE (September 7, 2017)--Brady Corporation (NYSE: BRC) (“Brady” or “Company”), a world leader in identification solutions, today reported its financial results for its fiscal 2017 fourth quarter ended July 31,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July 31, 2017 Financial Results:</w:t>
      </w:r>
    </w:p>
    <w:p>
      <w:pPr>
        <w:spacing w:after="0" w:line="101" w:lineRule="exact"/>
        <w:rPr>
          <w:sz w:val="20"/>
          <w:szCs w:val="20"/>
          <w:color w:val="auto"/>
        </w:rPr>
      </w:pPr>
    </w:p>
    <w:p>
      <w:pPr>
        <w:ind w:right="40" w:firstLine="579"/>
        <w:spacing w:after="0" w:line="349" w:lineRule="auto"/>
        <w:rPr>
          <w:sz w:val="20"/>
          <w:szCs w:val="20"/>
          <w:color w:val="auto"/>
        </w:rPr>
      </w:pPr>
      <w:r>
        <w:rPr>
          <w:rFonts w:ascii="Arial" w:cs="Arial" w:eastAsia="Arial" w:hAnsi="Arial"/>
          <w:sz w:val="18"/>
          <w:szCs w:val="18"/>
          <w:color w:val="auto"/>
        </w:rPr>
        <w:t>Net earnings for the quarter ended July 31, 2017, were $25.2 million compared to $25.1 million in the same quarter last year. Net earnings were significantly impacted by quarterly fluctuations in the income tax rate which was 29.7 percent for the quarter ended July 31, 2017, and 21.5 percent for the quarter ended July 31, 2016. Earnings before income taxes increased 12.2 percent to $35.9 million for the quarter ended July 31, 2017 compared to $32.0 million for the quarter ended July 31, 2016.</w:t>
      </w:r>
    </w:p>
    <w:p>
      <w:pPr>
        <w:spacing w:after="0" w:line="2" w:lineRule="exact"/>
        <w:rPr>
          <w:sz w:val="20"/>
          <w:szCs w:val="20"/>
          <w:color w:val="auto"/>
        </w:rPr>
      </w:pPr>
    </w:p>
    <w:p>
      <w:pPr>
        <w:ind w:left="580" w:right="60"/>
        <w:spacing w:after="0" w:line="419" w:lineRule="auto"/>
        <w:rPr>
          <w:sz w:val="20"/>
          <w:szCs w:val="20"/>
          <w:color w:val="auto"/>
        </w:rPr>
      </w:pPr>
      <w:r>
        <w:rPr>
          <w:rFonts w:ascii="Arial" w:cs="Arial" w:eastAsia="Arial" w:hAnsi="Arial"/>
          <w:sz w:val="15"/>
          <w:szCs w:val="15"/>
          <w:color w:val="auto"/>
        </w:rPr>
        <w:t>Earnings per diluted Class A Nonvoting Common Share were $0.48 for the quarter ended July 31, 2017, compared to $0.49 in the same quarter last year. Sales for the quarter ended July 31, 2017, increased 2.5 percent to $289.2 million compared to $282.1 million in the same quarter last year. Total organic</w:t>
      </w:r>
    </w:p>
    <w:p>
      <w:pPr>
        <w:spacing w:after="0" w:line="1" w:lineRule="exact"/>
        <w:rPr>
          <w:sz w:val="20"/>
          <w:szCs w:val="20"/>
          <w:color w:val="auto"/>
        </w:rPr>
      </w:pPr>
    </w:p>
    <w:p>
      <w:pPr>
        <w:ind w:right="440"/>
        <w:spacing w:after="0" w:line="368" w:lineRule="auto"/>
        <w:rPr>
          <w:sz w:val="20"/>
          <w:szCs w:val="20"/>
          <w:color w:val="auto"/>
        </w:rPr>
      </w:pPr>
      <w:r>
        <w:rPr>
          <w:rFonts w:ascii="Arial" w:cs="Arial" w:eastAsia="Arial" w:hAnsi="Arial"/>
          <w:sz w:val="18"/>
          <w:szCs w:val="18"/>
          <w:color w:val="auto"/>
        </w:rPr>
        <w:t>sales increased 3.0 percent and the impact of foreign currency translation decreased sales by 0.5 percent. By segment, organic sales increased 4.4 percent in Identification Solutions and decreased 0.6 percent in Workplace Safety.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2017 Financial Results:</w:t>
      </w:r>
    </w:p>
    <w:p>
      <w:pPr>
        <w:spacing w:after="0" w:line="101" w:lineRule="exact"/>
        <w:rPr>
          <w:sz w:val="20"/>
          <w:szCs w:val="20"/>
          <w:color w:val="auto"/>
        </w:rPr>
      </w:pPr>
    </w:p>
    <w:p>
      <w:pPr>
        <w:ind w:right="420" w:firstLine="579"/>
        <w:spacing w:after="0" w:line="368" w:lineRule="auto"/>
        <w:rPr>
          <w:sz w:val="20"/>
          <w:szCs w:val="20"/>
          <w:color w:val="auto"/>
        </w:rPr>
      </w:pPr>
      <w:r>
        <w:rPr>
          <w:rFonts w:ascii="Arial" w:cs="Arial" w:eastAsia="Arial" w:hAnsi="Arial"/>
          <w:sz w:val="18"/>
          <w:szCs w:val="18"/>
          <w:color w:val="auto"/>
        </w:rPr>
        <w:t>Net earnings for the year ended July 31, 2017, were $95.6 million compared to $80.1 million last year. Earnings before income taxes increased 15.8 percent to $126.6 million for the year ended July 31, 2017, compared to $109.3 million last year.</w:t>
      </w:r>
    </w:p>
    <w:p>
      <w:pPr>
        <w:sectPr>
          <w:pgSz w:w="11900" w:h="16838" w:orient="portrait"/>
          <w:cols w:equalWidth="0" w:num="1">
            <w:col w:w="11440"/>
          </w:cols>
          <w:pgMar w:left="240" w:top="734" w:right="219" w:bottom="144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Earnings per diluted Class A Nonvoting Common Share were $1.84 for the year ended July 31, 2017, compared to $1.58 last year.</w:t>
      </w:r>
    </w:p>
    <w:p>
      <w:pPr>
        <w:spacing w:after="0" w:line="95" w:lineRule="exact"/>
        <w:rPr>
          <w:sz w:val="20"/>
          <w:szCs w:val="20"/>
          <w:color w:val="auto"/>
        </w:rPr>
      </w:pPr>
    </w:p>
    <w:p>
      <w:pPr>
        <w:ind w:firstLine="579"/>
        <w:spacing w:after="0" w:line="359" w:lineRule="auto"/>
        <w:rPr>
          <w:sz w:val="20"/>
          <w:szCs w:val="20"/>
          <w:color w:val="auto"/>
        </w:rPr>
      </w:pPr>
      <w:r>
        <w:rPr>
          <w:rFonts w:ascii="Arial" w:cs="Arial" w:eastAsia="Arial" w:hAnsi="Arial"/>
          <w:sz w:val="18"/>
          <w:szCs w:val="18"/>
          <w:color w:val="auto"/>
        </w:rPr>
        <w:t>Sales for the year ended July 31, 2017, decreased 0.7 percent to $1.11 billion compared to $1.12 billion last year. Total organic sales increased 0.5 percent and foreign currency translation decreased sales by 1.2 percent. By segment, organic sales increased 1.6 percent in Identification Solutions and decreased 2.0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right="20" w:firstLine="579"/>
        <w:spacing w:after="0" w:line="370" w:lineRule="auto"/>
        <w:rPr>
          <w:sz w:val="20"/>
          <w:szCs w:val="20"/>
          <w:color w:val="auto"/>
        </w:rPr>
      </w:pPr>
      <w:r>
        <w:rPr>
          <w:rFonts w:ascii="Arial" w:cs="Arial" w:eastAsia="Arial" w:hAnsi="Arial"/>
          <w:sz w:val="17"/>
          <w:szCs w:val="17"/>
          <w:color w:val="auto"/>
        </w:rPr>
        <w:t>“We finished fiscal 2017 with our eighth consecutive quarter of year-over-year improvement in pre-tax earnings. This is a direct result of our organic sales growth, our consistent focus on driving efficiencies throughout our SG&amp;A structure, and our improved manufacturing processes,” said Brady’s President and Chief Executive Officer, J. Michael Nauman. “Organic sales growth was 3.0 percent this quarter. Our Identification Solutions business was the driver of our organic sales growth and is where we have been investing the most in the development of innovative new products. This is beginning to generate improved organic sales trends. Our priorities for fiscal 2018 remain unchanged, which are to grow our pipeline of innovative new products, accelerate organic sales growth, provide excellent customer service and deliver operational efficiencies throughout our business. We continue to focus on the long-term by taking actions today that we believe will result in sustainable organic sales growth into the future.”</w:t>
      </w:r>
    </w:p>
    <w:p>
      <w:pPr>
        <w:spacing w:after="0" w:line="1" w:lineRule="exact"/>
        <w:rPr>
          <w:sz w:val="20"/>
          <w:szCs w:val="20"/>
          <w:color w:val="auto"/>
        </w:rPr>
      </w:pPr>
    </w:p>
    <w:p>
      <w:pPr>
        <w:ind w:firstLine="579"/>
        <w:spacing w:after="0" w:line="433" w:lineRule="auto"/>
        <w:rPr>
          <w:sz w:val="20"/>
          <w:szCs w:val="20"/>
          <w:color w:val="auto"/>
        </w:rPr>
      </w:pPr>
      <w:r>
        <w:rPr>
          <w:rFonts w:ascii="Arial" w:cs="Arial" w:eastAsia="Arial" w:hAnsi="Arial"/>
          <w:sz w:val="15"/>
          <w:szCs w:val="15"/>
          <w:color w:val="auto"/>
        </w:rPr>
        <w:t>“The benefits from our organic sales growth were supplemented by our focus on operational efficiencies, our drive for sustainable efficiency gains in our general and administrative cost structure, and a strong focus on cash generation,” said Brady’s Chief Financial Officer, Aaron Pearce. “During the year ended July 31, 2017, we increased our pre-tax earnings by 15.8 percent, increased net earnings by 19.4 percent, and generated $144.0 million of cash from operating activities, which represents 151 percent of net earnings. Our cash generation was primarily used to return funds to our shareholders in the form of dividends and to strengthen our balance sheet. We finished the year in a net cash position of $26.2 million compared to a net debt position of $75.7 million at the start of this fiscal year. Our balance sheet provides significant flexibility for investments to drive long-term shareholder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Guidance:</w:t>
      </w:r>
    </w:p>
    <w:p>
      <w:pPr>
        <w:spacing w:after="0" w:line="101" w:lineRule="exact"/>
        <w:rPr>
          <w:sz w:val="20"/>
          <w:szCs w:val="20"/>
          <w:color w:val="auto"/>
        </w:rPr>
      </w:pPr>
    </w:p>
    <w:p>
      <w:pPr>
        <w:ind w:right="40" w:firstLine="579"/>
        <w:spacing w:after="0" w:line="433" w:lineRule="auto"/>
        <w:rPr>
          <w:sz w:val="20"/>
          <w:szCs w:val="20"/>
          <w:color w:val="auto"/>
        </w:rPr>
      </w:pPr>
      <w:r>
        <w:rPr>
          <w:rFonts w:ascii="Arial" w:cs="Arial" w:eastAsia="Arial" w:hAnsi="Arial"/>
          <w:sz w:val="15"/>
          <w:szCs w:val="15"/>
          <w:color w:val="auto"/>
        </w:rPr>
        <w:t>The Company anticipates organic sales to increase in the low-single digits for the year ending July 31, 2018. Brady expects earnings per diluted Class A Common Share to range from $1.85 to $1.95. This guidance is based upon a full-year income tax rate of approximately 27 percent to 29 percent, which is higher than fiscal 2017, and depreciation and amortization expense of approximately $26 million. The Company expects to continue to achieve efficiency gains in its manufacturing facilities and in selling, general and administrative expenses while increasing investments in research and development expenses by approximately 10 percent when compared to fiscal 2017. Capital expenditures are anticipated to be approximately $30 million during the year ending July 31, 2018. The Company’s fiscal 2018 guidance is based on foreign currency exchange rates as of July 31, 2017.</w:t>
      </w:r>
    </w:p>
    <w:p>
      <w:pPr>
        <w:sectPr>
          <w:pgSz w:w="11900" w:h="16838" w:orient="portrait"/>
          <w:cols w:equalWidth="0" w:num="1">
            <w:col w:w="11400"/>
          </w:cols>
          <w:pgMar w:left="240" w:top="583" w:right="259" w:bottom="1440" w:gutter="0" w:footer="0" w:header="0"/>
        </w:sectPr>
      </w:pPr>
    </w:p>
    <w:bookmarkStart w:id="5" w:name="page6"/>
    <w:bookmarkEnd w:id="5"/>
    <w:p>
      <w:pPr>
        <w:ind w:left="580"/>
        <w:spacing w:after="0"/>
        <w:rPr>
          <w:sz w:val="20"/>
          <w:szCs w:val="20"/>
          <w:color w:val="auto"/>
        </w:rPr>
      </w:pPr>
      <w:r>
        <w:rPr>
          <w:rFonts w:ascii="Arial" w:cs="Arial" w:eastAsia="Arial" w:hAnsi="Arial"/>
          <w:sz w:val="15"/>
          <w:szCs w:val="15"/>
          <w:color w:val="auto"/>
        </w:rPr>
        <w:t xml:space="preserve">A webcast regarding Brady’s fiscal 2017 fourth quarter financial results will be available at </w:t>
      </w:r>
      <w:r>
        <w:rPr>
          <w:rFonts w:ascii="Arial" w:cs="Arial" w:eastAsia="Arial" w:hAnsi="Arial"/>
          <w:sz w:val="15"/>
          <w:szCs w:val="15"/>
          <w:u w:val="single" w:color="auto"/>
          <w:color w:val="auto"/>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72" w:lineRule="exact"/>
        <w:rPr>
          <w:sz w:val="20"/>
          <w:szCs w:val="20"/>
          <w:color w:val="auto"/>
        </w:rPr>
      </w:pPr>
    </w:p>
    <w:p>
      <w:pPr>
        <w:ind w:right="8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2017, employed approximately 6,300 people in its worldwide businesses. Brady’s fiscal 2017 sales were approximately $1.11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r>
        <w:rPr>
          <w:rFonts w:ascii="Arial" w:cs="Arial" w:eastAsia="Arial" w:hAnsi="Arial"/>
          <w:sz w:val="17"/>
          <w:szCs w:val="17"/>
          <w:u w:val="single" w:color="auto"/>
          <w:color w:val="auto"/>
        </w:rPr>
        <w: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deterioration or instability in the global economy and financial markets; decreased demand for our products; Brady’s ability to retain large customers; risks associated with the loss of key employees; changes in tax legislation and tax rates; Brady’s ability to execute facility consolidations and maintain acceptable operational service metrics; extensive regulations by U.S. and non-U.S. governmental and self-regulatory entities; litigation, including product liability claims; divestitures and contingent liabilities from divestitures; Brady’s ability to properly identify, integrate, and grow acquired companies; foreign currency fluctuations;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2016.</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861"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color w:val="auto"/>
              </w:rPr>
              <w:t>Three months ended July 31,</w:t>
            </w:r>
          </w:p>
        </w:tc>
        <w:tc>
          <w:tcPr>
            <w:tcW w:w="240" w:type="dxa"/>
            <w:vAlign w:val="bottom"/>
          </w:tcPr>
          <w:p>
            <w:pPr>
              <w:spacing w:after="0"/>
              <w:rPr>
                <w:sz w:val="15"/>
                <w:szCs w:val="15"/>
                <w:color w:val="auto"/>
              </w:rPr>
            </w:pPr>
          </w:p>
        </w:tc>
        <w:tc>
          <w:tcPr>
            <w:tcW w:w="1980" w:type="dxa"/>
            <w:vAlign w:val="bottom"/>
            <w:gridSpan w:val="4"/>
          </w:tcPr>
          <w:p>
            <w:pPr>
              <w:jc w:val="right"/>
              <w:ind w:right="448"/>
              <w:spacing w:after="0"/>
              <w:rPr>
                <w:sz w:val="20"/>
                <w:szCs w:val="20"/>
                <w:color w:val="auto"/>
              </w:rPr>
            </w:pPr>
            <w:r>
              <w:rPr>
                <w:rFonts w:ascii="Arial" w:cs="Arial" w:eastAsia="Arial" w:hAnsi="Arial"/>
                <w:sz w:val="14"/>
                <w:szCs w:val="14"/>
                <w:color w:val="auto"/>
              </w:rPr>
              <w:t>Year ended July 31,</w:t>
            </w:r>
          </w:p>
        </w:tc>
      </w:tr>
      <w:tr>
        <w:trPr>
          <w:trHeight w:val="30"/>
        </w:trPr>
        <w:tc>
          <w:tcPr>
            <w:tcW w:w="4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r>
      <w:tr>
        <w:trPr>
          <w:trHeight w:val="30"/>
        </w:trPr>
        <w:tc>
          <w:tcPr>
            <w:tcW w:w="4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289,212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282,106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1,113,316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1,120,625</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561,852</w:t>
            </w:r>
          </w:p>
        </w:tc>
      </w:tr>
      <w:tr>
        <w:trPr>
          <w:trHeight w:val="30"/>
        </w:trPr>
        <w:tc>
          <w:tcPr>
            <w:tcW w:w="4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558,292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558,773</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35,799</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387,653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405,096</w:t>
            </w:r>
          </w:p>
        </w:tc>
      </w:tr>
      <w:tr>
        <w:trPr>
          <w:trHeight w:val="30"/>
        </w:trPr>
        <w:tc>
          <w:tcPr>
            <w:tcW w:w="4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Total operating expenses</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107,686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427,277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440,895</w:t>
            </w:r>
          </w:p>
        </w:tc>
      </w:tr>
      <w:tr>
        <w:trPr>
          <w:trHeight w:val="193"/>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Operating income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131,015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117,878</w:t>
            </w:r>
          </w:p>
        </w:tc>
      </w:tr>
      <w:tr>
        <w:trPr>
          <w:trHeight w:val="193"/>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Other income (expense):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Investment and other income (expense)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(7,824)</w:t>
            </w:r>
          </w:p>
        </w:tc>
      </w:tr>
      <w:tr>
        <w:trPr>
          <w:trHeight w:val="185"/>
        </w:trPr>
        <w:tc>
          <w:tcPr>
            <w:tcW w:w="4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Earnings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126,632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109,345</w:t>
            </w:r>
          </w:p>
        </w:tc>
      </w:tr>
      <w:tr>
        <w:trPr>
          <w:trHeight w:val="193"/>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29,235</w:t>
            </w:r>
          </w:p>
        </w:tc>
      </w:tr>
      <w:tr>
        <w:trPr>
          <w:trHeight w:val="185"/>
        </w:trPr>
        <w:tc>
          <w:tcPr>
            <w:tcW w:w="4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80,110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3"/>
        </w:trPr>
        <w:tc>
          <w:tcPr>
            <w:tcW w:w="4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w:t>
            </w: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0.81</w:t>
            </w:r>
          </w:p>
        </w:tc>
      </w:tr>
      <w:tr>
        <w:trPr>
          <w:trHeight w:val="193"/>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 per Class B 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1.57</w:t>
            </w: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0.79</w:t>
            </w: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50,541</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50,769</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July 31, 2017</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2016</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jc w:val="center"/>
              <w:ind w:right="2720"/>
              <w:spacing w:after="0" w:line="149" w:lineRule="exact"/>
              <w:rPr>
                <w:sz w:val="20"/>
                <w:szCs w:val="20"/>
                <w:color w:val="auto"/>
              </w:rPr>
            </w:pPr>
            <w:r>
              <w:rPr>
                <w:rFonts w:ascii="Arial" w:cs="Arial" w:eastAsia="Arial" w:hAnsi="Arial"/>
                <w:sz w:val="14"/>
                <w:szCs w:val="14"/>
                <w:b w:val="1"/>
                <w:bCs w:val="1"/>
                <w:color w:val="auto"/>
                <w:w w:val="96"/>
              </w:rPr>
              <w:t>ASSETS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3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8"/>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8"/>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133,944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141,228</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Accounts receivable—net</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149,638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147,333</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8"/>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Finished products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64,313</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18,117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16,678</w:t>
            </w:r>
          </w:p>
        </w:tc>
      </w:tr>
      <w:tr>
        <w:trPr>
          <w:trHeight w:val="211"/>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Raw materials and supplies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18,436</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Total 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107,024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99,427</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19,436</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407,814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407,424</w:t>
            </w:r>
          </w:p>
        </w:tc>
      </w:tr>
      <w:tr>
        <w:trPr>
          <w:trHeight w:val="199"/>
        </w:trPr>
        <w:tc>
          <w:tcPr>
            <w:tcW w:w="5960" w:type="dxa"/>
            <w:vAlign w:val="bottom"/>
            <w:gridSpan w:val="8"/>
          </w:tcPr>
          <w:p>
            <w:pPr>
              <w:ind w:left="20"/>
              <w:spacing w:after="0"/>
              <w:rPr>
                <w:sz w:val="20"/>
                <w:szCs w:val="20"/>
                <w:color w:val="auto"/>
              </w:rPr>
            </w:pPr>
            <w:r>
              <w:rPr>
                <w:rFonts w:ascii="Arial" w:cs="Arial" w:eastAsia="Arial" w:hAnsi="Arial"/>
                <w:sz w:val="14"/>
                <w:szCs w:val="14"/>
                <w:b w:val="1"/>
                <w:bCs w:val="1"/>
                <w:color w:val="auto"/>
              </w:rPr>
              <w:t>Other 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Goodwill</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437,697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429,871</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Other intangible assets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53,076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59,806</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35,456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27,238</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17,181</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Cost: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Land</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r>
      <w:tr>
        <w:trPr>
          <w:trHeight w:val="211"/>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Buildings and improvements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98,228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95,355</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261,192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256,549</w:t>
            </w:r>
          </w:p>
        </w:tc>
      </w:tr>
      <w:tr>
        <w:trPr>
          <w:trHeight w:val="211"/>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Construction in progress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2,842</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370,999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360,555</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272,896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258,111</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1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98,103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102,444</w:t>
            </w:r>
          </w:p>
        </w:tc>
      </w:tr>
      <w:tr>
        <w:trPr>
          <w:trHeight w:val="191"/>
        </w:trPr>
        <w:tc>
          <w:tcPr>
            <w:tcW w:w="5960" w:type="dxa"/>
            <w:vAlign w:val="bottom"/>
            <w:gridSpan w:val="8"/>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1,050,223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1,043,964</w:t>
            </w: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21"/>
        </w:trPr>
        <w:tc>
          <w:tcPr>
            <w:tcW w:w="34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3560" w:type="dxa"/>
            <w:vAlign w:val="bottom"/>
            <w:tcBorders>
              <w:bottom w:val="single" w:sz="8" w:color="auto"/>
            </w:tcBorders>
            <w:gridSpan w:val="3"/>
            <w:shd w:val="clear" w:color="auto" w:fill="CCEEFF"/>
          </w:tcPr>
          <w:p>
            <w:pPr>
              <w:jc w:val="center"/>
              <w:ind w:right="20"/>
              <w:spacing w:after="0" w:line="121" w:lineRule="exact"/>
              <w:rPr>
                <w:sz w:val="20"/>
                <w:szCs w:val="20"/>
                <w:color w:val="auto"/>
              </w:rPr>
            </w:pPr>
            <w:r>
              <w:rPr>
                <w:rFonts w:ascii="Arial" w:cs="Arial" w:eastAsia="Arial" w:hAnsi="Arial"/>
                <w:sz w:val="14"/>
                <w:szCs w:val="14"/>
                <w:b w:val="1"/>
                <w:bCs w:val="1"/>
                <w:color w:val="auto"/>
                <w:shd w:val="clear" w:color="auto" w:fill="CCEEFF"/>
              </w:rPr>
              <w:t>LIABILITIES AND STOCKHOLDERS’ INVESTMENT</w:t>
            </w:r>
          </w:p>
        </w:tc>
        <w:tc>
          <w:tcPr>
            <w:tcW w:w="12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r>
      <w:tr>
        <w:trPr>
          <w:trHeight w:val="76"/>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99"/>
        </w:trPr>
        <w:tc>
          <w:tcPr>
            <w:tcW w:w="5960" w:type="dxa"/>
            <w:vAlign w:val="bottom"/>
            <w:gridSpan w:val="8"/>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Notes payable</w:t>
            </w:r>
          </w:p>
        </w:tc>
        <w:tc>
          <w:tcPr>
            <w:tcW w:w="1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4,928</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62,245</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color w:val="auto"/>
                <w:shd w:val="clear" w:color="auto" w:fill="CCEEFF"/>
              </w:rPr>
              <w:t>Wages and amounts withheld from employees</w:t>
            </w:r>
          </w:p>
        </w:tc>
        <w:tc>
          <w:tcPr>
            <w:tcW w:w="272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45,998</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Taxes, other than income taxes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7,403</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8"/>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40,017</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liabilities</w:t>
            </w:r>
          </w:p>
        </w:tc>
        <w:tc>
          <w:tcPr>
            <w:tcW w:w="326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187,198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166,727</w:t>
            </w:r>
          </w:p>
        </w:tc>
      </w:tr>
      <w:tr>
        <w:trPr>
          <w:trHeight w:val="211"/>
        </w:trPr>
        <w:tc>
          <w:tcPr>
            <w:tcW w:w="5960" w:type="dxa"/>
            <w:vAlign w:val="bottom"/>
            <w:gridSpan w:val="8"/>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211,982</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2"/>
                <w:shd w:val="clear" w:color="auto" w:fill="CCEEFF"/>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58,349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61,657</w:t>
            </w:r>
          </w:p>
        </w:tc>
      </w:tr>
      <w:tr>
        <w:trPr>
          <w:trHeight w:val="191"/>
        </w:trPr>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40" w:type="dxa"/>
            <w:vAlign w:val="bottom"/>
            <w:gridSpan w:val="6"/>
          </w:tcPr>
          <w:p>
            <w:pPr>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350,083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440,366</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Stockholders’ investment:</w:t>
            </w:r>
          </w:p>
        </w:tc>
        <w:tc>
          <w:tcPr>
            <w:tcW w:w="3260" w:type="dxa"/>
            <w:vAlign w:val="bottom"/>
            <w:tcBorders>
              <w:bottom w:val="single" w:sz="8" w:color="CCEEFF"/>
            </w:tcBorders>
            <w:gridSpan w:val="3"/>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3"/>
        </w:trPr>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34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Class A nonvoting common stock—Issued 51,261,487 and outstanding 47,814,818 and</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7"/>
        </w:trPr>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46,920,974 shares, respectively</w:t>
            </w:r>
          </w:p>
        </w:tc>
        <w:tc>
          <w:tcPr>
            <w:tcW w:w="326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211"/>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Class B voting common stock—Issued and outstanding, 3,538,628 shares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Additional paid-in capital</w:t>
            </w:r>
          </w:p>
        </w:tc>
        <w:tc>
          <w:tcPr>
            <w:tcW w:w="3260" w:type="dxa"/>
            <w:vAlign w:val="bottom"/>
            <w:tcBorders>
              <w:bottom w:val="single" w:sz="8" w:color="CCEEFF"/>
            </w:tcBorders>
            <w:gridSpan w:val="3"/>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322,608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317,001</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Earnings retained in the business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507,136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453,371</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562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Treasury stock—3,446,669 and 4,340,513 shares, respectively of Class A nonvoting common</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7"/>
        </w:trPr>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stock, at cost</w:t>
            </w:r>
          </w:p>
        </w:tc>
        <w:tc>
          <w:tcPr>
            <w:tcW w:w="4760" w:type="dxa"/>
            <w:vAlign w:val="bottom"/>
            <w:tcBorders>
              <w:bottom w:val="single" w:sz="8" w:color="CCEEFF"/>
            </w:tcBorders>
            <w:gridSpan w:val="4"/>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(108,714)</w:t>
            </w:r>
          </w:p>
        </w:tc>
      </w:tr>
      <w:tr>
        <w:trPr>
          <w:trHeight w:val="211"/>
        </w:trPr>
        <w:tc>
          <w:tcPr>
            <w:tcW w:w="5960" w:type="dxa"/>
            <w:vAlign w:val="bottom"/>
            <w:gridSpan w:val="8"/>
          </w:tcPr>
          <w:p>
            <w:pPr>
              <w:ind w:left="3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(54,745)</w:t>
            </w: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Other</w:t>
            </w:r>
          </w:p>
        </w:tc>
        <w:tc>
          <w:tcPr>
            <w:tcW w:w="4980" w:type="dxa"/>
            <w:vAlign w:val="bottom"/>
            <w:tcBorders>
              <w:bottom w:val="single" w:sz="8" w:color="CCEEFF"/>
            </w:tcBorders>
            <w:gridSpan w:val="5"/>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(3,863)</w:t>
            </w:r>
          </w:p>
        </w:tc>
      </w:tr>
      <w:tr>
        <w:trPr>
          <w:trHeight w:val="191"/>
        </w:trPr>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40" w:type="dxa"/>
            <w:vAlign w:val="bottom"/>
            <w:gridSpan w:val="6"/>
          </w:tcPr>
          <w:p>
            <w:pPr>
              <w:spacing w:after="0"/>
              <w:rPr>
                <w:sz w:val="20"/>
                <w:szCs w:val="20"/>
                <w:color w:val="auto"/>
              </w:rPr>
            </w:pPr>
            <w:r>
              <w:rPr>
                <w:rFonts w:ascii="Arial" w:cs="Arial" w:eastAsia="Arial" w:hAnsi="Arial"/>
                <w:sz w:val="14"/>
                <w:szCs w:val="14"/>
                <w:b w:val="1"/>
                <w:bCs w:val="1"/>
                <w:color w:val="auto"/>
              </w:rPr>
              <w:t>Total stockholders’ investment</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700,140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603,598</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6"/>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9"/>
                <w:shd w:val="clear" w:color="auto" w:fill="CCEEFF"/>
              </w:rPr>
              <w:t>Total</w:t>
            </w:r>
          </w:p>
        </w:tc>
        <w:tc>
          <w:tcPr>
            <w:tcW w:w="5620" w:type="dxa"/>
            <w:vAlign w:val="bottom"/>
            <w:tcBorders>
              <w:bottom w:val="single" w:sz="8" w:color="CCEEFF"/>
            </w:tcBorders>
            <w:gridSpan w:val="7"/>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1,050,223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1,043,964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ind w:right="2320"/>
        <w:spacing w:after="0" w:line="271" w:lineRule="auto"/>
        <w:rPr>
          <w:sz w:val="20"/>
          <w:szCs w:val="20"/>
          <w:color w:val="auto"/>
        </w:rPr>
      </w:pPr>
      <w:r>
        <w:rPr>
          <w:rFonts w:ascii="Arial" w:cs="Arial" w:eastAsia="Arial" w:hAnsi="Arial"/>
          <w:sz w:val="14"/>
          <w:szCs w:val="14"/>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5514975" cy="160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Stock-based compensation expense</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operating assets and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Inventories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payable and accrued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Other</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Payment of dividends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Purchase of treasury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Proceeds from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Repayment of borrowing on credit facilities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Principal 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Debt issuance costs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4"/>
          <w:szCs w:val="14"/>
          <w:color w:val="auto"/>
          <w:shd w:val="clear" w:color="auto" w:fill="CCEEFF"/>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Net (decrease) increase in cash and cash equivalents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8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97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19"/>
        <w:spacing w:after="0"/>
        <w:rPr>
          <w:sz w:val="20"/>
          <w:szCs w:val="20"/>
          <w:color w:val="auto"/>
        </w:rPr>
      </w:pPr>
      <w:r>
        <w:rPr>
          <w:rFonts w:ascii="Arial" w:cs="Arial" w:eastAsia="Arial" w:hAnsi="Arial"/>
          <w:sz w:val="14"/>
          <w:szCs w:val="14"/>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14249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2016</w:t>
            </w:r>
          </w:p>
        </w:tc>
      </w:tr>
      <w:tr>
        <w:trPr>
          <w:trHeight w:val="30"/>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44"/>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95,645</w:t>
            </w:r>
          </w:p>
        </w:tc>
        <w:tc>
          <w:tcPr>
            <w:tcW w:w="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80,110</w:t>
            </w:r>
          </w:p>
        </w:tc>
      </w:tr>
      <w:tr>
        <w:trPr>
          <w:trHeight w:val="482"/>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27,303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32,432</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9,495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8,154</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2,085</w:t>
            </w:r>
          </w:p>
        </w:tc>
      </w:tr>
      <w:tr>
        <w:trPr>
          <w:trHeight w:val="482"/>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8,159</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4,833</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475</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22,255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3,928</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30"/>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144,032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138,976</w:t>
            </w:r>
          </w:p>
        </w:tc>
      </w:tr>
      <w:tr>
        <w:trPr>
          <w:trHeight w:val="73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(17,140)</w:t>
            </w:r>
          </w:p>
        </w:tc>
      </w:tr>
    </w:tbl>
    <w:p>
      <w:pPr>
        <w:spacing w:after="0" w:line="58" w:lineRule="exact"/>
        <w:rPr>
          <w:sz w:val="20"/>
          <w:szCs w:val="20"/>
          <w:color w:val="auto"/>
        </w:rPr>
      </w:pPr>
    </w:p>
    <w:p>
      <w:pPr>
        <w:ind w:left="1840" w:hanging="1034"/>
        <w:spacing w:after="0"/>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1,724</w:t>
      </w:r>
    </w:p>
    <w:p>
      <w:pPr>
        <w:spacing w:after="0" w:line="8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(15,253)</w:t>
      </w:r>
      <w:r>
        <w:rPr>
          <w:rFonts w:ascii="Arial" w:cs="Arial" w:eastAsia="Arial" w:hAnsi="Arial"/>
          <w:sz w:val="13"/>
          <w:szCs w:val="13"/>
          <w:color w:val="auto"/>
        </w:rPr>
        <w:t>(15,416)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4249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560" w:type="dxa"/>
        <w:tblCellMar>
          <w:top w:w="0" w:type="dxa"/>
          <w:left w:w="0" w:type="dxa"/>
          <w:bottom w:w="0" w:type="dxa"/>
          <w:right w:w="0" w:type="dxa"/>
        </w:tblCellMar>
      </w:tblPr>
      <w:tr>
        <w:trPr>
          <w:trHeight w:val="183"/>
        </w:trPr>
        <w:tc>
          <w:tcPr>
            <w:tcW w:w="820" w:type="dxa"/>
            <w:vAlign w:val="bottom"/>
          </w:tcPr>
          <w:p>
            <w:pPr>
              <w:jc w:val="right"/>
              <w:ind w:right="268"/>
              <w:spacing w:after="0"/>
              <w:rPr>
                <w:sz w:val="20"/>
                <w:szCs w:val="20"/>
                <w:color w:val="auto"/>
              </w:rPr>
            </w:pPr>
            <w:r>
              <w:rPr>
                <w:rFonts w:ascii="Arial" w:cs="Arial" w:eastAsia="Arial" w:hAnsi="Arial"/>
                <w:sz w:val="14"/>
                <w:szCs w:val="14"/>
                <w:color w:val="auto"/>
                <w:w w:val="88"/>
              </w:rPr>
              <w:t>(41,880)</w:t>
            </w:r>
          </w:p>
        </w:tc>
        <w:tc>
          <w:tcPr>
            <w:tcW w:w="840" w:type="dxa"/>
            <w:vAlign w:val="bottom"/>
          </w:tcPr>
          <w:p>
            <w:pPr>
              <w:jc w:val="right"/>
              <w:spacing w:after="0"/>
              <w:rPr>
                <w:sz w:val="20"/>
                <w:szCs w:val="20"/>
                <w:color w:val="auto"/>
              </w:rPr>
            </w:pPr>
            <w:r>
              <w:rPr>
                <w:rFonts w:ascii="Arial" w:cs="Arial" w:eastAsia="Arial" w:hAnsi="Arial"/>
                <w:sz w:val="14"/>
                <w:szCs w:val="14"/>
                <w:color w:val="auto"/>
              </w:rPr>
              <w:t>(40,808)</w:t>
            </w:r>
          </w:p>
        </w:tc>
      </w:tr>
      <w:tr>
        <w:trPr>
          <w:trHeight w:val="241"/>
        </w:trPr>
        <w:tc>
          <w:tcPr>
            <w:tcW w:w="820" w:type="dxa"/>
            <w:vAlign w:val="bottom"/>
          </w:tcPr>
          <w:p>
            <w:pPr>
              <w:jc w:val="right"/>
              <w:ind w:right="308"/>
              <w:spacing w:after="0"/>
              <w:rPr>
                <w:sz w:val="20"/>
                <w:szCs w:val="20"/>
                <w:color w:val="auto"/>
              </w:rPr>
            </w:pPr>
            <w:r>
              <w:rPr>
                <w:rFonts w:ascii="Arial" w:cs="Arial" w:eastAsia="Arial" w:hAnsi="Arial"/>
                <w:sz w:val="14"/>
                <w:szCs w:val="14"/>
                <w:color w:val="auto"/>
                <w:w w:val="97"/>
              </w:rPr>
              <w:t>19,728</w:t>
            </w:r>
          </w:p>
        </w:tc>
        <w:tc>
          <w:tcPr>
            <w:tcW w:w="840" w:type="dxa"/>
            <w:vAlign w:val="bottom"/>
          </w:tcPr>
          <w:p>
            <w:pPr>
              <w:jc w:val="right"/>
              <w:spacing w:after="0"/>
              <w:rPr>
                <w:sz w:val="20"/>
                <w:szCs w:val="20"/>
                <w:color w:val="auto"/>
              </w:rPr>
            </w:pPr>
            <w:r>
              <w:rPr>
                <w:rFonts w:ascii="Arial" w:cs="Arial" w:eastAsia="Arial" w:hAnsi="Arial"/>
                <w:sz w:val="14"/>
                <w:szCs w:val="14"/>
                <w:color w:val="auto"/>
              </w:rPr>
              <w:t>5,246</w:t>
            </w:r>
          </w:p>
        </w:tc>
      </w:tr>
    </w:tbl>
    <w:p>
      <w:pPr>
        <w:spacing w:after="0" w:line="5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(23,552)</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180,320</w:t>
      </w:r>
      <w:r>
        <w:rPr>
          <w:rFonts w:ascii="Arial" w:cs="Arial" w:eastAsia="Arial" w:hAnsi="Arial"/>
          <w:sz w:val="12"/>
          <w:szCs w:val="12"/>
          <w:color w:val="auto"/>
        </w:rPr>
        <w:t>96,276</w:t>
      </w:r>
    </w:p>
    <w:p>
      <w:pPr>
        <w:spacing w:after="0" w:line="80"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3"/>
          <w:szCs w:val="13"/>
          <w:color w:val="auto"/>
        </w:rPr>
        <w:t>(244,268)</w:t>
      </w:r>
      <w:r>
        <w:rPr>
          <w:sz w:val="20"/>
          <w:szCs w:val="20"/>
          <w:color w:val="auto"/>
        </w:rPr>
        <w:tab/>
      </w:r>
      <w:r>
        <w:rPr>
          <w:rFonts w:ascii="Arial" w:cs="Arial" w:eastAsia="Arial" w:hAnsi="Arial"/>
          <w:sz w:val="13"/>
          <w:szCs w:val="13"/>
          <w:color w:val="auto"/>
        </w:rPr>
        <w:t>(91,759)</w:t>
      </w:r>
    </w:p>
    <w:p>
      <w:pPr>
        <w:spacing w:after="0" w:line="92"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3"/>
          <w:szCs w:val="13"/>
          <w:color w:val="auto"/>
        </w:rPr>
        <w:t>(49,302)</w:t>
      </w:r>
      <w:r>
        <w:rPr>
          <w:sz w:val="20"/>
          <w:szCs w:val="20"/>
          <w:color w:val="auto"/>
        </w:rPr>
        <w:tab/>
      </w:r>
      <w:r>
        <w:rPr>
          <w:rFonts w:ascii="Arial" w:cs="Arial" w:eastAsia="Arial" w:hAnsi="Arial"/>
          <w:sz w:val="13"/>
          <w:szCs w:val="13"/>
          <w:color w:val="auto"/>
        </w:rPr>
        <w:t>(42,514)</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(803)</w:t>
      </w:r>
    </w:p>
    <w:p>
      <w:pPr>
        <w:spacing w:after="0" w:line="80" w:lineRule="exact"/>
        <w:rPr>
          <w:sz w:val="20"/>
          <w:szCs w:val="20"/>
          <w:color w:val="auto"/>
        </w:rPr>
      </w:pPr>
    </w:p>
    <w:p>
      <w:pPr>
        <w:ind w:left="1800" w:hanging="1066"/>
        <w:spacing w:after="0"/>
        <w:tabs>
          <w:tab w:leader="none" w:pos="1800" w:val="left"/>
        </w:tabs>
        <w:numPr>
          <w:ilvl w:val="0"/>
          <w:numId w:val="6"/>
        </w:numPr>
        <w:rPr>
          <w:rFonts w:ascii="Arial" w:cs="Arial" w:eastAsia="Arial" w:hAnsi="Arial"/>
          <w:sz w:val="13"/>
          <w:szCs w:val="13"/>
          <w:color w:val="auto"/>
        </w:rPr>
      </w:pPr>
      <w:r>
        <w:rPr>
          <w:rFonts w:ascii="Arial" w:cs="Arial" w:eastAsia="Arial" w:hAnsi="Arial"/>
          <w:sz w:val="13"/>
          <w:szCs w:val="13"/>
          <w:color w:val="auto"/>
        </w:rPr>
        <w:t>(1,662)</w:t>
      </w:r>
    </w:p>
    <w:p>
      <w:pPr>
        <w:spacing w:after="0" w:line="92"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3"/>
          <w:szCs w:val="13"/>
          <w:color w:val="auto"/>
        </w:rPr>
        <w:t>(136,241)</w:t>
      </w:r>
      <w:r>
        <w:rPr>
          <w:sz w:val="20"/>
          <w:szCs w:val="20"/>
          <w:color w:val="auto"/>
        </w:rPr>
        <w:tab/>
      </w:r>
      <w:r>
        <w:rPr>
          <w:rFonts w:ascii="Arial" w:cs="Arial" w:eastAsia="Arial" w:hAnsi="Arial"/>
          <w:sz w:val="13"/>
          <w:szCs w:val="13"/>
          <w:color w:val="auto"/>
        </w:rPr>
        <w:t>(99,576)</w:t>
      </w:r>
    </w:p>
    <w:p>
      <w:pPr>
        <w:spacing w:after="0" w:line="345"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14"/>
          <w:szCs w:val="14"/>
          <w:color w:val="auto"/>
        </w:rPr>
        <w:t>178</w:t>
      </w:r>
      <w:r>
        <w:rPr>
          <w:sz w:val="20"/>
          <w:szCs w:val="20"/>
          <w:color w:val="auto"/>
        </w:rPr>
        <w:tab/>
      </w:r>
      <w:r>
        <w:rPr>
          <w:rFonts w:ascii="Arial" w:cs="Arial" w:eastAsia="Arial" w:hAnsi="Arial"/>
          <w:sz w:val="14"/>
          <w:szCs w:val="14"/>
          <w:color w:val="auto"/>
        </w:rPr>
        <w:t>2,752</w:t>
      </w:r>
    </w:p>
    <w:p>
      <w:pPr>
        <w:spacing w:after="0" w:line="334"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4"/>
          <w:szCs w:val="14"/>
          <w:color w:val="auto"/>
        </w:rPr>
        <w:t>(7,284)</w:t>
      </w:r>
      <w:r>
        <w:rPr>
          <w:sz w:val="20"/>
          <w:szCs w:val="20"/>
          <w:color w:val="auto"/>
        </w:rPr>
        <w:tab/>
      </w:r>
      <w:r>
        <w:rPr>
          <w:rFonts w:ascii="Arial" w:cs="Arial" w:eastAsia="Arial" w:hAnsi="Arial"/>
          <w:sz w:val="14"/>
          <w:szCs w:val="14"/>
          <w:color w:val="auto"/>
        </w:rPr>
        <w:t>26,736</w:t>
      </w:r>
    </w:p>
    <w:p>
      <w:pPr>
        <w:spacing w:after="0" w:line="80"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4"/>
          <w:szCs w:val="14"/>
          <w:color w:val="auto"/>
        </w:rPr>
        <w:t>141,228</w:t>
      </w:r>
      <w:r>
        <w:rPr>
          <w:sz w:val="20"/>
          <w:szCs w:val="20"/>
          <w:color w:val="auto"/>
        </w:rPr>
        <w:tab/>
      </w:r>
      <w:r>
        <w:rPr>
          <w:rFonts w:ascii="Arial" w:cs="Arial" w:eastAsia="Arial" w:hAnsi="Arial"/>
          <w:sz w:val="14"/>
          <w:szCs w:val="14"/>
          <w:color w:val="auto"/>
        </w:rPr>
        <w:t>114,492</w:t>
      </w:r>
    </w:p>
    <w:p>
      <w:pPr>
        <w:spacing w:after="0" w:line="200" w:lineRule="exact"/>
        <w:rPr>
          <w:sz w:val="20"/>
          <w:szCs w:val="20"/>
          <w:color w:val="auto"/>
        </w:rPr>
      </w:pPr>
    </w:p>
    <w:p>
      <w:pPr>
        <w:sectPr>
          <w:pgSz w:w="11900" w:h="16838" w:orient="portrait"/>
          <w:cols w:equalWidth="0" w:num="2">
            <w:col w:w="5720" w:space="720"/>
            <w:col w:w="3779"/>
          </w:cols>
          <w:pgMar w:left="240" w:top="537" w:right="1440" w:bottom="1440" w:gutter="0" w:footer="0" w:header="0"/>
        </w:sectPr>
      </w:pPr>
    </w:p>
    <w:p>
      <w:pPr>
        <w:spacing w:after="0" w:line="134" w:lineRule="exact"/>
        <w:rPr>
          <w:sz w:val="20"/>
          <w:szCs w:val="20"/>
          <w:color w:val="auto"/>
        </w:rPr>
      </w:pPr>
    </w:p>
    <w:p>
      <w:pPr>
        <w:ind w:left="20"/>
        <w:spacing w:after="0"/>
        <w:tabs>
          <w:tab w:leader="none" w:pos="6440" w:val="left"/>
          <w:tab w:leader="none" w:pos="6940" w:val="left"/>
          <w:tab w:leader="none" w:pos="7620" w:val="left"/>
          <w:tab w:leader="none" w:pos="8120" w:val="left"/>
        </w:tabs>
        <w:rPr>
          <w:sz w:val="20"/>
          <w:szCs w:val="20"/>
          <w:color w:val="auto"/>
        </w:rPr>
      </w:pPr>
      <w:r>
        <w:rPr>
          <w:rFonts w:ascii="Arial" w:cs="Arial" w:eastAsia="Arial" w:hAnsi="Arial"/>
          <w:sz w:val="14"/>
          <w:szCs w:val="14"/>
          <w:color w:val="auto"/>
        </w:rPr>
        <w:t>Cash and cash equivalents, end of period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133,944</w:t>
        <w:tab/>
        <w:t>$</w:t>
      </w:r>
      <w:r>
        <w:rPr>
          <w:sz w:val="20"/>
          <w:szCs w:val="20"/>
          <w:color w:val="auto"/>
        </w:rPr>
        <w:tab/>
      </w:r>
      <w:r>
        <w:rPr>
          <w:rFonts w:ascii="Arial" w:cs="Arial" w:eastAsia="Arial" w:hAnsi="Arial"/>
          <w:sz w:val="12"/>
          <w:szCs w:val="12"/>
          <w:color w:val="auto"/>
        </w:rPr>
        <w:t>141,228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33020</wp:posOffset>
            </wp:positionV>
            <wp:extent cx="142494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4940" cy="22860"/>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color w:val="auto"/>
              </w:rPr>
              <w:t>Three months ended July 31,</w:t>
            </w:r>
          </w:p>
        </w:tc>
        <w:tc>
          <w:tcPr>
            <w:tcW w:w="240" w:type="dxa"/>
            <w:vAlign w:val="bottom"/>
          </w:tcPr>
          <w:p>
            <w:pPr>
              <w:spacing w:after="0"/>
              <w:rPr>
                <w:sz w:val="15"/>
                <w:szCs w:val="15"/>
                <w:color w:val="auto"/>
              </w:rPr>
            </w:pPr>
          </w:p>
        </w:tc>
        <w:tc>
          <w:tcPr>
            <w:tcW w:w="2160" w:type="dxa"/>
            <w:vAlign w:val="bottom"/>
            <w:gridSpan w:val="4"/>
          </w:tcPr>
          <w:p>
            <w:pPr>
              <w:jc w:val="right"/>
              <w:ind w:right="548"/>
              <w:spacing w:after="0"/>
              <w:rPr>
                <w:sz w:val="20"/>
                <w:szCs w:val="20"/>
                <w:color w:val="auto"/>
              </w:rPr>
            </w:pPr>
            <w:r>
              <w:rPr>
                <w:rFonts w:ascii="Arial" w:cs="Arial" w:eastAsia="Arial" w:hAnsi="Arial"/>
                <w:sz w:val="14"/>
                <w:szCs w:val="14"/>
                <w:color w:val="auto"/>
              </w:rPr>
              <w:t>Year ended July 31,</w:t>
            </w:r>
          </w:p>
        </w:tc>
      </w:tr>
      <w:tr>
        <w:trPr>
          <w:trHeight w:val="30"/>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2016</w:t>
            </w:r>
          </w:p>
        </w:tc>
      </w:tr>
      <w:tr>
        <w:trPr>
          <w:trHeight w:val="30"/>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211,286</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203,229</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800,392</w:t>
            </w:r>
          </w:p>
        </w:tc>
        <w:tc>
          <w:tcPr>
            <w:tcW w:w="10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795,511</w:t>
            </w:r>
          </w:p>
        </w:tc>
      </w:tr>
      <w:tr>
        <w:trPr>
          <w:trHeight w:val="30"/>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77,926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78,877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312,924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325,114</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289,212</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282,106</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1,113,316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1,120,625</w:t>
            </w:r>
          </w:p>
        </w:tc>
      </w:tr>
      <w:tr>
        <w:trPr>
          <w:trHeight w:val="70"/>
        </w:trPr>
        <w:tc>
          <w:tcPr>
            <w:tcW w:w="3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29"/>
        </w:trPr>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99735" cy="15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Organic</w:t>
            </w:r>
          </w:p>
        </w:tc>
        <w:tc>
          <w:tcPr>
            <w:tcW w:w="114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30"/>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8"/>
                <w:shd w:val="clear" w:color="auto" w:fill="CCEEFF"/>
              </w:rPr>
              <w:t>Currency</w:t>
            </w:r>
          </w:p>
        </w:tc>
        <w:tc>
          <w:tcPr>
            <w:tcW w:w="14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70"/>
        </w:trPr>
        <w:tc>
          <w:tcPr>
            <w:tcW w:w="9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45"/>
        </w:trPr>
        <w:tc>
          <w:tcPr>
            <w:tcW w:w="10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7"/>
                <w:shd w:val="clear" w:color="auto" w:fill="CCEEFF"/>
              </w:rPr>
              <w:t>Workplace Safety</w:t>
            </w:r>
          </w:p>
        </w:tc>
        <w:tc>
          <w:tcPr>
            <w:tcW w:w="2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72"/>
        </w:trPr>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1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Organic</w:t>
            </w: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30"/>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8"/>
                <w:shd w:val="clear" w:color="auto" w:fill="CCEEFF"/>
              </w:rPr>
              <w:t>Currency</w:t>
            </w:r>
          </w:p>
        </w:tc>
        <w:tc>
          <w:tcPr>
            <w:tcW w:w="2860" w:type="dxa"/>
            <w:vAlign w:val="bottom"/>
            <w:tcBorders>
              <w:bottom w:val="single" w:sz="8" w:color="CCEEFF"/>
            </w:tcBorders>
            <w:gridSpan w:val="2"/>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70"/>
        </w:trPr>
        <w:tc>
          <w:tcPr>
            <w:tcW w:w="9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45"/>
        </w:trPr>
        <w:tc>
          <w:tcPr>
            <w:tcW w:w="9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6"/>
                <w:shd w:val="clear" w:color="auto" w:fill="CCEEFF"/>
              </w:rPr>
              <w:t>Total Company</w:t>
            </w:r>
          </w:p>
        </w:tc>
        <w:tc>
          <w:tcPr>
            <w:tcW w:w="2860" w:type="dxa"/>
            <w:vAlign w:val="bottom"/>
            <w:gridSpan w:val="2"/>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72"/>
        </w:trPr>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1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Organic</w:t>
            </w:r>
          </w:p>
        </w:tc>
        <w:tc>
          <w:tcPr>
            <w:tcW w:w="11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30"/>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8"/>
                <w:shd w:val="clear" w:color="auto" w:fill="CCEEFF"/>
              </w:rPr>
              <w:t>Currency</w:t>
            </w:r>
          </w:p>
        </w:tc>
        <w:tc>
          <w:tcPr>
            <w:tcW w:w="2860" w:type="dxa"/>
            <w:vAlign w:val="bottom"/>
            <w:tcBorders>
              <w:bottom w:val="single" w:sz="8" w:color="CCEEFF"/>
            </w:tcBorders>
            <w:gridSpan w:val="2"/>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70"/>
        </w:trPr>
        <w:tc>
          <w:tcPr>
            <w:tcW w:w="9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29"/>
        </w:trPr>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ID Solutions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35,896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31,891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130,572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112,276</w:t>
            </w:r>
          </w:p>
        </w:tc>
      </w:tr>
      <w:tr>
        <w:trPr>
          <w:trHeight w:val="211"/>
        </w:trPr>
        <w:tc>
          <w:tcPr>
            <w:tcW w:w="3780" w:type="dxa"/>
            <w:vAlign w:val="bottom"/>
            <w:gridSpan w:val="3"/>
          </w:tcPr>
          <w:p>
            <w:pPr>
              <w:ind w:left="340"/>
              <w:spacing w:after="0"/>
              <w:rPr>
                <w:sz w:val="20"/>
                <w:szCs w:val="20"/>
                <w:color w:val="auto"/>
              </w:rPr>
            </w:pPr>
            <w:r>
              <w:rPr>
                <w:rFonts w:ascii="Arial" w:cs="Arial" w:eastAsia="Arial" w:hAnsi="Arial"/>
                <w:sz w:val="14"/>
                <w:szCs w:val="14"/>
                <w:color w:val="auto"/>
              </w:rPr>
              <w:t>Workplace Safety</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9,102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25,554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30,792</w:t>
            </w: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43,835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40,993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156,126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143,068</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SEGMENT PROFIT AS A PERCENT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5499735" cy="15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segment profit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Unallocated amounts: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Administrative costs</w:t>
      </w:r>
    </w:p>
    <w:p>
      <w:pPr>
        <w:spacing w:after="0" w:line="8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Investment and other income (expense)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Interest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before income taxes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14.1 %</w:t>
            </w:r>
          </w:p>
        </w:tc>
      </w:tr>
      <w:tr>
        <w:trPr>
          <w:trHeight w:val="241"/>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9.5 %</w:t>
            </w:r>
          </w:p>
        </w:tc>
      </w:tr>
      <w:tr>
        <w:trPr>
          <w:trHeight w:val="30"/>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12.8 %</w:t>
            </w:r>
          </w:p>
        </w:tc>
      </w:tr>
      <w:tr>
        <w:trPr>
          <w:trHeight w:val="30"/>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tcPr>
          <w:p>
            <w:pPr>
              <w:ind w:left="140"/>
              <w:spacing w:after="0"/>
              <w:rPr>
                <w:sz w:val="20"/>
                <w:szCs w:val="20"/>
                <w:color w:val="auto"/>
              </w:rPr>
            </w:pPr>
            <w:r>
              <w:rPr>
                <w:rFonts w:ascii="Arial" w:cs="Arial" w:eastAsia="Arial" w:hAnsi="Arial"/>
                <w:sz w:val="14"/>
                <w:szCs w:val="14"/>
                <w:color w:val="auto"/>
              </w:rPr>
              <w:t>Three months ended July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28"/>
              <w:spacing w:after="0"/>
              <w:rPr>
                <w:sz w:val="20"/>
                <w:szCs w:val="20"/>
                <w:color w:val="auto"/>
              </w:rPr>
            </w:pPr>
            <w:r>
              <w:rPr>
                <w:rFonts w:ascii="Arial" w:cs="Arial" w:eastAsia="Arial" w:hAnsi="Arial"/>
                <w:sz w:val="14"/>
                <w:szCs w:val="14"/>
                <w:color w:val="auto"/>
              </w:rPr>
              <w:t>Year ended July 31,</w:t>
            </w:r>
          </w:p>
        </w:tc>
      </w:tr>
      <w:tr>
        <w:trPr>
          <w:trHeight w:val="30"/>
        </w:trPr>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r>
      <w:tr>
        <w:trPr>
          <w:trHeight w:val="30"/>
        </w:trPr>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43,835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40,993</w:t>
            </w:r>
          </w:p>
        </w:tc>
        <w:tc>
          <w:tcPr>
            <w:tcW w:w="8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156,126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143,068</w:t>
            </w:r>
          </w:p>
        </w:tc>
      </w:tr>
      <w:tr>
        <w:trPr>
          <w:trHeight w:val="48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(7,540)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(7,590)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(25,190)</w:t>
            </w:r>
          </w:p>
        </w:tc>
      </w:tr>
      <w:tr>
        <w:trPr>
          <w:trHeight w:val="241"/>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241"/>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(939)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(7,824)</w:t>
            </w:r>
          </w:p>
        </w:tc>
      </w:tr>
      <w:tr>
        <w:trPr>
          <w:trHeight w:val="30"/>
        </w:trPr>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35,917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32,019</w:t>
            </w:r>
          </w:p>
        </w:tc>
        <w:tc>
          <w:tcPr>
            <w:tcW w:w="8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126,632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109,345</w:t>
            </w:r>
          </w:p>
        </w:tc>
      </w:tr>
      <w:tr>
        <w:trPr>
          <w:trHeight w:val="30"/>
        </w:trPr>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-1630680</wp:posOffset>
            </wp:positionV>
            <wp:extent cx="5499735" cy="160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-941705</wp:posOffset>
            </wp:positionV>
            <wp:extent cx="5507355" cy="153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-635000</wp:posOffset>
            </wp:positionV>
            <wp:extent cx="5507355" cy="15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-328930</wp:posOffset>
            </wp:positionV>
            <wp:extent cx="5507355" cy="153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ectPr>
          <w:pgSz w:w="11900" w:h="16838" w:orient="portrait"/>
          <w:cols w:equalWidth="0" w:num="2">
            <w:col w:w="3060" w:space="720"/>
            <w:col w:w="6439"/>
          </w:cols>
          <w:pgMar w:left="240" w:top="537" w:right="1440"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 438-6887</w:t>
      </w:r>
    </w:p>
    <w:p>
      <w:pPr>
        <w:spacing w:after="0"/>
        <w:rPr>
          <w:sz w:val="20"/>
          <w:szCs w:val="20"/>
          <w:color w:val="auto"/>
        </w:rPr>
      </w:pPr>
      <w:r>
        <w:rPr>
          <w:rFonts w:ascii="Arial" w:cs="Arial" w:eastAsia="Arial" w:hAnsi="Arial"/>
          <w:sz w:val="18"/>
          <w:szCs w:val="18"/>
          <w:color w:val="auto"/>
        </w:rPr>
        <w:t>Media Contact: Kate Venne (414) 358-5176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its dividend to shareholders for the 32nd consecutive year</w:t>
      </w:r>
    </w:p>
    <w:p>
      <w:pPr>
        <w:spacing w:after="0" w:line="245" w:lineRule="exact"/>
        <w:rPr>
          <w:sz w:val="20"/>
          <w:szCs w:val="20"/>
          <w:color w:val="auto"/>
        </w:rPr>
      </w:pPr>
    </w:p>
    <w:p>
      <w:pPr>
        <w:ind w:right="440"/>
        <w:spacing w:after="0" w:line="349" w:lineRule="auto"/>
        <w:rPr>
          <w:sz w:val="20"/>
          <w:szCs w:val="20"/>
          <w:color w:val="auto"/>
        </w:rPr>
      </w:pPr>
      <w:r>
        <w:rPr>
          <w:rFonts w:ascii="Arial" w:cs="Arial" w:eastAsia="Arial" w:hAnsi="Arial"/>
          <w:sz w:val="17"/>
          <w:szCs w:val="17"/>
          <w:color w:val="auto"/>
        </w:rPr>
        <w:t>MILWAUKEE (September 6, 2017) - On September 6, 2017, Brady Corporation’s (NYSE: BRC) Board of Directors announced an increase in its annual dividend to shareholders of the Company’s Class A Common stock from $0.82 per share to $0.83 per share. A quarterly dividend to shareholders of the company's Class A Common Stock of $0.2075 per share will be paid on October 31, 2017, to shareholders of record at the close of business on October 10, 2017. This dividend represents the 32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consecutive annual increase in dividends.</w:t>
      </w:r>
    </w:p>
    <w:p>
      <w:pPr>
        <w:spacing w:after="0" w:line="2" w:lineRule="exact"/>
        <w:rPr>
          <w:sz w:val="20"/>
          <w:szCs w:val="20"/>
          <w:color w:val="auto"/>
        </w:rPr>
      </w:pPr>
    </w:p>
    <w:p>
      <w:pPr>
        <w:ind w:right="10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2016, employed approximately 6,500 people in its worldwide businesses. Brady’s fiscal 2016 sales were approximately $1.12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9" w:right="2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86"/>
    </w:lvl>
  </w:abstractNum>
  <w:abstractNum w:abstractNumId="3">
    <w:nsid w:val="46E87CCD"/>
    <w:multiLevelType w:val="hybridMultilevel"/>
    <w:lvl w:ilvl="0">
      <w:lvlJc w:val="left"/>
      <w:lvlText w:val="\emdash "/>
      <w:numFmt w:val="bullet"/>
      <w:start w:val="1"/>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1)"/>
      <w:numFmt w:val="decimal"/>
      <w:start w:val="83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2019-12-29T05:15:20Z</dcterms:created>
  <dcterms:modified xsi:type="dcterms:W3CDTF">2019-12-29T05:15:20Z</dcterms:modified>
</cp:coreProperties>
</file>