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2765425</wp:posOffset>
            </wp:positionH>
            <wp:positionV relativeFrom="paragraph">
              <wp:posOffset>51435</wp:posOffset>
            </wp:positionV>
            <wp:extent cx="15862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86230" cy="8255"/>
                    </a:xfrm>
                    <a:prstGeom prst="rect">
                      <a:avLst/>
                    </a:prstGeom>
                    <a:noFill/>
                  </pic:spPr>
                </pic:pic>
              </a:graphicData>
            </a:graphic>
          </wp:anchor>
        </w:drawing>
      </w:r>
    </w:p>
    <w:p>
      <w:pPr>
        <w:spacing w:after="0" w:line="2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2765425</wp:posOffset>
            </wp:positionH>
            <wp:positionV relativeFrom="paragraph">
              <wp:posOffset>87630</wp:posOffset>
            </wp:positionV>
            <wp:extent cx="15862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86230" cy="8255"/>
                    </a:xfrm>
                    <a:prstGeom prst="rect">
                      <a:avLst/>
                    </a:prstGeom>
                    <a:noFill/>
                  </pic:spPr>
                </pic:pic>
              </a:graphicData>
            </a:graphic>
          </wp:anchor>
        </w:drawing>
      </w:r>
    </w:p>
    <w:p>
      <w:pPr>
        <w:spacing w:after="0" w:line="2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CURRENT REPORT</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1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August 3,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2765425</wp:posOffset>
            </wp:positionH>
            <wp:positionV relativeFrom="paragraph">
              <wp:posOffset>64770</wp:posOffset>
            </wp:positionV>
            <wp:extent cx="15862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86230" cy="8255"/>
                    </a:xfrm>
                    <a:prstGeom prst="rect">
                      <a:avLst/>
                    </a:prstGeom>
                    <a:noFill/>
                  </pic:spPr>
                </pic:pic>
              </a:graphicData>
            </a:graphic>
          </wp:anchor>
        </w:drawing>
      </w:r>
    </w:p>
    <w:p>
      <w:pPr>
        <w:spacing w:after="0" w:line="2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BRADY CORPORATION</w:t>
      </w:r>
    </w:p>
    <w:p>
      <w:pPr>
        <w:spacing w:after="0" w:line="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2765425</wp:posOffset>
            </wp:positionH>
            <wp:positionV relativeFrom="paragraph">
              <wp:posOffset>55880</wp:posOffset>
            </wp:positionV>
            <wp:extent cx="158623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86230" cy="8255"/>
                    </a:xfrm>
                    <a:prstGeom prst="rect">
                      <a:avLst/>
                    </a:prstGeom>
                    <a:noFill/>
                  </pic:spPr>
                </pic:pic>
              </a:graphicData>
            </a:graphic>
          </wp:anchor>
        </w:drawing>
      </w:r>
    </w:p>
    <w:p>
      <w:pPr>
        <w:spacing w:after="0" w:line="289" w:lineRule="exact"/>
        <w:rPr>
          <w:sz w:val="24"/>
          <w:szCs w:val="24"/>
          <w:color w:val="auto"/>
        </w:rPr>
      </w:pPr>
    </w:p>
    <w:tbl>
      <w:tblPr>
        <w:tblLayout w:type="fixed"/>
        <w:tblInd w:w="900" w:type="dxa"/>
        <w:tblCellMar>
          <w:top w:w="0" w:type="dxa"/>
          <w:left w:w="0" w:type="dxa"/>
          <w:bottom w:w="0" w:type="dxa"/>
          <w:right w:w="0" w:type="dxa"/>
        </w:tblCellMar>
      </w:tblPr>
      <w:tr>
        <w:trPr>
          <w:trHeight w:val="238"/>
        </w:trPr>
        <w:tc>
          <w:tcPr>
            <w:tcW w:w="6460" w:type="dxa"/>
            <w:vAlign w:val="bottom"/>
            <w:gridSpan w:val="3"/>
          </w:tcPr>
          <w:p>
            <w:pPr>
              <w:jc w:val="center"/>
              <w:ind w:left="2917"/>
              <w:spacing w:after="0"/>
              <w:rPr>
                <w:sz w:val="20"/>
                <w:szCs w:val="20"/>
                <w:color w:val="auto"/>
              </w:rPr>
            </w:pPr>
            <w:r>
              <w:rPr>
                <w:rFonts w:ascii="Times New Roman" w:cs="Times New Roman" w:eastAsia="Times New Roman" w:hAnsi="Times New Roman"/>
                <w:sz w:val="18"/>
                <w:szCs w:val="18"/>
                <w:b w:val="1"/>
                <w:bCs w:val="1"/>
                <w:color w:val="auto"/>
              </w:rPr>
              <w:t>Commission File Number 1-14959</w:t>
            </w:r>
          </w:p>
        </w:tc>
        <w:tc>
          <w:tcPr>
            <w:tcW w:w="2220" w:type="dxa"/>
            <w:vAlign w:val="bottom"/>
          </w:tcPr>
          <w:p>
            <w:pPr>
              <w:spacing w:after="0"/>
              <w:rPr>
                <w:sz w:val="20"/>
                <w:szCs w:val="20"/>
                <w:color w:val="auto"/>
              </w:rPr>
            </w:pPr>
          </w:p>
        </w:tc>
      </w:tr>
      <w:tr>
        <w:trPr>
          <w:trHeight w:val="394"/>
        </w:trPr>
        <w:tc>
          <w:tcPr>
            <w:tcW w:w="6460" w:type="dxa"/>
            <w:vAlign w:val="bottom"/>
            <w:gridSpan w:val="3"/>
          </w:tcPr>
          <w:p>
            <w:pPr>
              <w:jc w:val="center"/>
              <w:ind w:right="2760"/>
              <w:spacing w:after="0"/>
              <w:rPr>
                <w:sz w:val="20"/>
                <w:szCs w:val="20"/>
                <w:color w:val="auto"/>
              </w:rPr>
            </w:pPr>
            <w:r>
              <w:rPr>
                <w:rFonts w:ascii="Times New Roman" w:cs="Times New Roman" w:eastAsia="Times New Roman" w:hAnsi="Times New Roman"/>
                <w:sz w:val="18"/>
                <w:szCs w:val="18"/>
                <w:b w:val="1"/>
                <w:bCs w:val="1"/>
                <w:color w:val="auto"/>
                <w:w w:val="98"/>
              </w:rPr>
              <w:t>Wisconsin</w:t>
            </w:r>
          </w:p>
        </w:tc>
        <w:tc>
          <w:tcPr>
            <w:tcW w:w="2220" w:type="dxa"/>
            <w:vAlign w:val="bottom"/>
          </w:tcPr>
          <w:p>
            <w:pPr>
              <w:jc w:val="right"/>
              <w:ind w:right="539"/>
              <w:spacing w:after="0"/>
              <w:rPr>
                <w:sz w:val="20"/>
                <w:szCs w:val="20"/>
                <w:color w:val="auto"/>
              </w:rPr>
            </w:pPr>
            <w:r>
              <w:rPr>
                <w:rFonts w:ascii="Times New Roman" w:cs="Times New Roman" w:eastAsia="Times New Roman" w:hAnsi="Times New Roman"/>
                <w:sz w:val="18"/>
                <w:szCs w:val="18"/>
                <w:b w:val="1"/>
                <w:bCs w:val="1"/>
                <w:color w:val="auto"/>
              </w:rPr>
              <w:t>39-0178960</w:t>
            </w:r>
          </w:p>
        </w:tc>
      </w:tr>
      <w:tr>
        <w:trPr>
          <w:trHeight w:val="190"/>
        </w:trPr>
        <w:tc>
          <w:tcPr>
            <w:tcW w:w="6460" w:type="dxa"/>
            <w:vAlign w:val="bottom"/>
            <w:gridSpan w:val="3"/>
          </w:tcPr>
          <w:p>
            <w:pPr>
              <w:jc w:val="center"/>
              <w:ind w:right="2740"/>
              <w:spacing w:after="0"/>
              <w:rPr>
                <w:sz w:val="20"/>
                <w:szCs w:val="20"/>
                <w:color w:val="auto"/>
              </w:rPr>
            </w:pPr>
            <w:r>
              <w:rPr>
                <w:rFonts w:ascii="Times New Roman" w:cs="Times New Roman" w:eastAsia="Times New Roman" w:hAnsi="Times New Roman"/>
                <w:sz w:val="14"/>
                <w:szCs w:val="14"/>
                <w:b w:val="1"/>
                <w:bCs w:val="1"/>
                <w:color w:val="auto"/>
              </w:rPr>
              <w:t>(State or other jurisdiction of incorporation or organization)</w:t>
            </w:r>
          </w:p>
        </w:tc>
        <w:tc>
          <w:tcPr>
            <w:tcW w:w="2220" w:type="dxa"/>
            <w:vAlign w:val="bottom"/>
          </w:tcPr>
          <w:p>
            <w:pPr>
              <w:jc w:val="center"/>
              <w:ind w:left="39"/>
              <w:spacing w:after="0"/>
              <w:rPr>
                <w:sz w:val="20"/>
                <w:szCs w:val="20"/>
                <w:color w:val="auto"/>
              </w:rPr>
            </w:pPr>
            <w:r>
              <w:rPr>
                <w:rFonts w:ascii="Times New Roman" w:cs="Times New Roman" w:eastAsia="Times New Roman" w:hAnsi="Times New Roman"/>
                <w:sz w:val="14"/>
                <w:szCs w:val="14"/>
                <w:b w:val="1"/>
                <w:bCs w:val="1"/>
                <w:color w:val="auto"/>
              </w:rPr>
              <w:t>(IRS Employer Identification No.)</w:t>
            </w:r>
          </w:p>
        </w:tc>
      </w:tr>
      <w:tr>
        <w:trPr>
          <w:trHeight w:val="406"/>
        </w:trPr>
        <w:tc>
          <w:tcPr>
            <w:tcW w:w="3460" w:type="dxa"/>
            <w:vAlign w:val="bottom"/>
          </w:tcPr>
          <w:p>
            <w:pPr>
              <w:spacing w:after="0"/>
              <w:rPr>
                <w:sz w:val="24"/>
                <w:szCs w:val="24"/>
                <w:color w:val="auto"/>
              </w:rPr>
            </w:pPr>
          </w:p>
        </w:tc>
        <w:tc>
          <w:tcPr>
            <w:tcW w:w="300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6555 West Good Hope Road</w:t>
            </w:r>
          </w:p>
        </w:tc>
        <w:tc>
          <w:tcPr>
            <w:tcW w:w="2220" w:type="dxa"/>
            <w:vAlign w:val="bottom"/>
          </w:tcPr>
          <w:p>
            <w:pPr>
              <w:spacing w:after="0"/>
              <w:rPr>
                <w:sz w:val="24"/>
                <w:szCs w:val="24"/>
                <w:color w:val="auto"/>
              </w:rPr>
            </w:pPr>
          </w:p>
        </w:tc>
      </w:tr>
      <w:tr>
        <w:trPr>
          <w:trHeight w:val="214"/>
        </w:trPr>
        <w:tc>
          <w:tcPr>
            <w:tcW w:w="3460" w:type="dxa"/>
            <w:vAlign w:val="bottom"/>
          </w:tcPr>
          <w:p>
            <w:pPr>
              <w:spacing w:after="0"/>
              <w:rPr>
                <w:sz w:val="18"/>
                <w:szCs w:val="18"/>
                <w:color w:val="auto"/>
              </w:rPr>
            </w:pPr>
          </w:p>
        </w:tc>
        <w:tc>
          <w:tcPr>
            <w:tcW w:w="300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Milwaukee, Wisconsin 53223</w:t>
            </w:r>
          </w:p>
        </w:tc>
        <w:tc>
          <w:tcPr>
            <w:tcW w:w="2220" w:type="dxa"/>
            <w:vAlign w:val="bottom"/>
          </w:tcPr>
          <w:p>
            <w:pPr>
              <w:spacing w:after="0"/>
              <w:rPr>
                <w:sz w:val="18"/>
                <w:szCs w:val="18"/>
                <w:color w:val="auto"/>
              </w:rPr>
            </w:pPr>
          </w:p>
        </w:tc>
      </w:tr>
      <w:tr>
        <w:trPr>
          <w:trHeight w:val="190"/>
        </w:trPr>
        <w:tc>
          <w:tcPr>
            <w:tcW w:w="6460" w:type="dxa"/>
            <w:vAlign w:val="bottom"/>
            <w:gridSpan w:val="3"/>
          </w:tcPr>
          <w:p>
            <w:pPr>
              <w:jc w:val="center"/>
              <w:ind w:left="2917"/>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and Zip Code)</w:t>
            </w:r>
          </w:p>
        </w:tc>
        <w:tc>
          <w:tcPr>
            <w:tcW w:w="2220" w:type="dxa"/>
            <w:vAlign w:val="bottom"/>
          </w:tcPr>
          <w:p>
            <w:pPr>
              <w:spacing w:after="0"/>
              <w:rPr>
                <w:sz w:val="16"/>
                <w:szCs w:val="16"/>
                <w:color w:val="auto"/>
              </w:rPr>
            </w:pPr>
          </w:p>
        </w:tc>
      </w:tr>
      <w:tr>
        <w:trPr>
          <w:trHeight w:val="363"/>
        </w:trPr>
        <w:tc>
          <w:tcPr>
            <w:tcW w:w="5960" w:type="dxa"/>
            <w:vAlign w:val="bottom"/>
            <w:gridSpan w:val="2"/>
          </w:tcPr>
          <w:p>
            <w:pPr>
              <w:jc w:val="center"/>
              <w:ind w:left="3397"/>
              <w:spacing w:after="0"/>
              <w:rPr>
                <w:sz w:val="20"/>
                <w:szCs w:val="20"/>
                <w:color w:val="auto"/>
              </w:rPr>
            </w:pPr>
            <w:r>
              <w:rPr>
                <w:rFonts w:ascii="Times New Roman" w:cs="Times New Roman" w:eastAsia="Times New Roman" w:hAnsi="Times New Roman"/>
                <w:sz w:val="18"/>
                <w:szCs w:val="18"/>
                <w:b w:val="1"/>
                <w:bCs w:val="1"/>
                <w:color w:val="auto"/>
                <w:w w:val="99"/>
              </w:rPr>
              <w:t>(414) 358-6600</w:t>
            </w:r>
          </w:p>
        </w:tc>
        <w:tc>
          <w:tcPr>
            <w:tcW w:w="500" w:type="dxa"/>
            <w:vAlign w:val="bottom"/>
          </w:tcPr>
          <w:p>
            <w:pPr>
              <w:spacing w:after="0"/>
              <w:rPr>
                <w:sz w:val="24"/>
                <w:szCs w:val="24"/>
                <w:color w:val="auto"/>
              </w:rPr>
            </w:pPr>
          </w:p>
        </w:tc>
        <w:tc>
          <w:tcPr>
            <w:tcW w:w="2220" w:type="dxa"/>
            <w:vAlign w:val="bottom"/>
          </w:tcPr>
          <w:p>
            <w:pPr>
              <w:spacing w:after="0"/>
              <w:rPr>
                <w:sz w:val="24"/>
                <w:szCs w:val="24"/>
                <w:color w:val="auto"/>
              </w:rPr>
            </w:pPr>
          </w:p>
        </w:tc>
      </w:tr>
      <w:tr>
        <w:trPr>
          <w:trHeight w:val="190"/>
        </w:trPr>
        <w:tc>
          <w:tcPr>
            <w:tcW w:w="3460" w:type="dxa"/>
            <w:vAlign w:val="bottom"/>
          </w:tcPr>
          <w:p>
            <w:pPr>
              <w:spacing w:after="0"/>
              <w:rPr>
                <w:sz w:val="16"/>
                <w:szCs w:val="16"/>
                <w:color w:val="auto"/>
              </w:rPr>
            </w:pPr>
          </w:p>
        </w:tc>
        <w:tc>
          <w:tcPr>
            <w:tcW w:w="300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(Registrant’s Telephone Number)</w:t>
            </w:r>
          </w:p>
        </w:tc>
        <w:tc>
          <w:tcPr>
            <w:tcW w:w="2220" w:type="dxa"/>
            <w:vAlign w:val="bottom"/>
          </w:tcPr>
          <w:p>
            <w:pPr>
              <w:spacing w:after="0"/>
              <w:rPr>
                <w:sz w:val="16"/>
                <w:szCs w:val="16"/>
                <w:color w:val="auto"/>
              </w:rPr>
            </w:pPr>
          </w:p>
        </w:tc>
      </w:tr>
      <w:tr>
        <w:trPr>
          <w:trHeight w:val="91"/>
        </w:trPr>
        <w:tc>
          <w:tcPr>
            <w:tcW w:w="3460" w:type="dxa"/>
            <w:vAlign w:val="bottom"/>
          </w:tcPr>
          <w:p>
            <w:pPr>
              <w:spacing w:after="0"/>
              <w:rPr>
                <w:sz w:val="7"/>
                <w:szCs w:val="7"/>
                <w:color w:val="auto"/>
              </w:rPr>
            </w:pPr>
          </w:p>
        </w:tc>
        <w:tc>
          <w:tcPr>
            <w:tcW w:w="2500" w:type="dxa"/>
            <w:vAlign w:val="bottom"/>
            <w:tcBorders>
              <w:bottom w:val="single" w:sz="8" w:color="auto"/>
            </w:tcBorders>
          </w:tcPr>
          <w:p>
            <w:pPr>
              <w:spacing w:after="0"/>
              <w:rPr>
                <w:sz w:val="7"/>
                <w:szCs w:val="7"/>
                <w:color w:val="auto"/>
              </w:rPr>
            </w:pPr>
          </w:p>
        </w:tc>
        <w:tc>
          <w:tcPr>
            <w:tcW w:w="500" w:type="dxa"/>
            <w:vAlign w:val="bottom"/>
          </w:tcPr>
          <w:p>
            <w:pPr>
              <w:spacing w:after="0"/>
              <w:rPr>
                <w:sz w:val="7"/>
                <w:szCs w:val="7"/>
                <w:color w:val="auto"/>
              </w:rPr>
            </w:pPr>
          </w:p>
        </w:tc>
        <w:tc>
          <w:tcPr>
            <w:tcW w:w="2220" w:type="dxa"/>
            <w:vAlign w:val="bottom"/>
          </w:tcPr>
          <w:p>
            <w:pPr>
              <w:spacing w:after="0"/>
              <w:rPr>
                <w:sz w:val="7"/>
                <w:szCs w:val="7"/>
                <w:color w:val="auto"/>
              </w:rPr>
            </w:pPr>
          </w:p>
        </w:tc>
      </w:tr>
    </w:tbl>
    <w:p>
      <w:pPr>
        <w:spacing w:after="0" w:line="238"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75" w:lineRule="exact"/>
        <w:rPr>
          <w:sz w:val="24"/>
          <w:szCs w:val="24"/>
          <w:color w:val="auto"/>
        </w:rPr>
      </w:pPr>
    </w:p>
    <w:p>
      <w:pPr>
        <w:ind w:left="680" w:hanging="654"/>
        <w:spacing w:after="0"/>
        <w:tabs>
          <w:tab w:leader="none" w:pos="6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96" w:lineRule="exact"/>
        <w:rPr>
          <w:rFonts w:ascii="MS PGothic" w:cs="MS PGothic" w:eastAsia="MS PGothic" w:hAnsi="MS PGothic"/>
          <w:sz w:val="22"/>
          <w:szCs w:val="22"/>
          <w:color w:val="auto"/>
        </w:rPr>
      </w:pPr>
    </w:p>
    <w:p>
      <w:pPr>
        <w:ind w:left="680" w:hanging="654"/>
        <w:spacing w:after="0"/>
        <w:tabs>
          <w:tab w:leader="none" w:pos="6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6" w:lineRule="exact"/>
        <w:rPr>
          <w:rFonts w:ascii="MS PGothic" w:cs="MS PGothic" w:eastAsia="MS PGothic" w:hAnsi="MS PGothic"/>
          <w:sz w:val="22"/>
          <w:szCs w:val="22"/>
          <w:color w:val="auto"/>
        </w:rPr>
      </w:pPr>
    </w:p>
    <w:p>
      <w:pPr>
        <w:ind w:left="680" w:hanging="654"/>
        <w:spacing w:after="0"/>
        <w:tabs>
          <w:tab w:leader="none" w:pos="6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6" w:lineRule="exact"/>
        <w:rPr>
          <w:rFonts w:ascii="MS PGothic" w:cs="MS PGothic" w:eastAsia="MS PGothic" w:hAnsi="MS PGothic"/>
          <w:sz w:val="22"/>
          <w:szCs w:val="22"/>
          <w:color w:val="auto"/>
        </w:rPr>
      </w:pPr>
    </w:p>
    <w:p>
      <w:pPr>
        <w:ind w:left="680" w:hanging="654"/>
        <w:spacing w:after="0"/>
        <w:tabs>
          <w:tab w:leader="none" w:pos="6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8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96" w:lineRule="exact"/>
        <w:rPr>
          <w:sz w:val="24"/>
          <w:szCs w:val="24"/>
          <w:color w:val="auto"/>
        </w:rPr>
      </w:pPr>
    </w:p>
    <w:tbl>
      <w:tblPr>
        <w:tblLayout w:type="fixed"/>
        <w:tblInd w:w="10" w:type="dxa"/>
        <w:tblCellMar>
          <w:top w:w="0" w:type="dxa"/>
          <w:left w:w="0" w:type="dxa"/>
          <w:bottom w:w="0" w:type="dxa"/>
          <w:right w:w="0" w:type="dxa"/>
        </w:tblCellMar>
      </w:tblPr>
      <w:tr>
        <w:trPr>
          <w:trHeight w:val="189"/>
        </w:trPr>
        <w:tc>
          <w:tcPr>
            <w:tcW w:w="612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660" w:type="dxa"/>
            <w:vAlign w:val="bottom"/>
            <w:tcBorders>
              <w:top w:val="single" w:sz="8" w:color="auto"/>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8"/>
              </w:rPr>
              <w:t>Trading</w:t>
            </w:r>
          </w:p>
        </w:tc>
        <w:tc>
          <w:tcPr>
            <w:tcW w:w="342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c>
          <w:tcPr>
            <w:tcW w:w="0" w:type="dxa"/>
            <w:vAlign w:val="bottom"/>
          </w:tcPr>
          <w:p>
            <w:pPr>
              <w:spacing w:after="0"/>
              <w:rPr>
                <w:sz w:val="1"/>
                <w:szCs w:val="1"/>
                <w:color w:val="auto"/>
              </w:rPr>
            </w:pPr>
          </w:p>
        </w:tc>
      </w:tr>
      <w:tr>
        <w:trPr>
          <w:trHeight w:val="243"/>
        </w:trPr>
        <w:tc>
          <w:tcPr>
            <w:tcW w:w="6120" w:type="dxa"/>
            <w:vAlign w:val="bottom"/>
            <w:tcBorders>
              <w:left w:val="single" w:sz="8" w:color="auto"/>
              <w:bottom w:val="single" w:sz="8" w:color="auto"/>
              <w:right w:val="single" w:sz="8" w:color="auto"/>
            </w:tcBorders>
            <w:vMerge w:val="continue"/>
          </w:tcPr>
          <w:p>
            <w:pPr>
              <w:spacing w:after="0"/>
              <w:rPr>
                <w:sz w:val="21"/>
                <w:szCs w:val="21"/>
                <w:color w:val="auto"/>
              </w:rPr>
            </w:pP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Symbol</w:t>
            </w:r>
          </w:p>
        </w:tc>
        <w:tc>
          <w:tcPr>
            <w:tcW w:w="3420" w:type="dxa"/>
            <w:vAlign w:val="bottom"/>
            <w:tcBorders>
              <w:bottom w:val="single" w:sz="8" w:color="auto"/>
              <w:right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61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Class A Nonvoting Common Stock, par value $0.01 per share</w:t>
            </w: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BRC</w:t>
            </w:r>
          </w:p>
        </w:tc>
        <w:tc>
          <w:tcPr>
            <w:tcW w:w="3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bl>
    <w:p>
      <w:pPr>
        <w:spacing w:after="0" w:line="238"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or the Securities Exchange Act of 1934 (17 CFR 240.12b-2).</w:t>
      </w:r>
    </w:p>
    <w:p>
      <w:pPr>
        <w:spacing w:after="0" w:line="78" w:lineRule="exact"/>
        <w:rPr>
          <w:sz w:val="24"/>
          <w:szCs w:val="24"/>
          <w:color w:val="auto"/>
        </w:rPr>
      </w:pPr>
    </w:p>
    <w:p>
      <w:pPr>
        <w:spacing w:after="0" w:line="242"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21"/>
          <w:szCs w:val="21"/>
          <w:color w:val="auto"/>
        </w:rPr>
        <w:t>☐</w:t>
      </w:r>
    </w:p>
    <w:p>
      <w:pPr>
        <w:spacing w:after="0" w:line="207" w:lineRule="exact"/>
        <w:rPr>
          <w:sz w:val="24"/>
          <w:szCs w:val="24"/>
          <w:color w:val="auto"/>
        </w:rPr>
      </w:pPr>
    </w:p>
    <w:p>
      <w:pPr>
        <w:spacing w:after="0" w:line="262"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523875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7" w:right="339" w:bottom="1440" w:gutter="0" w:footer="0" w:header="0"/>
        </w:sectPr>
      </w:pPr>
    </w:p>
    <w:bookmarkStart w:id="1" w:name="page2"/>
    <w:bookmarkEnd w:id="1"/>
    <w:p>
      <w:pPr>
        <w:jc w:val="center"/>
        <w:ind w:right="-19"/>
        <w:spacing w:after="0"/>
        <w:tabs>
          <w:tab w:leader="none" w:pos="260" w:val="left"/>
        </w:tabs>
        <w:rPr>
          <w:sz w:val="20"/>
          <w:szCs w:val="20"/>
          <w:color w:val="auto"/>
        </w:rPr>
      </w:pPr>
      <w:r>
        <w:rPr>
          <w:rFonts w:ascii="Times New Roman" w:cs="Times New Roman" w:eastAsia="Times New Roman" w:hAnsi="Times New Roman"/>
          <w:sz w:val="18"/>
          <w:szCs w:val="18"/>
          <w:color w:val="auto"/>
        </w:rPr>
        <w:t>Item</w:t>
      </w:r>
      <w:r>
        <w:rPr>
          <w:sz w:val="20"/>
          <w:szCs w:val="20"/>
          <w:color w:val="auto"/>
        </w:rPr>
        <w:tab/>
      </w:r>
      <w:r>
        <w:rPr>
          <w:rFonts w:ascii="Times New Roman" w:cs="Times New Roman" w:eastAsia="Times New Roman" w:hAnsi="Times New Roman"/>
          <w:sz w:val="18"/>
          <w:szCs w:val="18"/>
          <w:color w:val="auto"/>
        </w:rPr>
        <w:t>5.02 DEPARTURE OF DIRECTORS OR CERTAIN OFFICERS; ELECTION OF DIRECTORS; APPOINTMENT OF CERTAIN OFFICERS;</w:t>
      </w:r>
    </w:p>
    <w:p>
      <w:pPr>
        <w:ind w:left="980" w:hanging="95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COMPENSATORY ARRANGEMENTS OF CERTAIN OFFICERS</w:t>
      </w:r>
    </w:p>
    <w:p>
      <w:pPr>
        <w:spacing w:after="0" w:line="367"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On August 5, 2022, Brady Corporation (the “Company”) announced that Olivier Bojarski has been appointed President - Identification Solutions, effective August 25, 2022 (the “Hire Date”).</w:t>
      </w:r>
    </w:p>
    <w:p>
      <w:pPr>
        <w:spacing w:after="0" w:line="10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Mr. Bojarski, age 43, joins the Company after 6 years at Belden Incorporated, a manufacturer of networking, connectivity and cable solutions. While at Belden, Mr. Bojarski served as Executive Vice President of the Broadband and 5G business with global responsibility for connectivity and cable solutions sold into the wireline and wireless broadband markets. Prior to joining Belden in 2016, he was General Manager of a business unit consisting of three global infrastructure businesses within the electrification division of ABB Ltd. Before joining ABB Ltd., Mr. Bojarski held a number of positions of increasing responsibility at Panduit Corporation.</w:t>
      </w:r>
    </w:p>
    <w:p>
      <w:pPr>
        <w:spacing w:after="0" w:line="1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There are no arrangements or understandings between Mr. Bojarski and any other persons pursuant to which he was selected as an officer of the Company, he has no family relationships with any of the Company’s directors or executive officers, and he has no direct or indirect material interest in any transaction required to be disclosed pursuant to Item 404(a) of Regulation S-K.</w:t>
      </w:r>
    </w:p>
    <w:p>
      <w:pPr>
        <w:spacing w:after="0" w:line="12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Company entered into an employment offer letter dated August 3, 2022 with Mr. Bojarski (the “Offer Letter”). The Offer Letter provides that Mr. Bojarski will receive an annual base salary of $440,000, with eligibility for a target annual bonus at 75% of base salary, a recommendation for a fiscal 2024 annual equity award with a grant date value of $682,000, a cash sign-on bonus of $200,000, and will participate in the Company’s equity incentive and other benefit plans on a basis similar to other executive officers, including an automobile allowance. The Offer Letter further provides that Mr. Bojarski will receive a sign-on award of time-based restricted stock units (“RSUs”) with a grant date value of $600,000, to be granted on the Hire Date. The RSU award will vest in equal increments upon the first, second and third anniversaries of the grant date. Mr. Bojarski will have a Company share ownership requirement equal to three times his base salary. Pursuant to the terms of the Offer Letter, Mr. Bojarski will receive a reimbursement, not to exceed $200,000, for relocation expenses.</w:t>
      </w:r>
    </w:p>
    <w:p>
      <w:pPr>
        <w:spacing w:after="0" w:line="13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 copy of the press release announcing Mr. Bojarski’s appointment is being furnished to the Securities and Exchange Commission as Exhibit 99.1 attached hereto, and is incorporated herein by reference. The foregoing descriptions of the Offer Letter and Non-Compete and Non-Disclosure Agreement are qualified in their entirety by reference to the full text of such agreements, copies of which are attached hereto as Exhibit 10.1 and 10.2, respectively, and are incorporated herein by reference.</w:t>
      </w:r>
    </w:p>
    <w:p>
      <w:pPr>
        <w:spacing w:after="0" w:line="200" w:lineRule="exact"/>
        <w:rPr>
          <w:sz w:val="20"/>
          <w:szCs w:val="20"/>
          <w:color w:val="auto"/>
        </w:rPr>
      </w:pPr>
    </w:p>
    <w:p>
      <w:pPr>
        <w:spacing w:after="0" w:line="290" w:lineRule="exact"/>
        <w:rPr>
          <w:sz w:val="20"/>
          <w:szCs w:val="20"/>
          <w:color w:val="auto"/>
        </w:rPr>
      </w:pPr>
    </w:p>
    <w:p>
      <w:pPr>
        <w:ind w:left="20"/>
        <w:spacing w:after="0"/>
        <w:tabs>
          <w:tab w:leader="none" w:pos="960" w:val="left"/>
        </w:tabs>
        <w:rPr>
          <w:sz w:val="20"/>
          <w:szCs w:val="20"/>
          <w:color w:val="auto"/>
        </w:rPr>
      </w:pPr>
      <w:r>
        <w:rPr>
          <w:rFonts w:ascii="Times New Roman" w:cs="Times New Roman" w:eastAsia="Times New Roman" w:hAnsi="Times New Roman"/>
          <w:sz w:val="18"/>
          <w:szCs w:val="18"/>
          <w:color w:val="auto"/>
        </w:rPr>
        <w:t>Item 9.01</w:t>
      </w:r>
      <w:r>
        <w:rPr>
          <w:sz w:val="20"/>
          <w:szCs w:val="20"/>
          <w:color w:val="auto"/>
        </w:rPr>
        <w:tab/>
      </w:r>
      <w:r>
        <w:rPr>
          <w:rFonts w:ascii="Times New Roman" w:cs="Times New Roman" w:eastAsia="Times New Roman" w:hAnsi="Times New Roman"/>
          <w:sz w:val="17"/>
          <w:szCs w:val="17"/>
          <w:color w:val="auto"/>
        </w:rPr>
        <w:t>FINANCIAL STATEMENTS AND EXHIBITS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(d) Exhibits</w:t>
            </w:r>
          </w:p>
        </w:tc>
        <w:tc>
          <w:tcPr>
            <w:tcW w:w="740" w:type="dxa"/>
            <w:vAlign w:val="bottom"/>
          </w:tcPr>
          <w:p>
            <w:pPr>
              <w:spacing w:after="0"/>
              <w:rPr>
                <w:sz w:val="20"/>
                <w:szCs w:val="20"/>
                <w:color w:val="auto"/>
              </w:rPr>
            </w:pPr>
          </w:p>
        </w:tc>
        <w:tc>
          <w:tcPr>
            <w:tcW w:w="604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454"/>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EXHIBIT</w:t>
            </w:r>
          </w:p>
        </w:tc>
        <w:tc>
          <w:tcPr>
            <w:tcW w:w="74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34"/>
        </w:trPr>
        <w:tc>
          <w:tcPr>
            <w:tcW w:w="1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NUMBER</w:t>
            </w:r>
          </w:p>
        </w:tc>
        <w:tc>
          <w:tcPr>
            <w:tcW w:w="1006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183"/>
        </w:trPr>
        <w:tc>
          <w:tcPr>
            <w:tcW w:w="118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color w:val="auto"/>
              </w:rPr>
              <w:t>10.1</w:t>
            </w:r>
          </w:p>
        </w:tc>
        <w:tc>
          <w:tcPr>
            <w:tcW w:w="6780" w:type="dxa"/>
            <w:vAlign w:val="bottom"/>
            <w:tcBorders>
              <w:bottom w:val="single" w:sz="8" w:color="0000FF"/>
            </w:tcBorders>
            <w:gridSpan w:val="2"/>
          </w:tcPr>
          <w:p>
            <w:pPr>
              <w:spacing w:after="0" w:line="182" w:lineRule="exact"/>
              <w:rPr>
                <w:sz w:val="20"/>
                <w:szCs w:val="20"/>
                <w:color w:val="auto"/>
              </w:rPr>
            </w:pPr>
            <w:r>
              <w:rPr>
                <w:rFonts w:ascii="Times New Roman" w:cs="Times New Roman" w:eastAsia="Times New Roman" w:hAnsi="Times New Roman"/>
                <w:sz w:val="18"/>
                <w:szCs w:val="18"/>
                <w:color w:val="0000FF"/>
                <w:w w:val="99"/>
              </w:rPr>
              <w:t>Employment Offer Letter between the Company and Mr. Bojarski dated as of August 3, 2022.</w:t>
            </w:r>
          </w:p>
        </w:tc>
        <w:tc>
          <w:tcPr>
            <w:tcW w:w="3280" w:type="dxa"/>
            <w:vAlign w:val="bottom"/>
            <w:gridSpan w:val="3"/>
          </w:tcPr>
          <w:p>
            <w:pPr>
              <w:spacing w:after="0"/>
              <w:rPr>
                <w:sz w:val="15"/>
                <w:szCs w:val="15"/>
                <w:color w:val="auto"/>
              </w:rPr>
            </w:pPr>
          </w:p>
        </w:tc>
      </w:tr>
      <w:tr>
        <w:trPr>
          <w:trHeight w:val="304"/>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1006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Employee Non-Compete and Non-Disclosure Agreement between the Company and Mr. Bojarski dated as of August 3, 2022.</w:t>
            </w:r>
          </w:p>
        </w:tc>
      </w:tr>
      <w:tr>
        <w:trPr>
          <w:trHeight w:val="20"/>
        </w:trPr>
        <w:tc>
          <w:tcPr>
            <w:tcW w:w="118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8320" w:type="dxa"/>
            <w:vAlign w:val="bottom"/>
            <w:gridSpan w:val="2"/>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304"/>
        </w:trPr>
        <w:tc>
          <w:tcPr>
            <w:tcW w:w="1180" w:type="dxa"/>
            <w:vAlign w:val="bottom"/>
          </w:tcPr>
          <w:p>
            <w:pPr>
              <w:spacing w:after="0"/>
              <w:rPr>
                <w:sz w:val="24"/>
                <w:szCs w:val="24"/>
                <w:color w:val="auto"/>
              </w:rPr>
            </w:pPr>
          </w:p>
        </w:tc>
        <w:tc>
          <w:tcPr>
            <w:tcW w:w="1006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Press Release of Brady Corporation, dated August 5, 2022, relating to the appointment of Olivier Bojarski as President - Identification</w:t>
            </w:r>
          </w:p>
        </w:tc>
      </w:tr>
      <w:tr>
        <w:trPr>
          <w:trHeight w:val="183"/>
        </w:trPr>
        <w:tc>
          <w:tcPr>
            <w:tcW w:w="118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color w:val="auto"/>
              </w:rPr>
              <w:t>99.1</w:t>
            </w:r>
          </w:p>
        </w:tc>
        <w:tc>
          <w:tcPr>
            <w:tcW w:w="740" w:type="dxa"/>
            <w:vAlign w:val="bottom"/>
            <w:tcBorders>
              <w:top w:val="single" w:sz="8" w:color="0000FF"/>
              <w:bottom w:val="single" w:sz="8" w:color="0000FF"/>
            </w:tcBorders>
          </w:tcPr>
          <w:p>
            <w:pPr>
              <w:spacing w:after="0" w:line="169" w:lineRule="exact"/>
              <w:rPr>
                <w:sz w:val="20"/>
                <w:szCs w:val="20"/>
                <w:color w:val="auto"/>
              </w:rPr>
            </w:pPr>
            <w:r>
              <w:rPr>
                <w:rFonts w:ascii="Times New Roman" w:cs="Times New Roman" w:eastAsia="Times New Roman" w:hAnsi="Times New Roman"/>
                <w:sz w:val="18"/>
                <w:szCs w:val="18"/>
                <w:color w:val="0000FF"/>
                <w:w w:val="99"/>
              </w:rPr>
              <w:t>Solutions.</w:t>
            </w:r>
          </w:p>
        </w:tc>
        <w:tc>
          <w:tcPr>
            <w:tcW w:w="8940" w:type="dxa"/>
            <w:vAlign w:val="bottom"/>
            <w:tcBorders>
              <w:top w:val="single" w:sz="8" w:color="0000FF"/>
              <w:bottom w:val="single" w:sz="8" w:color="0000FF"/>
            </w:tcBorders>
            <w:gridSpan w:val="3"/>
          </w:tcPr>
          <w:p>
            <w:pPr>
              <w:spacing w:after="0"/>
              <w:rPr>
                <w:sz w:val="15"/>
                <w:szCs w:val="15"/>
                <w:color w:val="auto"/>
              </w:rPr>
            </w:pPr>
          </w:p>
        </w:tc>
        <w:tc>
          <w:tcPr>
            <w:tcW w:w="380" w:type="dxa"/>
            <w:vAlign w:val="bottom"/>
          </w:tcPr>
          <w:p>
            <w:pPr>
              <w:spacing w:after="0"/>
              <w:rPr>
                <w:sz w:val="15"/>
                <w:szCs w:val="15"/>
                <w:color w:val="auto"/>
              </w:rPr>
            </w:pPr>
          </w:p>
        </w:tc>
      </w:tr>
      <w:tr>
        <w:trPr>
          <w:trHeight w:val="372"/>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00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Inline XBRL document).</w:t>
            </w:r>
          </w:p>
        </w:tc>
      </w:tr>
      <w:tr>
        <w:trPr>
          <w:trHeight w:val="1465"/>
        </w:trPr>
        <w:tc>
          <w:tcPr>
            <w:tcW w:w="118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6040" w:type="dxa"/>
            <w:vAlign w:val="bottom"/>
            <w:tcBorders>
              <w:bottom w:val="single" w:sz="8" w:color="9A9A9A"/>
            </w:tcBorders>
          </w:tcPr>
          <w:p>
            <w:pPr>
              <w:spacing w:after="0"/>
              <w:rPr>
                <w:sz w:val="24"/>
                <w:szCs w:val="24"/>
                <w:color w:val="auto"/>
              </w:rPr>
            </w:pPr>
          </w:p>
        </w:tc>
        <w:tc>
          <w:tcPr>
            <w:tcW w:w="228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20"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color w:val="auto"/>
        </w:rPr>
        <w:t>SIGNATURE</w:t>
      </w:r>
    </w:p>
    <w:p>
      <w:pPr>
        <w:spacing w:after="0" w:line="26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75"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BRADY CORPORATION</w:t>
      </w: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August 5, 2022</w:t>
      </w:r>
    </w:p>
    <w:p>
      <w:pPr>
        <w:spacing w:after="0" w:line="293"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/s/ AARON J. PEARCE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17145</wp:posOffset>
            </wp:positionV>
            <wp:extent cx="34372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37255" cy="8890"/>
                    </a:xfrm>
                    <a:prstGeom prst="rect">
                      <a:avLst/>
                    </a:prstGeom>
                    <a:noFill/>
                  </pic:spPr>
                </pic:pic>
              </a:graphicData>
            </a:graphic>
          </wp:anchor>
        </w:drawing>
      </w:r>
    </w:p>
    <w:p>
      <w:pPr>
        <w:spacing w:after="0" w:line="16"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Aaron J. Pearce</w:t>
      </w:r>
    </w:p>
    <w:p>
      <w:pPr>
        <w:spacing w:after="0" w:line="27"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ectPr>
          <w:pgSz w:w="11900" w:h="16838" w:orient="portrait"/>
          <w:cols w:equalWidth="0" w:num="1">
            <w:col w:w="11240"/>
          </w:cols>
          <w:pgMar w:left="320" w:top="891"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0"/>
          <w:szCs w:val="20"/>
          <w:b w:val="1"/>
          <w:bCs w:val="1"/>
          <w:u w:val="single" w:color="auto"/>
          <w:color w:val="auto"/>
        </w:rPr>
        <w:t>EXHIBIT 10.1</w:t>
      </w:r>
    </w:p>
    <w:p>
      <w:pPr>
        <w:spacing w:after="0" w:line="223" w:lineRule="auto"/>
        <w:rPr>
          <w:sz w:val="20"/>
          <w:szCs w:val="20"/>
          <w:color w:val="auto"/>
        </w:rPr>
      </w:pPr>
      <w:r>
        <w:rPr>
          <w:rFonts w:ascii="Times New Roman" w:cs="Times New Roman" w:eastAsia="Times New Roman" w:hAnsi="Times New Roman"/>
          <w:sz w:val="20"/>
          <w:szCs w:val="20"/>
          <w:color w:val="auto"/>
        </w:rPr>
        <w:t>Brady Corporation</w:t>
      </w:r>
    </w:p>
    <w:p>
      <w:pPr>
        <w:spacing w:after="0" w:line="212" w:lineRule="auto"/>
        <w:rPr>
          <w:sz w:val="20"/>
          <w:szCs w:val="20"/>
          <w:color w:val="auto"/>
        </w:rPr>
      </w:pPr>
      <w:r>
        <w:rPr>
          <w:rFonts w:ascii="Times New Roman" w:cs="Times New Roman" w:eastAsia="Times New Roman" w:hAnsi="Times New Roman"/>
          <w:sz w:val="20"/>
          <w:szCs w:val="20"/>
          <w:color w:val="auto"/>
        </w:rPr>
        <w:t>6555 West Good Hope Road</w:t>
      </w:r>
    </w:p>
    <w:p>
      <w:pPr>
        <w:spacing w:after="0" w:line="211" w:lineRule="auto"/>
        <w:rPr>
          <w:sz w:val="20"/>
          <w:szCs w:val="20"/>
          <w:color w:val="auto"/>
        </w:rPr>
      </w:pPr>
      <w:r>
        <w:rPr>
          <w:rFonts w:ascii="Times New Roman" w:cs="Times New Roman" w:eastAsia="Times New Roman" w:hAnsi="Times New Roman"/>
          <w:sz w:val="20"/>
          <w:szCs w:val="20"/>
          <w:color w:val="auto"/>
        </w:rPr>
        <w:t>P.O. Box 571</w:t>
      </w:r>
    </w:p>
    <w:p>
      <w:pPr>
        <w:spacing w:after="0" w:line="211" w:lineRule="auto"/>
        <w:rPr>
          <w:sz w:val="20"/>
          <w:szCs w:val="20"/>
          <w:color w:val="auto"/>
        </w:rPr>
      </w:pPr>
      <w:r>
        <w:rPr>
          <w:rFonts w:ascii="Times New Roman" w:cs="Times New Roman" w:eastAsia="Times New Roman" w:hAnsi="Times New Roman"/>
          <w:sz w:val="20"/>
          <w:szCs w:val="20"/>
          <w:color w:val="auto"/>
        </w:rPr>
        <w:t>Milwaukee, WI USA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53201-0571</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Olivier Bojarski</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Olivier:</w:t>
      </w:r>
    </w:p>
    <w:p>
      <w:pPr>
        <w:spacing w:after="0" w:line="256"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On behalf of Brady Corporation ("Brady" or the “Company”), I would like to formally offer you the position of President, Identification Solutions. We have enjoyed speaking with you and believe you will be a great asset to our future success.</w:t>
      </w:r>
    </w:p>
    <w:p>
      <w:pPr>
        <w:spacing w:after="0" w:line="200" w:lineRule="exact"/>
        <w:rPr>
          <w:sz w:val="20"/>
          <w:szCs w:val="20"/>
          <w:color w:val="auto"/>
        </w:rPr>
      </w:pPr>
    </w:p>
    <w:p>
      <w:pPr>
        <w:jc w:val="both"/>
        <w:ind w:right="20"/>
        <w:spacing w:after="0" w:line="295" w:lineRule="auto"/>
        <w:rPr>
          <w:sz w:val="20"/>
          <w:szCs w:val="20"/>
          <w:color w:val="auto"/>
        </w:rPr>
      </w:pPr>
      <w:r>
        <w:rPr>
          <w:rFonts w:ascii="Times New Roman" w:cs="Times New Roman" w:eastAsia="Times New Roman" w:hAnsi="Times New Roman"/>
          <w:sz w:val="19"/>
          <w:szCs w:val="19"/>
          <w:color w:val="auto"/>
        </w:rPr>
        <w:t>The Brady team extends their congratulations and looks forward to welcoming you to the Company effective August 25, 2022 (the “Effective Date”). In your new role as President, Identification Solutions, you will report to Russell Shaller, President and Chief Executive Officer.</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believe in offering our employees competitive pay and generous benefits. Your total compensation package is outlined below.</w:t>
      </w:r>
    </w:p>
    <w:p>
      <w:pPr>
        <w:spacing w:after="0" w:line="252"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20"/>
          <w:szCs w:val="20"/>
          <w:b w:val="1"/>
          <w:bCs w:val="1"/>
          <w:u w:val="single" w:color="auto"/>
          <w:color w:val="auto"/>
        </w:rPr>
        <w:t>Annual Base Salary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Your annual base salary will be $440,000 payable in accordance with the Company’s standard payroll practices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subject to applicable withholding taxes. Your annual base salary will be reviewed annually.</w:t>
      </w:r>
    </w:p>
    <w:p>
      <w:pPr>
        <w:spacing w:after="0" w:line="192"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9"/>
          <w:szCs w:val="19"/>
          <w:b w:val="1"/>
          <w:bCs w:val="1"/>
          <w:u w:val="single" w:color="auto"/>
          <w:color w:val="auto"/>
        </w:rPr>
        <w:t>Annual Bonus Plan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You are eligible to participate in Brady’s annual incentive program. Bonus awards are based on attainment of specified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Company operating and financial goals as well as achievement of defined individual objectives. Your targeted annual incentive opportunity is 75% of annual paid salary with upside potential to 300% of this target depending on your individual performance and corporate results.</w:t>
      </w:r>
    </w:p>
    <w:p>
      <w:pPr>
        <w:spacing w:after="0" w:line="18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b w:val="1"/>
          <w:bCs w:val="1"/>
          <w:u w:val="single" w:color="auto"/>
          <w:color w:val="auto"/>
        </w:rPr>
        <w:t>Sign-On Bonus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We are pleased to offer you a one-time sign-on bonus. Within 30 days of your start date, you will be paid a one-time sum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gross amount of $200,000 which is subject to applicable withholding taxes. This bonus is eligible for deferral to the Company’s retirement plans. Please note that should you voluntarily terminate your employment within a period of two years from the Effective Date, you will be required to repay the sign-on bonus to the Company in its entirety.</w:t>
      </w:r>
    </w:p>
    <w:p>
      <w:pPr>
        <w:spacing w:after="0" w:line="21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b w:val="1"/>
          <w:bCs w:val="1"/>
          <w:u w:val="single" w:color="auto"/>
          <w:color w:val="auto"/>
        </w:rPr>
        <w:t>Relocation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This position shall be located in Milwaukee, Wisconsin, and the Company will provide you with a maximum relocation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allowance of $200,000 which allows you the flexibility to manage your relocation expenses. In accordance with Brady’s reimbursement policy, all relocation expenses will be reimbursed upon submission of documentation. Please note that should you voluntarily terminate your employment within a period of two years from the Effective Date, you will be required to repay the Company all relocation expenses that were reimbursed in their entirety.</w:t>
      </w:r>
    </w:p>
    <w:p>
      <w:pPr>
        <w:spacing w:after="0" w:line="21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b w:val="1"/>
          <w:bCs w:val="1"/>
          <w:u w:val="single" w:color="auto"/>
          <w:color w:val="auto"/>
        </w:rPr>
        <w:t>Vacation / Holidays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Vacation eligibility is based on Brady’s policy in effect for the location where you will be based. You are eligible for 20</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days of vacation annually until your years of service with the Company qualifies you for additional days of vacation in accordance with policy. In addition, you will enjoy Company paid scheduled holidays (currently 9 days per year) and 3 floating holidays. Your eligibility in calendar year 2022 will be prorated based on full months of employment in the current calendar year.</w:t>
      </w:r>
    </w:p>
    <w:p>
      <w:pPr>
        <w:spacing w:after="0" w:line="19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20"/>
          <w:szCs w:val="20"/>
          <w:b w:val="1"/>
          <w:bCs w:val="1"/>
          <w:u w:val="single" w:color="auto"/>
          <w:color w:val="auto"/>
        </w:rPr>
        <w:t>Employee Benefits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As an employee of Brady, you will be eligible for an excellent package of employee benefits, which includes medical,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dental, vision, life insurance, and other programs. Please refer to the attached Summary of Benefits for full details.</w:t>
      </w:r>
    </w:p>
    <w:p>
      <w:pPr>
        <w:sectPr>
          <w:pgSz w:w="11900" w:h="16838" w:orient="portrait"/>
          <w:cols w:equalWidth="0" w:num="1">
            <w:col w:w="11240"/>
          </w:cols>
          <w:pgMar w:left="320" w:top="882" w:right="339" w:bottom="1440" w:gutter="0" w:footer="0" w:header="0"/>
        </w:sectPr>
      </w:pPr>
    </w:p>
    <w:bookmarkStart w:id="4" w:name="page5"/>
    <w:bookmarkEnd w:id="4"/>
    <w:p>
      <w:pPr>
        <w:jc w:val="both"/>
        <w:spacing w:after="0" w:line="287" w:lineRule="auto"/>
        <w:rPr>
          <w:sz w:val="20"/>
          <w:szCs w:val="20"/>
          <w:color w:val="auto"/>
        </w:rPr>
      </w:pPr>
      <w:r>
        <w:rPr>
          <w:rFonts w:ascii="Times New Roman" w:cs="Times New Roman" w:eastAsia="Times New Roman" w:hAnsi="Times New Roman"/>
          <w:sz w:val="20"/>
          <w:szCs w:val="20"/>
          <w:b w:val="1"/>
          <w:bCs w:val="1"/>
          <w:u w:val="single" w:color="auto"/>
          <w:color w:val="auto"/>
        </w:rPr>
        <w:t>Executive Benefits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As an executive of Brady, you will also be eligible for additional employee benefits. Please refer to the attached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summary for full details.</w:t>
      </w:r>
    </w:p>
    <w:p>
      <w:pPr>
        <w:spacing w:after="0" w:line="16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b w:val="1"/>
          <w:bCs w:val="1"/>
          <w:u w:val="single" w:color="auto"/>
          <w:color w:val="auto"/>
        </w:rPr>
        <w:t>Annual Stock Incentives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You are eligible to participate in the Company’s annual equity incentive program. For fiscal 2024, you will receive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 stock incentive award with a grant date value of $682,000 (the “Initial Annual Grant”). The Initial Annual Grant will be made thirty percent (30%) in the form of non-qualified stock options, thirty percent (30%) in the form of restricted stock units (“RSUs”) and forty percent (40%) in the form of performance restricted stock units (“PSUs”), and will be set forth by separate equity award agreements.</w:t>
      </w:r>
    </w:p>
    <w:p>
      <w:pPr>
        <w:spacing w:after="0" w:line="20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The actual grant date value and form of any equity awards made thereafter during your employment shall be determined at the discretion of the Board of Directors or the Management Development and Compensation Committee after taking into account the Company’s and your performance and other relevant factors.</w:t>
      </w:r>
    </w:p>
    <w:p>
      <w:pPr>
        <w:spacing w:after="0" w:line="19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20"/>
          <w:szCs w:val="20"/>
          <w:b w:val="1"/>
          <w:bCs w:val="1"/>
          <w:u w:val="single" w:color="auto"/>
          <w:color w:val="auto"/>
        </w:rPr>
        <w:t>Special Equity Grant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You will be entitled to receive a one-time equity grant of restricted stock units with a grant value of $600,000 to be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granted on August 25, 2022. The award will vest in equal installments on the first, second and third anniversary of the grant. The terms and conditions of the award will be set forth by a separate equity award agreement.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Stock Ownership</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You will be required to acquire and hold, directly or indirectly shares equal to three (3) times your base salary within five</w:t>
      </w:r>
    </w:p>
    <w:p>
      <w:pPr>
        <w:spacing w:after="0" w:line="44" w:lineRule="exact"/>
        <w:rPr>
          <w:sz w:val="20"/>
          <w:szCs w:val="20"/>
          <w:color w:val="auto"/>
        </w:rPr>
      </w:pPr>
    </w:p>
    <w:p>
      <w:pPr>
        <w:jc w:val="both"/>
        <w:ind w:firstLine="8"/>
        <w:spacing w:after="0" w:line="253" w:lineRule="auto"/>
        <w:tabs>
          <w:tab w:leader="none" w:pos="299"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years of your starting date. For this purpose, share ownership shall be determined in accordance with the Company’s share ownership policy. No selling of Company stock is allowed (other than as withholding or sale for taxes at your highest applicable tax rate) until the ownership requirement has been satisfied.</w:t>
      </w:r>
    </w:p>
    <w:p>
      <w:pPr>
        <w:spacing w:after="0" w:line="212"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u w:val="single" w:color="auto"/>
          <w:color w:val="auto"/>
        </w:rPr>
        <w:t>Clawbacks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All bonuses and equity grants are subject to the Company’s clawback policies as in effect from time to time, including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established under the Dodd-Frank Wall Street Reform.</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Car Allowance</w:t>
      </w:r>
      <w:r>
        <w:rPr>
          <w:rFonts w:ascii="Times New Roman" w:cs="Times New Roman" w:eastAsia="Times New Roman" w:hAnsi="Times New Roman"/>
          <w:sz w:val="20"/>
          <w:szCs w:val="20"/>
          <w:color w:val="auto"/>
        </w:rPr>
        <w:t>. You will receive a car allowance in the amount of $18,000 per year or $692.31 per bi-weekly pay period.</w:t>
      </w:r>
    </w:p>
    <w:p>
      <w:pPr>
        <w:spacing w:after="0" w:line="243"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20"/>
          <w:szCs w:val="20"/>
          <w:b w:val="1"/>
          <w:bCs w:val="1"/>
          <w:u w:val="single" w:color="auto"/>
          <w:color w:val="auto"/>
        </w:rPr>
        <w:t>Employment At-Will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Please understand that this offer letter is not a contract of employment for any specific or minimum term. This means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that your employment is at-will and may be terminated at any time by you or the Company, with or without cause and with or without advance notice.</w:t>
      </w:r>
    </w:p>
    <w:p>
      <w:pPr>
        <w:spacing w:after="0" w:line="20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b w:val="1"/>
          <w:bCs w:val="1"/>
          <w:u w:val="single" w:color="auto"/>
          <w:color w:val="auto"/>
        </w:rPr>
        <w:t>Change in Control Agreement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You will be provided with a separate Change in Control agreement that in the event of a qualifying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termination within 24 months following a change in control, you will receive two times your annual base salary and two times your target bonus.</w:t>
      </w:r>
    </w:p>
    <w:p>
      <w:pPr>
        <w:sectPr>
          <w:pgSz w:w="11900" w:h="16838" w:orient="portrait"/>
          <w:cols w:equalWidth="0" w:num="1">
            <w:col w:w="11240"/>
          </w:cols>
          <w:pgMar w:left="320" w:top="1125" w:right="339" w:bottom="1440" w:gutter="0" w:footer="0" w:header="0"/>
        </w:sectPr>
      </w:pPr>
    </w:p>
    <w:bookmarkStart w:id="5" w:name="page6"/>
    <w:bookmarkEnd w:id="5"/>
    <w:p>
      <w:pPr>
        <w:jc w:val="both"/>
        <w:spacing w:after="0" w:line="261" w:lineRule="auto"/>
        <w:rPr>
          <w:sz w:val="20"/>
          <w:szCs w:val="20"/>
          <w:color w:val="auto"/>
        </w:rPr>
      </w:pPr>
      <w:r>
        <w:rPr>
          <w:rFonts w:ascii="Times New Roman" w:cs="Times New Roman" w:eastAsia="Times New Roman" w:hAnsi="Times New Roman"/>
          <w:sz w:val="20"/>
          <w:szCs w:val="20"/>
          <w:color w:val="auto"/>
        </w:rPr>
        <w:t>This offer is contingent upon the satisfactory completion of U.S. employment eligibility verification as well as (i) a background check; (ii) a drug screen; and/or (iii) physical ability test and your execution of a non-compete and/or non-disclosure agreement. If you choose to accept our offer to join Brady Corporation, please sign the offer and return.</w:t>
      </w:r>
    </w:p>
    <w:p>
      <w:pPr>
        <w:spacing w:after="0" w:line="208"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We are proud of our innovative spirit, strong values and inclusive culture and look forward to welcoming you to our team. If you have any questions, please feel free to contact me.</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Sincerely,</w:t>
      </w:r>
    </w:p>
    <w:p>
      <w:pPr>
        <w:spacing w:after="0" w:line="200" w:lineRule="exact"/>
        <w:rPr>
          <w:sz w:val="20"/>
          <w:szCs w:val="20"/>
          <w:color w:val="auto"/>
        </w:rPr>
      </w:pPr>
    </w:p>
    <w:p>
      <w:pPr>
        <w:spacing w:after="0" w:line="3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/s/ RUSSELL SHALLER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34290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00" cy="8255"/>
                    </a:xfrm>
                    <a:prstGeom prst="rect">
                      <a:avLst/>
                    </a:prstGeom>
                    <a:noFill/>
                  </pic:spPr>
                </pic:pic>
              </a:graphicData>
            </a:graphic>
          </wp:anchor>
        </w:drawing>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President and Chief Executive Officer</w:t>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Brady Corporation</w:t>
      </w: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ACKNOWLEDGEMENT</w:t>
      </w:r>
    </w:p>
    <w:p>
      <w:pPr>
        <w:spacing w:after="0" w:line="200" w:lineRule="exact"/>
        <w:rPr>
          <w:sz w:val="20"/>
          <w:szCs w:val="20"/>
          <w:color w:val="auto"/>
        </w:rPr>
      </w:pPr>
    </w:p>
    <w:p>
      <w:pPr>
        <w:spacing w:after="0" w:line="276"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I acknowledge that I have carefully read this agreement and that I understand and accept the terms and conditions of this offer of employment with Brady Corporation.</w:t>
      </w: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738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/s/ OLIVIER BOJARSKI</w:t>
            </w:r>
          </w:p>
        </w:tc>
        <w:tc>
          <w:tcPr>
            <w:tcW w:w="32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August 3, 2022</w:t>
            </w:r>
          </w:p>
        </w:tc>
      </w:tr>
      <w:tr>
        <w:trPr>
          <w:trHeight w:val="256"/>
        </w:trPr>
        <w:tc>
          <w:tcPr>
            <w:tcW w:w="54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Olivier Bojarski</w:t>
            </w:r>
          </w:p>
        </w:tc>
        <w:tc>
          <w:tcPr>
            <w:tcW w:w="1980" w:type="dxa"/>
            <w:vAlign w:val="bottom"/>
          </w:tcPr>
          <w:p>
            <w:pPr>
              <w:spacing w:after="0"/>
              <w:rPr>
                <w:sz w:val="22"/>
                <w:szCs w:val="22"/>
                <w:color w:val="auto"/>
              </w:rPr>
            </w:pPr>
          </w:p>
        </w:tc>
        <w:tc>
          <w:tcPr>
            <w:tcW w:w="32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Date</w:t>
            </w:r>
          </w:p>
        </w:tc>
      </w:tr>
    </w:tbl>
    <w:p>
      <w:pPr>
        <w:sectPr>
          <w:pgSz w:w="11900" w:h="16838" w:orient="portrait"/>
          <w:cols w:equalWidth="0" w:num="1">
            <w:col w:w="11240"/>
          </w:cols>
          <w:pgMar w:left="320" w:top="886" w:right="3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20"/>
          <w:szCs w:val="20"/>
          <w:b w:val="1"/>
          <w:bCs w:val="1"/>
          <w:u w:val="single" w:color="auto"/>
          <w:color w:val="auto"/>
        </w:rPr>
        <w:t>EXHIBIT 10.2</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Employee Non-Compete and Non-Disclosure Agreement</w:t>
      </w:r>
    </w:p>
    <w:p>
      <w:pPr>
        <w:spacing w:after="0" w:line="247" w:lineRule="exact"/>
        <w:rPr>
          <w:sz w:val="20"/>
          <w:szCs w:val="20"/>
          <w:color w:val="auto"/>
        </w:rPr>
      </w:pPr>
    </w:p>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252525"/>
        </w:rPr>
        <w:t>This Employee Non-Compete and Non-Disclosure Agreement ("Agreement") is entered into by and between Brady Corporation, or its employing subsidiary, affiliate, or parent (the "Employer”), and Olivier Bojarski (the "Employee") (collectively, the “Parties”).</w:t>
      </w:r>
    </w:p>
    <w:p>
      <w:pPr>
        <w:spacing w:after="0" w:line="92"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color w:val="252525"/>
        </w:rPr>
        <w:t>In consideration of Employer’s employment of Employee and Employer’s provision of Confidential Information (as defined below) to Employee, which the Employee acknowledges to be good and valuable consideration for the Employee's obligations hereunder, the Parties hereby agree as follows:</w:t>
      </w:r>
    </w:p>
    <w:p>
      <w:pPr>
        <w:spacing w:after="0" w:line="107" w:lineRule="exact"/>
        <w:rPr>
          <w:sz w:val="20"/>
          <w:szCs w:val="20"/>
          <w:color w:val="auto"/>
        </w:rPr>
      </w:pPr>
    </w:p>
    <w:p>
      <w:pPr>
        <w:jc w:val="both"/>
        <w:ind w:firstLine="656"/>
        <w:spacing w:after="0" w:line="263" w:lineRule="auto"/>
        <w:tabs>
          <w:tab w:leader="none" w:pos="1296" w:val="left"/>
        </w:tabs>
        <w:numPr>
          <w:ilvl w:val="1"/>
          <w:numId w:val="4"/>
        </w:numPr>
        <w:rPr>
          <w:rFonts w:ascii="Times New Roman" w:cs="Times New Roman" w:eastAsia="Times New Roman" w:hAnsi="Times New Roman"/>
          <w:sz w:val="19"/>
          <w:szCs w:val="19"/>
          <w:color w:val="252525"/>
        </w:rPr>
      </w:pPr>
      <w:r>
        <w:rPr>
          <w:rFonts w:ascii="Times New Roman" w:cs="Times New Roman" w:eastAsia="Times New Roman" w:hAnsi="Times New Roman"/>
          <w:sz w:val="19"/>
          <w:szCs w:val="19"/>
          <w:u w:val="single" w:color="auto"/>
          <w:color w:val="252525"/>
        </w:rPr>
        <w:t>Non-Disclosure of Confidential Information</w:t>
      </w:r>
      <w:r>
        <w:rPr>
          <w:rFonts w:ascii="Times New Roman" w:cs="Times New Roman" w:eastAsia="Times New Roman" w:hAnsi="Times New Roman"/>
          <w:sz w:val="19"/>
          <w:szCs w:val="19"/>
          <w:color w:val="252525"/>
        </w:rPr>
        <w:t xml:space="preserve">. “Confidential Information” refers to proprietary information belonging to the Employer that is not generally known in the industry or by the public, the disclosure of which could be harmful to the Employer. It includes, but is not limited to, proprietary production information, technical information, merchandizing information, software (source code and object code), marketing plans, pricing plans and strategies, business plans and strategies, unpublished financial information, financial projections and forecasts, research and development, production methods and techniques, pricing and costs, policies, procedures, practices, customer information, supplier information, vendor information, and product specifications. Confidential Information includes information created by Employee in performing Employee’s duties for Employer. </w:t>
      </w:r>
      <w:r>
        <w:rPr>
          <w:rFonts w:ascii="Times New Roman" w:cs="Times New Roman" w:eastAsia="Times New Roman" w:hAnsi="Times New Roman"/>
          <w:sz w:val="19"/>
          <w:szCs w:val="19"/>
          <w:color w:val="000000"/>
        </w:rPr>
        <w:t>Confidential Information does not include information which: (i) is already</w:t>
      </w:r>
      <w:r>
        <w:rPr>
          <w:rFonts w:ascii="Times New Roman" w:cs="Times New Roman" w:eastAsia="Times New Roman" w:hAnsi="Times New Roman"/>
          <w:sz w:val="19"/>
          <w:szCs w:val="19"/>
          <w:color w:val="252525"/>
        </w:rPr>
        <w:t xml:space="preserve"> </w:t>
      </w:r>
      <w:r>
        <w:rPr>
          <w:rFonts w:ascii="Times New Roman" w:cs="Times New Roman" w:eastAsia="Times New Roman" w:hAnsi="Times New Roman"/>
          <w:sz w:val="19"/>
          <w:szCs w:val="19"/>
          <w:color w:val="000000"/>
        </w:rPr>
        <w:t>available to the public without wrongful act or breach by Employee; (ii) becomes available to the public through no fault of Employee; or</w:t>
      </w:r>
    </w:p>
    <w:p>
      <w:pPr>
        <w:spacing w:after="0" w:line="3" w:lineRule="exact"/>
        <w:rPr>
          <w:rFonts w:ascii="Times New Roman" w:cs="Times New Roman" w:eastAsia="Times New Roman" w:hAnsi="Times New Roman"/>
          <w:sz w:val="19"/>
          <w:szCs w:val="19"/>
          <w:color w:val="252525"/>
        </w:rPr>
      </w:pPr>
    </w:p>
    <w:p>
      <w:pPr>
        <w:ind w:right="20" w:firstLine="8"/>
        <w:spacing w:after="0" w:line="267" w:lineRule="auto"/>
        <w:tabs>
          <w:tab w:leader="none" w:pos="384"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 required to be disclosed pursuant to a court order or order of government authority, provided that Employee promptly notifies Employer of such request so Employer may seek a protective order.</w:t>
      </w:r>
    </w:p>
    <w:p>
      <w:pPr>
        <w:spacing w:after="0" w:line="1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Both during Employee’s relationship with Employer and for a two (2)-year period thereafter, Employee shall not use or disclose Confidential Information except as is necessary in executing Employee’s duties for Employer. This two (2)-year temporal limit shall not apply to Confidential Information that constitutes a trade secret under applicable law. Employee shall not use or disclose Confidential Information constituting a trade secret for so long as such information constitutes a trade secret.</w:t>
      </w:r>
    </w:p>
    <w:p>
      <w:pPr>
        <w:spacing w:after="0" w:line="118"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By virtue of Employee’s relationship with Employer, Employee may acquire confidential information belonging to a third-party, such as a customer, vendor, or supplier. Employee agrees not to use or disclose such information except as necessary and expected in serving or working with such third-party or as expressly permitted by the third-party.</w:t>
      </w:r>
    </w:p>
    <w:p>
      <w:pPr>
        <w:spacing w:after="0" w:line="107" w:lineRule="exact"/>
        <w:rPr>
          <w:sz w:val="20"/>
          <w:szCs w:val="20"/>
          <w:color w:val="auto"/>
        </w:rPr>
      </w:pPr>
    </w:p>
    <w:p>
      <w:pPr>
        <w:jc w:val="both"/>
        <w:ind w:firstLine="656"/>
        <w:spacing w:after="0" w:line="259" w:lineRule="auto"/>
        <w:tabs>
          <w:tab w:leader="none" w:pos="1296"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Post-Employment Customer Non-Solicitation Agreement</w:t>
      </w:r>
      <w:r>
        <w:rPr>
          <w:rFonts w:ascii="Times New Roman" w:cs="Times New Roman" w:eastAsia="Times New Roman" w:hAnsi="Times New Roman"/>
          <w:sz w:val="20"/>
          <w:szCs w:val="20"/>
          <w:color w:val="auto"/>
        </w:rPr>
        <w:t xml:space="preserve">. For twelve (12) months following Employee’s separation from Employer, Employee will not </w:t>
      </w:r>
      <w:r>
        <w:rPr>
          <w:rFonts w:ascii="Times New Roman" w:cs="Times New Roman" w:eastAsia="Times New Roman" w:hAnsi="Times New Roman"/>
          <w:sz w:val="20"/>
          <w:szCs w:val="20"/>
          <w:color w:val="252525"/>
        </w:rPr>
        <w:t>contact—or assist others in contacting—current customers with whom Employee had significant business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252525"/>
        </w:rPr>
        <w:t>contact during the last year of Employee’s employment with Employer, for the purpose of selling or providing products or services competitive with those offered by Employer (“</w:t>
      </w:r>
      <w:r>
        <w:rPr>
          <w:rFonts w:ascii="Times New Roman" w:cs="Times New Roman" w:eastAsia="Times New Roman" w:hAnsi="Times New Roman"/>
          <w:sz w:val="20"/>
          <w:szCs w:val="20"/>
          <w:color w:val="000000"/>
        </w:rPr>
        <w:t>Competitive Products”). If Employee’s work for Employer during Employee’s last year of</w:t>
      </w:r>
      <w:r>
        <w:rPr>
          <w:rFonts w:ascii="Times New Roman" w:cs="Times New Roman" w:eastAsia="Times New Roman" w:hAnsi="Times New Roman"/>
          <w:sz w:val="20"/>
          <w:szCs w:val="20"/>
          <w:color w:val="252525"/>
        </w:rPr>
        <w:t xml:space="preserve"> </w:t>
      </w:r>
      <w:r>
        <w:rPr>
          <w:rFonts w:ascii="Times New Roman" w:cs="Times New Roman" w:eastAsia="Times New Roman" w:hAnsi="Times New Roman"/>
          <w:sz w:val="20"/>
          <w:szCs w:val="20"/>
          <w:color w:val="000000"/>
        </w:rPr>
        <w:t>employment was limited to particular products or services, then the term “Competitive Products” shall be limited to products or services competitive with those products or services.</w:t>
      </w:r>
    </w:p>
    <w:p>
      <w:pPr>
        <w:spacing w:after="0" w:line="130" w:lineRule="exact"/>
        <w:rPr>
          <w:rFonts w:ascii="Times New Roman" w:cs="Times New Roman" w:eastAsia="Times New Roman" w:hAnsi="Times New Roman"/>
          <w:sz w:val="20"/>
          <w:szCs w:val="20"/>
          <w:color w:val="auto"/>
        </w:rPr>
      </w:pPr>
    </w:p>
    <w:p>
      <w:pPr>
        <w:jc w:val="both"/>
        <w:ind w:firstLine="656"/>
        <w:spacing w:after="0" w:line="253" w:lineRule="auto"/>
        <w:tabs>
          <w:tab w:leader="none" w:pos="1296"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Post-Employment Non-Solicitation Agreement Based Upon Customer Knowledge</w:t>
      </w:r>
      <w:r>
        <w:rPr>
          <w:rFonts w:ascii="Times New Roman" w:cs="Times New Roman" w:eastAsia="Times New Roman" w:hAnsi="Times New Roman"/>
          <w:sz w:val="20"/>
          <w:szCs w:val="20"/>
          <w:color w:val="auto"/>
        </w:rPr>
        <w:t xml:space="preserve">. For twelve (12) months following Employee’s separation from Employer, Employee will not </w:t>
      </w:r>
      <w:r>
        <w:rPr>
          <w:rFonts w:ascii="Times New Roman" w:cs="Times New Roman" w:eastAsia="Times New Roman" w:hAnsi="Times New Roman"/>
          <w:sz w:val="20"/>
          <w:szCs w:val="20"/>
          <w:color w:val="252525"/>
        </w:rPr>
        <w:t>contact—or assist others in contacting—current customers (a) about whom</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252525"/>
        </w:rPr>
        <w:t xml:space="preserve">Employee possesses Confidential Information or (b) for whom Employee supervised others in serving during the last year of Employee’s employment with Employer, for the purpose of selling or providing </w:t>
      </w:r>
      <w:r>
        <w:rPr>
          <w:rFonts w:ascii="Times New Roman" w:cs="Times New Roman" w:eastAsia="Times New Roman" w:hAnsi="Times New Roman"/>
          <w:sz w:val="20"/>
          <w:szCs w:val="20"/>
          <w:color w:val="000000"/>
        </w:rPr>
        <w:t>products or services competitive with those offered by Employer</w:t>
      </w:r>
      <w:r>
        <w:rPr>
          <w:rFonts w:ascii="Times New Roman" w:cs="Times New Roman" w:eastAsia="Times New Roman" w:hAnsi="Times New Roman"/>
          <w:sz w:val="20"/>
          <w:szCs w:val="20"/>
          <w:color w:val="252525"/>
        </w:rPr>
        <w:t xml:space="preserve"> </w:t>
      </w:r>
      <w:r>
        <w:rPr>
          <w:rFonts w:ascii="Times New Roman" w:cs="Times New Roman" w:eastAsia="Times New Roman" w:hAnsi="Times New Roman"/>
          <w:sz w:val="20"/>
          <w:szCs w:val="20"/>
          <w:color w:val="000000"/>
        </w:rPr>
        <w:t>(“Competitive Products”). If Employee’s work for Employer during Employee’s last year of employment was limited to particular products or services, then the term “Competitive Products” shall be limited to products or services competitive with those products or services.</w:t>
      </w:r>
    </w:p>
    <w:p>
      <w:pPr>
        <w:spacing w:after="0" w:line="124" w:lineRule="exact"/>
        <w:rPr>
          <w:rFonts w:ascii="Times New Roman" w:cs="Times New Roman" w:eastAsia="Times New Roman" w:hAnsi="Times New Roman"/>
          <w:sz w:val="20"/>
          <w:szCs w:val="20"/>
          <w:color w:val="auto"/>
        </w:rPr>
      </w:pPr>
    </w:p>
    <w:p>
      <w:pPr>
        <w:ind w:firstLine="656"/>
        <w:spacing w:after="0" w:line="283" w:lineRule="auto"/>
        <w:tabs>
          <w:tab w:leader="none" w:pos="1296"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252525"/>
        </w:rPr>
        <w:t>Post-Employment Non-Compete Agreement</w:t>
      </w:r>
      <w:r>
        <w:rPr>
          <w:rFonts w:ascii="Times New Roman" w:cs="Times New Roman" w:eastAsia="Times New Roman" w:hAnsi="Times New Roman"/>
          <w:sz w:val="20"/>
          <w:szCs w:val="20"/>
          <w:color w:val="252525"/>
        </w:rPr>
        <w:t>. For twelve (12) months following Employee’s separation from Employer, Employee will not, within the United States, provide services similar to those Employee</w:t>
      </w:r>
    </w:p>
    <w:p>
      <w:pPr>
        <w:sectPr>
          <w:pgSz w:w="11900" w:h="16838" w:orient="portrait"/>
          <w:cols w:equalWidth="0" w:num="1">
            <w:col w:w="11240"/>
          </w:cols>
          <w:pgMar w:left="320" w:top="882" w:right="339" w:bottom="1440" w:gutter="0" w:footer="0" w:header="0"/>
        </w:sectPr>
      </w:pPr>
    </w:p>
    <w:bookmarkStart w:id="7" w:name="page8"/>
    <w:bookmarkEnd w:id="7"/>
    <w:p>
      <w:pPr>
        <w:jc w:val="both"/>
        <w:spacing w:after="0" w:line="258" w:lineRule="auto"/>
        <w:rPr>
          <w:sz w:val="20"/>
          <w:szCs w:val="20"/>
          <w:color w:val="auto"/>
        </w:rPr>
      </w:pPr>
      <w:r>
        <w:rPr>
          <w:rFonts w:ascii="Times New Roman" w:cs="Times New Roman" w:eastAsia="Times New Roman" w:hAnsi="Times New Roman"/>
          <w:sz w:val="20"/>
          <w:szCs w:val="20"/>
          <w:color w:val="252525"/>
        </w:rPr>
        <w:t>provided to Employer during the last year of Employee’s employment with Employer to a competitor of Employer or to a person or entity planning to compete with Employer. If Employee’s services to Employer during Employee’s last year of employment were limited to particular subsidiaries, affiliates (Tricor Direct, Inc., Precision Dynamics Corporation, etc.), or divisions (WPS, IDS, PDC, etc.), then the term “competitor” as used in this paragraph will be limited to competitors of those particular subsidiaries, affiliates, and divisions.</w:t>
      </w:r>
    </w:p>
    <w:p>
      <w:pPr>
        <w:spacing w:after="0" w:line="118" w:lineRule="exact"/>
        <w:rPr>
          <w:sz w:val="20"/>
          <w:szCs w:val="20"/>
          <w:color w:val="auto"/>
        </w:rPr>
      </w:pPr>
    </w:p>
    <w:p>
      <w:pPr>
        <w:jc w:val="both"/>
        <w:ind w:firstLine="656"/>
        <w:spacing w:after="0" w:line="257" w:lineRule="auto"/>
        <w:tabs>
          <w:tab w:leader="none" w:pos="1296" w:val="left"/>
        </w:tabs>
        <w:numPr>
          <w:ilvl w:val="0"/>
          <w:numId w:val="7"/>
        </w:numPr>
        <w:rPr>
          <w:rFonts w:ascii="Times New Roman" w:cs="Times New Roman" w:eastAsia="Times New Roman" w:hAnsi="Times New Roman"/>
          <w:sz w:val="20"/>
          <w:szCs w:val="20"/>
          <w:color w:val="252525"/>
        </w:rPr>
      </w:pPr>
      <w:r>
        <w:rPr>
          <w:rFonts w:ascii="Times New Roman" w:cs="Times New Roman" w:eastAsia="Times New Roman" w:hAnsi="Times New Roman"/>
          <w:sz w:val="20"/>
          <w:szCs w:val="20"/>
          <w:u w:val="single" w:color="auto"/>
          <w:color w:val="252525"/>
        </w:rPr>
        <w:t>Post-Employment Restriction on Working With Competitive Products</w:t>
      </w:r>
      <w:r>
        <w:rPr>
          <w:rFonts w:ascii="Times New Roman" w:cs="Times New Roman" w:eastAsia="Times New Roman" w:hAnsi="Times New Roman"/>
          <w:sz w:val="20"/>
          <w:szCs w:val="20"/>
          <w:color w:val="252525"/>
        </w:rPr>
        <w:t>. For twelve (12) months following Employee’s separation from Employer, Employee will not, within the United States and for a competitor of Employer (or to a person or entity planning to compete with Employer), work in the development, design, modification, improvement, or creation of products or services competitive with any products or services with which Employee was involved in the development, design, modification, improvement or creation for Employer during the last two (2) years of Employee’s employment.</w:t>
      </w:r>
    </w:p>
    <w:p>
      <w:pPr>
        <w:spacing w:after="0" w:line="118" w:lineRule="exact"/>
        <w:rPr>
          <w:rFonts w:ascii="Times New Roman" w:cs="Times New Roman" w:eastAsia="Times New Roman" w:hAnsi="Times New Roman"/>
          <w:sz w:val="20"/>
          <w:szCs w:val="20"/>
          <w:color w:val="252525"/>
        </w:rPr>
      </w:pPr>
    </w:p>
    <w:p>
      <w:pPr>
        <w:jc w:val="both"/>
        <w:ind w:firstLine="656"/>
        <w:spacing w:after="0" w:line="253" w:lineRule="auto"/>
        <w:tabs>
          <w:tab w:leader="none" w:pos="1296" w:val="left"/>
        </w:tabs>
        <w:numPr>
          <w:ilvl w:val="0"/>
          <w:numId w:val="7"/>
        </w:numPr>
        <w:rPr>
          <w:rFonts w:ascii="Times New Roman" w:cs="Times New Roman" w:eastAsia="Times New Roman" w:hAnsi="Times New Roman"/>
          <w:sz w:val="20"/>
          <w:szCs w:val="20"/>
          <w:color w:val="252525"/>
        </w:rPr>
      </w:pPr>
      <w:r>
        <w:rPr>
          <w:rFonts w:ascii="Times New Roman" w:cs="Times New Roman" w:eastAsia="Times New Roman" w:hAnsi="Times New Roman"/>
          <w:sz w:val="20"/>
          <w:szCs w:val="20"/>
          <w:u w:val="single" w:color="auto"/>
          <w:color w:val="252525"/>
        </w:rPr>
        <w:t>Post-Employment Restriction on Position Likely to Use Confidential Information</w:t>
      </w:r>
      <w:r>
        <w:rPr>
          <w:rFonts w:ascii="Times New Roman" w:cs="Times New Roman" w:eastAsia="Times New Roman" w:hAnsi="Times New Roman"/>
          <w:sz w:val="20"/>
          <w:szCs w:val="20"/>
          <w:color w:val="252525"/>
        </w:rPr>
        <w:t>. For twelve (12) months following Employee’s separation from Employer, Employee will not, within the United States, work in a position that would likely require the application of, disclosure of, reliance on, or use of Employer’s Confidential Information for a competitor of Employer or to a person or entity planning to compete with Employer. If Employee’s services to Employer during that last year were limited to particular subsidiaries, affiliates (Tricor Direct, Inc., Precision Dynamics Corporation, etc.), or divisions (WPS, IDS, PDC, etc.) of Employer, then the term “competitor” as used in this paragraph will be limited to competitors of those particular subsidiaries, affiliates, and divisions.</w:t>
      </w:r>
    </w:p>
    <w:p>
      <w:pPr>
        <w:spacing w:after="0" w:line="138" w:lineRule="exact"/>
        <w:rPr>
          <w:rFonts w:ascii="Times New Roman" w:cs="Times New Roman" w:eastAsia="Times New Roman" w:hAnsi="Times New Roman"/>
          <w:sz w:val="20"/>
          <w:szCs w:val="20"/>
          <w:color w:val="252525"/>
        </w:rPr>
      </w:pPr>
    </w:p>
    <w:p>
      <w:pPr>
        <w:jc w:val="both"/>
        <w:ind w:firstLine="656"/>
        <w:spacing w:after="0" w:line="261" w:lineRule="auto"/>
        <w:tabs>
          <w:tab w:leader="none" w:pos="1296" w:val="left"/>
        </w:tabs>
        <w:numPr>
          <w:ilvl w:val="0"/>
          <w:numId w:val="7"/>
        </w:numPr>
        <w:rPr>
          <w:rFonts w:ascii="Times New Roman" w:cs="Times New Roman" w:eastAsia="Times New Roman" w:hAnsi="Times New Roman"/>
          <w:sz w:val="20"/>
          <w:szCs w:val="20"/>
          <w:color w:val="252525"/>
        </w:rPr>
      </w:pPr>
      <w:r>
        <w:rPr>
          <w:rFonts w:ascii="Times New Roman" w:cs="Times New Roman" w:eastAsia="Times New Roman" w:hAnsi="Times New Roman"/>
          <w:sz w:val="20"/>
          <w:szCs w:val="20"/>
          <w:u w:val="single" w:color="auto"/>
          <w:color w:val="252525"/>
        </w:rPr>
        <w:t>Post-Employment Restriction on Advising Investors</w:t>
      </w:r>
      <w:r>
        <w:rPr>
          <w:rFonts w:ascii="Times New Roman" w:cs="Times New Roman" w:eastAsia="Times New Roman" w:hAnsi="Times New Roman"/>
          <w:sz w:val="20"/>
          <w:szCs w:val="20"/>
          <w:color w:val="252525"/>
        </w:rPr>
        <w:t>. For twelve (12) months following Employee’s separation from Employer, Employee will not advise a private equity firm or other investor regarding buying, investing in, or divesting from Employer or any of its competitors.</w:t>
      </w:r>
    </w:p>
    <w:p>
      <w:pPr>
        <w:spacing w:after="0" w:line="127" w:lineRule="exact"/>
        <w:rPr>
          <w:rFonts w:ascii="Times New Roman" w:cs="Times New Roman" w:eastAsia="Times New Roman" w:hAnsi="Times New Roman"/>
          <w:sz w:val="20"/>
          <w:szCs w:val="20"/>
          <w:color w:val="252525"/>
        </w:rPr>
      </w:pPr>
    </w:p>
    <w:p>
      <w:pPr>
        <w:jc w:val="both"/>
        <w:ind w:firstLine="656"/>
        <w:spacing w:after="0" w:line="250" w:lineRule="auto"/>
        <w:tabs>
          <w:tab w:leader="none" w:pos="1296" w:val="left"/>
        </w:tabs>
        <w:numPr>
          <w:ilvl w:val="0"/>
          <w:numId w:val="7"/>
        </w:numPr>
        <w:rPr>
          <w:rFonts w:ascii="Times New Roman" w:cs="Times New Roman" w:eastAsia="Times New Roman" w:hAnsi="Times New Roman"/>
          <w:sz w:val="20"/>
          <w:szCs w:val="20"/>
          <w:color w:val="252525"/>
        </w:rPr>
      </w:pPr>
      <w:r>
        <w:rPr>
          <w:rFonts w:ascii="Times New Roman" w:cs="Times New Roman" w:eastAsia="Times New Roman" w:hAnsi="Times New Roman"/>
          <w:sz w:val="20"/>
          <w:szCs w:val="20"/>
          <w:u w:val="single" w:color="auto"/>
          <w:color w:val="252525"/>
        </w:rPr>
        <w:t>Post-Employment Restriction on Soliciting Employees</w:t>
      </w:r>
      <w:r>
        <w:rPr>
          <w:rFonts w:ascii="Times New Roman" w:cs="Times New Roman" w:eastAsia="Times New Roman" w:hAnsi="Times New Roman"/>
          <w:sz w:val="20"/>
          <w:szCs w:val="20"/>
          <w:color w:val="252525"/>
        </w:rPr>
        <w:t>. For twelve (12) months following Employee’s separation from Employer, Employee will not solicit Key Employees of Employer to work for or otherwise provide services similar to those the Key Employee provided to Employer during the last year of their employment with Employer to a competitor of Employer or to a person or entity planning to compete with Employer. This restriction shall only prohibit any such Key Employee from providing the above-referenced services in the same geographic area to which the Key Employee was assigned to or responsible for during their last year of employment with Employer or, if no such geographic area exists, then in the United States (the Parties’ acknowledging that Employer’s business is global in nature and that such a restriction is reasonable). “Key Employees” are employees whom Employee supervised, who supervised Employee, or with whom Employee regularly worked during Employee’s last year of employment with Employer and who work for or serve Employer as an engineer, manager, executive, sales employee, professional, or director.</w:t>
      </w:r>
    </w:p>
    <w:p>
      <w:pPr>
        <w:spacing w:after="0" w:line="138" w:lineRule="exact"/>
        <w:rPr>
          <w:rFonts w:ascii="Times New Roman" w:cs="Times New Roman" w:eastAsia="Times New Roman" w:hAnsi="Times New Roman"/>
          <w:sz w:val="20"/>
          <w:szCs w:val="20"/>
          <w:color w:val="252525"/>
        </w:rPr>
      </w:pPr>
    </w:p>
    <w:p>
      <w:pPr>
        <w:jc w:val="both"/>
        <w:ind w:firstLine="656"/>
        <w:spacing w:after="0" w:line="253" w:lineRule="auto"/>
        <w:tabs>
          <w:tab w:leader="none" w:pos="1296" w:val="left"/>
        </w:tabs>
        <w:numPr>
          <w:ilvl w:val="0"/>
          <w:numId w:val="7"/>
        </w:numPr>
        <w:rPr>
          <w:rFonts w:ascii="Times New Roman" w:cs="Times New Roman" w:eastAsia="Times New Roman" w:hAnsi="Times New Roman"/>
          <w:sz w:val="20"/>
          <w:szCs w:val="20"/>
          <w:color w:val="252525"/>
        </w:rPr>
      </w:pPr>
      <w:r>
        <w:rPr>
          <w:rFonts w:ascii="Times New Roman" w:cs="Times New Roman" w:eastAsia="Times New Roman" w:hAnsi="Times New Roman"/>
          <w:sz w:val="20"/>
          <w:szCs w:val="20"/>
          <w:u w:val="single" w:color="auto"/>
          <w:color w:val="252525"/>
        </w:rPr>
        <w:t>Duty of Loyalty and Related Obligations</w:t>
      </w:r>
      <w:r>
        <w:rPr>
          <w:rFonts w:ascii="Times New Roman" w:cs="Times New Roman" w:eastAsia="Times New Roman" w:hAnsi="Times New Roman"/>
          <w:sz w:val="20"/>
          <w:szCs w:val="20"/>
          <w:color w:val="252525"/>
        </w:rPr>
        <w:t>. Employee acknowledges and agrees that Employee owes Employer a duty of loyalty while employed by Employer. During Employee’s employment with Employer, Employee agrees not to take action that will harm Employer, such as, encouraging employees, contractors, vendors, suppliers, or customers to terminate relationships with Employer, taking a business opportunity from Employer, engaging in conduct that would injure Employer’s reputation, providing services or assistance to a competitive enterprise, or otherwise competing with Employer.</w:t>
      </w:r>
    </w:p>
    <w:p>
      <w:pPr>
        <w:spacing w:after="0" w:line="137" w:lineRule="exact"/>
        <w:rPr>
          <w:rFonts w:ascii="Times New Roman" w:cs="Times New Roman" w:eastAsia="Times New Roman" w:hAnsi="Times New Roman"/>
          <w:sz w:val="20"/>
          <w:szCs w:val="20"/>
          <w:color w:val="252525"/>
        </w:rPr>
      </w:pPr>
    </w:p>
    <w:p>
      <w:pPr>
        <w:jc w:val="both"/>
        <w:ind w:firstLine="656"/>
        <w:spacing w:after="0" w:line="253" w:lineRule="auto"/>
        <w:tabs>
          <w:tab w:leader="none" w:pos="1287" w:val="left"/>
        </w:tabs>
        <w:numPr>
          <w:ilvl w:val="0"/>
          <w:numId w:val="7"/>
        </w:numPr>
        <w:rPr>
          <w:rFonts w:ascii="Times New Roman" w:cs="Times New Roman" w:eastAsia="Times New Roman" w:hAnsi="Times New Roman"/>
          <w:sz w:val="20"/>
          <w:szCs w:val="20"/>
          <w:color w:val="252525"/>
        </w:rPr>
      </w:pPr>
      <w:r>
        <w:rPr>
          <w:rFonts w:ascii="Times New Roman" w:cs="Times New Roman" w:eastAsia="Times New Roman" w:hAnsi="Times New Roman"/>
          <w:sz w:val="20"/>
          <w:szCs w:val="20"/>
          <w:u w:val="single" w:color="auto"/>
          <w:color w:val="252525"/>
        </w:rPr>
        <w:t>Non-Disparagement and Social Media</w:t>
      </w:r>
      <w:r>
        <w:rPr>
          <w:rFonts w:ascii="Times New Roman" w:cs="Times New Roman" w:eastAsia="Times New Roman" w:hAnsi="Times New Roman"/>
          <w:sz w:val="20"/>
          <w:szCs w:val="20"/>
          <w:color w:val="252525"/>
        </w:rPr>
        <w:t>. Employee agrees not to disparage Employer or any of its officers, directors, or employees on social media, on any public platform, or to persons external to Employer when such comments have the potential to harm Employer (</w:t>
      </w:r>
      <w:r>
        <w:rPr>
          <w:rFonts w:ascii="Times New Roman" w:cs="Times New Roman" w:eastAsia="Times New Roman" w:hAnsi="Times New Roman"/>
          <w:sz w:val="20"/>
          <w:szCs w:val="20"/>
          <w:i w:val="1"/>
          <w:iCs w:val="1"/>
          <w:color w:val="252525"/>
        </w:rPr>
        <w:t>i.e.</w:t>
      </w:r>
      <w:r>
        <w:rPr>
          <w:rFonts w:ascii="Times New Roman" w:cs="Times New Roman" w:eastAsia="Times New Roman" w:hAnsi="Times New Roman"/>
          <w:sz w:val="20"/>
          <w:szCs w:val="20"/>
          <w:color w:val="252525"/>
        </w:rPr>
        <w:t>, making disparaging comments about Employer or any of its employees to distributors, customers, suppliers, etc.). Employee also agrees that upon separation from Employer, Employee shall immediately update all of Employee’s social media profiles so that they no longer indicate a current affiliation between Employee and Employer.</w:t>
      </w:r>
    </w:p>
    <w:p>
      <w:pPr>
        <w:spacing w:after="0" w:line="137" w:lineRule="exact"/>
        <w:rPr>
          <w:rFonts w:ascii="Times New Roman" w:cs="Times New Roman" w:eastAsia="Times New Roman" w:hAnsi="Times New Roman"/>
          <w:sz w:val="20"/>
          <w:szCs w:val="20"/>
          <w:color w:val="252525"/>
        </w:rPr>
      </w:pPr>
    </w:p>
    <w:p>
      <w:pPr>
        <w:jc w:val="both"/>
        <w:ind w:firstLine="656"/>
        <w:spacing w:after="0" w:line="261" w:lineRule="auto"/>
        <w:tabs>
          <w:tab w:leader="none" w:pos="1279" w:val="left"/>
        </w:tabs>
        <w:numPr>
          <w:ilvl w:val="0"/>
          <w:numId w:val="7"/>
        </w:numPr>
        <w:rPr>
          <w:rFonts w:ascii="Times New Roman" w:cs="Times New Roman" w:eastAsia="Times New Roman" w:hAnsi="Times New Roman"/>
          <w:sz w:val="20"/>
          <w:szCs w:val="20"/>
          <w:color w:val="252525"/>
        </w:rPr>
      </w:pPr>
      <w:r>
        <w:rPr>
          <w:rFonts w:ascii="Times New Roman" w:cs="Times New Roman" w:eastAsia="Times New Roman" w:hAnsi="Times New Roman"/>
          <w:sz w:val="20"/>
          <w:szCs w:val="20"/>
          <w:u w:val="single" w:color="auto"/>
          <w:color w:val="252525"/>
        </w:rPr>
        <w:t>Inventions and Work Product</w:t>
      </w:r>
      <w:r>
        <w:rPr>
          <w:rFonts w:ascii="Times New Roman" w:cs="Times New Roman" w:eastAsia="Times New Roman" w:hAnsi="Times New Roman"/>
          <w:sz w:val="20"/>
          <w:szCs w:val="20"/>
          <w:color w:val="252525"/>
        </w:rPr>
        <w:t xml:space="preserve">. </w:t>
      </w:r>
      <w:r>
        <w:rPr>
          <w:rFonts w:ascii="Times New Roman" w:cs="Times New Roman" w:eastAsia="Times New Roman" w:hAnsi="Times New Roman"/>
          <w:sz w:val="20"/>
          <w:szCs w:val="20"/>
          <w:color w:val="000000"/>
        </w:rPr>
        <w:t>Employee agrees to disclose in writing to Employer promptly and fully, all inventions,</w:t>
      </w:r>
      <w:r>
        <w:rPr>
          <w:rFonts w:ascii="Times New Roman" w:cs="Times New Roman" w:eastAsia="Times New Roman" w:hAnsi="Times New Roman"/>
          <w:sz w:val="20"/>
          <w:szCs w:val="20"/>
          <w:color w:val="252525"/>
        </w:rPr>
        <w:t xml:space="preserve"> </w:t>
      </w:r>
      <w:r>
        <w:rPr>
          <w:rFonts w:ascii="Times New Roman" w:cs="Times New Roman" w:eastAsia="Times New Roman" w:hAnsi="Times New Roman"/>
          <w:sz w:val="20"/>
          <w:szCs w:val="20"/>
          <w:color w:val="000000"/>
        </w:rPr>
        <w:t>improvements, designs, developments, original works of authorship, formulas, processes, compositions of matter, computer software programs, databases, mask works, and trade secrets that Employee</w:t>
      </w:r>
    </w:p>
    <w:p>
      <w:pPr>
        <w:sectPr>
          <w:pgSz w:w="11900" w:h="16838" w:orient="portrait"/>
          <w:cols w:equalWidth="0" w:num="1">
            <w:col w:w="11240"/>
          </w:cols>
          <w:pgMar w:left="320" w:top="1048" w:right="339" w:bottom="1440" w:gutter="0" w:footer="0" w:header="0"/>
        </w:sectPr>
      </w:pPr>
    </w:p>
    <w:bookmarkStart w:id="8" w:name="page9"/>
    <w:bookmarkEnd w:id="8"/>
    <w:p>
      <w:pPr>
        <w:jc w:val="both"/>
        <w:spacing w:after="0" w:line="263" w:lineRule="auto"/>
        <w:rPr>
          <w:sz w:val="20"/>
          <w:szCs w:val="20"/>
          <w:color w:val="auto"/>
        </w:rPr>
      </w:pPr>
      <w:r>
        <w:rPr>
          <w:rFonts w:ascii="Times New Roman" w:cs="Times New Roman" w:eastAsia="Times New Roman" w:hAnsi="Times New Roman"/>
          <w:sz w:val="19"/>
          <w:szCs w:val="19"/>
          <w:color w:val="auto"/>
        </w:rPr>
        <w:t xml:space="preserve">makes, conceives, or creates, either alone or jointly with others, during the period of Employee’s employment, whether or not reduced to tangible form or first reduced to practice in the course of Employee’s employment, that result from or are suggested by any work that Employee may perform for Employer, that result from information derived from Employer or its employees, products, or services, that are developed using equipment, supplies, facilities, or trade secrets of Employer, that result from work performed by Employee for Employer, or that relate to Employer’s business, whether or not such Inventions are patentable, copyrightable, or protectable as trade secrets (the “Inventions”). Employee acknowledges and agrees that any copyrightable works prepared by Employee within the scope of Employee’s employment are “works for hire” under the Copyright Act and that Employer will be considered the author and owner of such copyrightable works. Employee agrees that all Inventions, patents, patent applications, copyrights, mask works, trade secrets, and other intellectual property rights, including but not limited to rights in database and copyrightable works prepared by Employee (including and all “Moral Rights” as existing under judicial or statutory law of any country or subdivision thereof in the world) (collectively the “Assigned Intellectual Property”) are to be the sole and exclusive property of Employer and Employee hereby irrevocably assigns to Employer all right, title, and interest around the world in and to the Assigned Intellectual Property, including any royalty rights or rights to other consideration in connection with the Assigned Intellectual Property. Employee agrees to assist Employer and its nominees, during and after Employee’s employment with Employer, as they may reasonably require during and after Employee’s employment with Employer (at Employer’s or its nominee’s reasonable expense) to obtain for Employer or its nominee’s benefit and enforce the Assigned Intellectual Property. </w:t>
      </w:r>
      <w:r>
        <w:rPr>
          <w:rFonts w:ascii="Times New Roman" w:cs="Times New Roman" w:eastAsia="Times New Roman" w:hAnsi="Times New Roman"/>
          <w:sz w:val="19"/>
          <w:szCs w:val="19"/>
          <w:u w:val="single" w:color="auto"/>
          <w:color w:val="auto"/>
        </w:rPr>
        <w:t>“Assigned Intellectual</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Property” does not include inventions for which no equipment, supplies, facilities, or trade secret information of Employer was used and which were developed entirely on Employee’s own time, unless the invention relates directly to the business of Employer (or actual demonstrably anticipated research or development of Employer) or the invention results from any work Employee performs for Employer.</w:t>
      </w:r>
    </w:p>
    <w:p>
      <w:pPr>
        <w:spacing w:after="0" w:line="132" w:lineRule="exact"/>
        <w:rPr>
          <w:sz w:val="20"/>
          <w:szCs w:val="20"/>
          <w:color w:val="auto"/>
        </w:rPr>
      </w:pPr>
    </w:p>
    <w:p>
      <w:pPr>
        <w:jc w:val="both"/>
        <w:ind w:firstLine="656"/>
        <w:spacing w:after="0" w:line="254" w:lineRule="auto"/>
        <w:tabs>
          <w:tab w:leader="none" w:pos="1287"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252525"/>
        </w:rPr>
        <w:t>Choice of Law and Forum Selection</w:t>
      </w:r>
      <w:r>
        <w:rPr>
          <w:rFonts w:ascii="Times New Roman" w:cs="Times New Roman" w:eastAsia="Times New Roman" w:hAnsi="Times New Roman"/>
          <w:sz w:val="20"/>
          <w:szCs w:val="20"/>
          <w:color w:val="252525"/>
        </w:rPr>
        <w:t>. This Agreement is governed by, and construed in accordance with, the laws of the State of Wisconsin. Any action or proceeding by either Party regarding this Agreement shall be brought only in the state or federal courts located in the State of Wisconsin, County of Milwaukee. The Parties hereby irrevocably submit to the exclusive jurisdiction of such courts and waive the defense of inconvenient forum to the maintenance of any such action or proceeding in such venue.</w:t>
      </w:r>
    </w:p>
    <w:p>
      <w:pPr>
        <w:spacing w:after="0" w:line="133" w:lineRule="exact"/>
        <w:rPr>
          <w:rFonts w:ascii="Times New Roman" w:cs="Times New Roman" w:eastAsia="Times New Roman" w:hAnsi="Times New Roman"/>
          <w:sz w:val="20"/>
          <w:szCs w:val="20"/>
          <w:color w:val="auto"/>
        </w:rPr>
      </w:pPr>
    </w:p>
    <w:p>
      <w:pPr>
        <w:jc w:val="both"/>
        <w:ind w:firstLine="656"/>
        <w:spacing w:after="0" w:line="253" w:lineRule="auto"/>
        <w:tabs>
          <w:tab w:leader="none" w:pos="1287" w:val="left"/>
        </w:tabs>
        <w:numPr>
          <w:ilvl w:val="0"/>
          <w:numId w:val="8"/>
        </w:numPr>
        <w:rPr>
          <w:rFonts w:ascii="Times New Roman" w:cs="Times New Roman" w:eastAsia="Times New Roman" w:hAnsi="Times New Roman"/>
          <w:sz w:val="20"/>
          <w:szCs w:val="20"/>
          <w:color w:val="252525"/>
        </w:rPr>
      </w:pPr>
      <w:r>
        <w:rPr>
          <w:rFonts w:ascii="Times New Roman" w:cs="Times New Roman" w:eastAsia="Times New Roman" w:hAnsi="Times New Roman"/>
          <w:sz w:val="20"/>
          <w:szCs w:val="20"/>
          <w:u w:val="single" w:color="auto"/>
          <w:color w:val="252525"/>
        </w:rPr>
        <w:t>Severability</w:t>
      </w:r>
      <w:r>
        <w:rPr>
          <w:rFonts w:ascii="Times New Roman" w:cs="Times New Roman" w:eastAsia="Times New Roman" w:hAnsi="Times New Roman"/>
          <w:sz w:val="20"/>
          <w:szCs w:val="20"/>
          <w:color w:val="252525"/>
        </w:rPr>
        <w:t>. Should a court of competent jurisdiction conclude that any portion of this Agreement must be modified to be enforceable or that a portion of this Agreement must be struck to comply with applicable law, that holding shall not affect the validity of the remainder of this Agreement, the balance of which shall continue to be binding on the Parties. The Parties agree that a court of competent jurisdiction is expressly authorized to modify overbroad provisions so as to make them enforceable to the maximum extent permitted by law and is further authorized to strike whole provisions that cannot be so modified.</w:t>
      </w:r>
    </w:p>
    <w:p>
      <w:pPr>
        <w:spacing w:after="0" w:line="137" w:lineRule="exact"/>
        <w:rPr>
          <w:rFonts w:ascii="Times New Roman" w:cs="Times New Roman" w:eastAsia="Times New Roman" w:hAnsi="Times New Roman"/>
          <w:sz w:val="20"/>
          <w:szCs w:val="20"/>
          <w:color w:val="252525"/>
        </w:rPr>
      </w:pPr>
    </w:p>
    <w:p>
      <w:pPr>
        <w:jc w:val="both"/>
        <w:ind w:firstLine="656"/>
        <w:spacing w:after="0" w:line="258" w:lineRule="auto"/>
        <w:tabs>
          <w:tab w:leader="none" w:pos="1287" w:val="left"/>
        </w:tabs>
        <w:numPr>
          <w:ilvl w:val="0"/>
          <w:numId w:val="8"/>
        </w:numPr>
        <w:rPr>
          <w:rFonts w:ascii="Times New Roman" w:cs="Times New Roman" w:eastAsia="Times New Roman" w:hAnsi="Times New Roman"/>
          <w:sz w:val="20"/>
          <w:szCs w:val="20"/>
          <w:color w:val="252525"/>
        </w:rPr>
      </w:pPr>
      <w:r>
        <w:rPr>
          <w:rFonts w:ascii="Times New Roman" w:cs="Times New Roman" w:eastAsia="Times New Roman" w:hAnsi="Times New Roman"/>
          <w:sz w:val="20"/>
          <w:szCs w:val="20"/>
          <w:u w:val="single" w:color="auto"/>
          <w:color w:val="auto"/>
        </w:rPr>
        <w:t>No Conflicting Obligations</w:t>
      </w:r>
      <w:r>
        <w:rPr>
          <w:rFonts w:ascii="Times New Roman" w:cs="Times New Roman" w:eastAsia="Times New Roman" w:hAnsi="Times New Roman"/>
          <w:sz w:val="20"/>
          <w:szCs w:val="20"/>
          <w:color w:val="auto"/>
        </w:rPr>
        <w:t>. Employee has disclosed to Employer any agreements with Employee’s prior employers or business relationships that contain confidentiality, non-compete, non-solicitation, or similar provisions. Employee does not possess any hard or electronic copies of confidential information belonging to any prior employer or other third party and agrees not to use or disclose any such information in providing services to Employer.</w:t>
      </w:r>
    </w:p>
    <w:p>
      <w:pPr>
        <w:spacing w:after="0" w:line="118" w:lineRule="exact"/>
        <w:rPr>
          <w:rFonts w:ascii="Times New Roman" w:cs="Times New Roman" w:eastAsia="Times New Roman" w:hAnsi="Times New Roman"/>
          <w:sz w:val="20"/>
          <w:szCs w:val="20"/>
          <w:color w:val="252525"/>
        </w:rPr>
      </w:pPr>
    </w:p>
    <w:p>
      <w:pPr>
        <w:jc w:val="both"/>
        <w:ind w:firstLine="656"/>
        <w:spacing w:after="0" w:line="253" w:lineRule="auto"/>
        <w:tabs>
          <w:tab w:leader="none" w:pos="1287"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Return of Company Property</w:t>
      </w:r>
      <w:r>
        <w:rPr>
          <w:rFonts w:ascii="Times New Roman" w:cs="Times New Roman" w:eastAsia="Times New Roman" w:hAnsi="Times New Roman"/>
          <w:sz w:val="20"/>
          <w:szCs w:val="20"/>
          <w:color w:val="auto"/>
        </w:rPr>
        <w:t>. Employee agrees that all property and documents provided to Employee by Employer or by virtue of Employee’s relationship with Employer are the exclusive property of Employer or the providing party. When Employee’s relationship with Employer ends, Employee will immediately deliver to Employer all Employer property. To the extent any such property is electronically stored, Employee shall consult with Employee’s manager, or a member of Employer’s legal group, regarding the proper method for disposal of such items. If Employee fails to return Employer property, Employee agrees that the value of the property may be withheld from any outstanding compensation otherwise due to Employee in the form of salary, wages, or vacation time to the extent permitted by law.</w:t>
      </w:r>
    </w:p>
    <w:p>
      <w:pPr>
        <w:spacing w:after="0" w:line="138" w:lineRule="exact"/>
        <w:rPr>
          <w:rFonts w:ascii="Times New Roman" w:cs="Times New Roman" w:eastAsia="Times New Roman" w:hAnsi="Times New Roman"/>
          <w:sz w:val="20"/>
          <w:szCs w:val="20"/>
          <w:color w:val="auto"/>
        </w:rPr>
      </w:pPr>
    </w:p>
    <w:p>
      <w:pPr>
        <w:jc w:val="both"/>
        <w:ind w:firstLine="656"/>
        <w:spacing w:after="0" w:line="261" w:lineRule="auto"/>
        <w:tabs>
          <w:tab w:leader="none" w:pos="1287"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Successors and Assigns, and Position Changes</w:t>
      </w:r>
      <w:r>
        <w:rPr>
          <w:rFonts w:ascii="Times New Roman" w:cs="Times New Roman" w:eastAsia="Times New Roman" w:hAnsi="Times New Roman"/>
          <w:sz w:val="20"/>
          <w:szCs w:val="20"/>
          <w:color w:val="auto"/>
        </w:rPr>
        <w:t>. This Agreement cannot be assigned by Employee. Employer may assign this Agreement to its parents, subsidiaries, affiliates, successors, or persons or entities acquiring substantially all of Employer’s assets or stock. Upon any such assignment, (a) this Agreement shall inure</w:t>
      </w:r>
    </w:p>
    <w:p>
      <w:pPr>
        <w:sectPr>
          <w:pgSz w:w="11900" w:h="16838" w:orient="portrait"/>
          <w:cols w:equalWidth="0" w:num="1">
            <w:col w:w="11240"/>
          </w:cols>
          <w:pgMar w:left="320" w:top="1048" w:right="339" w:bottom="1440" w:gutter="0" w:footer="0" w:header="0"/>
        </w:sectPr>
      </w:pPr>
    </w:p>
    <w:bookmarkStart w:id="9" w:name="page10"/>
    <w:bookmarkEnd w:id="9"/>
    <w:p>
      <w:pPr>
        <w:jc w:val="both"/>
        <w:spacing w:after="0" w:line="258" w:lineRule="auto"/>
        <w:rPr>
          <w:sz w:val="20"/>
          <w:szCs w:val="20"/>
          <w:color w:val="auto"/>
        </w:rPr>
      </w:pPr>
      <w:r>
        <w:rPr>
          <w:rFonts w:ascii="Times New Roman" w:cs="Times New Roman" w:eastAsia="Times New Roman" w:hAnsi="Times New Roman"/>
          <w:sz w:val="20"/>
          <w:szCs w:val="20"/>
          <w:color w:val="auto"/>
        </w:rPr>
        <w:t>to the benefit of the assignee or successor and (b) Employee will be bound by the Agreement as if the term “Employer” had originally been defined as the assignee or successor. Further, Employee understands that, from time to time, Employee may be promoted, demoted, transferred, or assigned different or additional responsibilities. Employee agrees that, regardless of the nature of any changes, this Agreement shall apply to and govern any and all positions Employee may hold with Employer or Employer’s successors or assignees.</w:t>
      </w:r>
    </w:p>
    <w:p>
      <w:pPr>
        <w:spacing w:after="0" w:line="118" w:lineRule="exact"/>
        <w:rPr>
          <w:sz w:val="20"/>
          <w:szCs w:val="20"/>
          <w:color w:val="auto"/>
        </w:rPr>
      </w:pPr>
    </w:p>
    <w:p>
      <w:pPr>
        <w:jc w:val="both"/>
        <w:ind w:firstLine="656"/>
        <w:spacing w:after="0" w:line="257" w:lineRule="auto"/>
        <w:tabs>
          <w:tab w:leader="none" w:pos="1287"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252525"/>
        </w:rPr>
        <w:t>Remedies</w:t>
      </w:r>
      <w:r>
        <w:rPr>
          <w:rFonts w:ascii="Times New Roman" w:cs="Times New Roman" w:eastAsia="Times New Roman" w:hAnsi="Times New Roman"/>
          <w:sz w:val="20"/>
          <w:szCs w:val="20"/>
          <w:color w:val="252525"/>
        </w:rPr>
        <w:t>. In the event of a breach or threatened breach by Employee of any of the provisions of this Agreement, Employee acknowledges and agrees that Employer will be irreparably harmed and that Employer shall be entitled to, in addition to other available remedies, a temporary or permanent injunction or other equitable relief against such breach or threatened breach from any court of competent jurisdiction. The aforementioned equitable relief shall be in addition to, and not in lieu of, legal remedies, monetary damages, and other available forms of relief.</w:t>
      </w:r>
    </w:p>
    <w:p>
      <w:pPr>
        <w:spacing w:after="0" w:line="118" w:lineRule="exact"/>
        <w:rPr>
          <w:rFonts w:ascii="Times New Roman" w:cs="Times New Roman" w:eastAsia="Times New Roman" w:hAnsi="Times New Roman"/>
          <w:sz w:val="20"/>
          <w:szCs w:val="20"/>
          <w:color w:val="auto"/>
        </w:rPr>
      </w:pPr>
    </w:p>
    <w:p>
      <w:pPr>
        <w:jc w:val="both"/>
        <w:ind w:firstLine="656"/>
        <w:spacing w:after="0" w:line="257" w:lineRule="auto"/>
        <w:tabs>
          <w:tab w:leader="none" w:pos="1287" w:val="left"/>
        </w:tabs>
        <w:numPr>
          <w:ilvl w:val="0"/>
          <w:numId w:val="9"/>
        </w:numPr>
        <w:rPr>
          <w:rFonts w:ascii="Times New Roman" w:cs="Times New Roman" w:eastAsia="Times New Roman" w:hAnsi="Times New Roman"/>
          <w:sz w:val="20"/>
          <w:szCs w:val="20"/>
          <w:color w:val="252525"/>
        </w:rPr>
      </w:pPr>
      <w:r>
        <w:rPr>
          <w:rFonts w:ascii="Times New Roman" w:cs="Times New Roman" w:eastAsia="Times New Roman" w:hAnsi="Times New Roman"/>
          <w:sz w:val="20"/>
          <w:szCs w:val="20"/>
          <w:u w:val="single" w:color="auto"/>
          <w:color w:val="252525"/>
        </w:rPr>
        <w:t>Modification and Waiver</w:t>
      </w:r>
      <w:r>
        <w:rPr>
          <w:rFonts w:ascii="Times New Roman" w:cs="Times New Roman" w:eastAsia="Times New Roman" w:hAnsi="Times New Roman"/>
          <w:sz w:val="20"/>
          <w:szCs w:val="20"/>
          <w:color w:val="252525"/>
        </w:rPr>
        <w:t>. No provision of this Agreement may be amended or modified by the Parties unless the amendment or modification is agreed to in writing and signed by the Parties. No waiver by either Party of any breach of any condition or provision of this Agreement to be performed by the other Party shall be deemed a waiver of any similar or dissimilar provision or condition at the same or any prior or subsequent time, nor shall the failure of or delay by either Party in exercising any right, power, or privilege under this Agreement operate as a waiver to preclude any other or further exercise of any right, power, or privilege.</w:t>
      </w:r>
    </w:p>
    <w:p>
      <w:pPr>
        <w:spacing w:after="0" w:line="118" w:lineRule="exact"/>
        <w:rPr>
          <w:rFonts w:ascii="Times New Roman" w:cs="Times New Roman" w:eastAsia="Times New Roman" w:hAnsi="Times New Roman"/>
          <w:sz w:val="20"/>
          <w:szCs w:val="20"/>
          <w:color w:val="252525"/>
        </w:rPr>
      </w:pPr>
    </w:p>
    <w:p>
      <w:pPr>
        <w:jc w:val="both"/>
        <w:ind w:right="20" w:firstLine="656"/>
        <w:spacing w:after="0" w:line="268" w:lineRule="auto"/>
        <w:tabs>
          <w:tab w:leader="none" w:pos="1287" w:val="left"/>
        </w:tabs>
        <w:numPr>
          <w:ilvl w:val="0"/>
          <w:numId w:val="9"/>
        </w:numPr>
        <w:rPr>
          <w:rFonts w:ascii="Times New Roman" w:cs="Times New Roman" w:eastAsia="Times New Roman" w:hAnsi="Times New Roman"/>
          <w:sz w:val="20"/>
          <w:szCs w:val="20"/>
          <w:color w:val="252525"/>
        </w:rPr>
      </w:pPr>
      <w:r>
        <w:rPr>
          <w:rFonts w:ascii="Times New Roman" w:cs="Times New Roman" w:eastAsia="Times New Roman" w:hAnsi="Times New Roman"/>
          <w:sz w:val="20"/>
          <w:szCs w:val="20"/>
          <w:u w:val="single" w:color="auto"/>
          <w:color w:val="auto"/>
        </w:rPr>
        <w:t>At-Will Employment</w:t>
      </w:r>
      <w:r>
        <w:rPr>
          <w:rFonts w:ascii="Times New Roman" w:cs="Times New Roman" w:eastAsia="Times New Roman" w:hAnsi="Times New Roman"/>
          <w:sz w:val="20"/>
          <w:szCs w:val="20"/>
          <w:color w:val="auto"/>
        </w:rPr>
        <w:t>. Nothing in this Agreement is intended to change Employee’s status as an at-will employee. Employee understands that Employee is an at-will employee and that Employee’s employment can be terminated at any time, with or without notice or cause, by either Employee or Employer.</w:t>
      </w:r>
    </w:p>
    <w:p>
      <w:pPr>
        <w:spacing w:after="0" w:line="107" w:lineRule="exact"/>
        <w:rPr>
          <w:rFonts w:ascii="Times New Roman" w:cs="Times New Roman" w:eastAsia="Times New Roman" w:hAnsi="Times New Roman"/>
          <w:sz w:val="20"/>
          <w:szCs w:val="20"/>
          <w:color w:val="252525"/>
        </w:rPr>
      </w:pPr>
    </w:p>
    <w:p>
      <w:pPr>
        <w:ind w:left="1300" w:hanging="644"/>
        <w:spacing w:after="0"/>
        <w:tabs>
          <w:tab w:leader="none" w:pos="130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 of Immunity</w:t>
      </w:r>
      <w:r>
        <w:rPr>
          <w:rFonts w:ascii="Times New Roman" w:cs="Times New Roman" w:eastAsia="Times New Roman" w:hAnsi="Times New Roman"/>
          <w:sz w:val="20"/>
          <w:szCs w:val="20"/>
          <w:color w:val="auto"/>
        </w:rPr>
        <w:t>. In accordance with the Defend Trade Secrets Act, Employee is hereby advised:</w:t>
      </w:r>
    </w:p>
    <w:p>
      <w:pPr>
        <w:spacing w:after="0" w:line="175" w:lineRule="exact"/>
        <w:rPr>
          <w:sz w:val="20"/>
          <w:szCs w:val="20"/>
          <w:color w:val="auto"/>
        </w:rPr>
      </w:pPr>
    </w:p>
    <w:p>
      <w:pPr>
        <w:jc w:val="both"/>
        <w:ind w:left="660" w:right="640"/>
        <w:spacing w:after="0" w:line="251" w:lineRule="auto"/>
        <w:rPr>
          <w:sz w:val="20"/>
          <w:szCs w:val="20"/>
          <w:color w:val="auto"/>
        </w:rPr>
      </w:pPr>
      <w:r>
        <w:rPr>
          <w:rFonts w:ascii="Times New Roman" w:cs="Times New Roman" w:eastAsia="Times New Roman" w:hAnsi="Times New Roman"/>
          <w:sz w:val="20"/>
          <w:szCs w:val="20"/>
          <w:color w:val="auto"/>
        </w:rPr>
        <w:t>An individual shall not be held criminally or civilly liable under any federal or state trade secret law for the disclosure of a trade secret that is made in confidence to a federal, state, or local government official or to an attorney solely for the purpose of reporting or investigating a suspected violation of law. An individual shall not be held criminally or civilly liable under any federal or state trade secret law for the disclosure of a trade secret that is made in a complaint or other document filed in a lawsuit or other proceeding, if such filing is made under seal. An individual who files a lawsuit for retaliation by an employer for reporting a suspected violation of law may disclose the trade secret to the attorney of the individual and use the trade secret information in the court proceeding, if the individual files any document containing the trade secret under seal; and does not disclose the trade secret, except pursuant to court order.</w:t>
      </w:r>
    </w:p>
    <w:p>
      <w:pPr>
        <w:spacing w:after="0" w:line="128" w:lineRule="exact"/>
        <w:rPr>
          <w:sz w:val="20"/>
          <w:szCs w:val="20"/>
          <w:color w:val="auto"/>
        </w:rPr>
      </w:pPr>
    </w:p>
    <w:p>
      <w:pPr>
        <w:jc w:val="both"/>
        <w:ind w:firstLine="656"/>
        <w:spacing w:after="0" w:line="253" w:lineRule="auto"/>
        <w:tabs>
          <w:tab w:leader="none" w:pos="1287"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Other Laws</w:t>
      </w:r>
      <w:r>
        <w:rPr>
          <w:rFonts w:ascii="Times New Roman" w:cs="Times New Roman" w:eastAsia="Times New Roman" w:hAnsi="Times New Roman"/>
          <w:sz w:val="20"/>
          <w:szCs w:val="20"/>
          <w:color w:val="auto"/>
        </w:rPr>
        <w:t xml:space="preserve">. This Agreement is not intended to restrict or impede Employee from exercising </w:t>
      </w:r>
      <w:r>
        <w:rPr>
          <w:rFonts w:ascii="Times New Roman" w:cs="Times New Roman" w:eastAsia="Times New Roman" w:hAnsi="Times New Roman"/>
          <w:sz w:val="20"/>
          <w:szCs w:val="20"/>
          <w:color w:val="252525"/>
        </w:rPr>
        <w:t>protected rights to the extent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252525"/>
        </w:rPr>
        <w:t>that such rights cannot be waived by agreement. To the extent any portion of this Agreement does so, the Agreement shall be modified so as to not infringe Employee’s rights. Further, this Agreement is not intended to restrict or impede Employee from complying with any applicable law or regulation or a valid order of a court of competent jurisdiction or an authorized government agency, provided that such compliance does not exceed that required by the law, regulation, or order. The Employee shall promptly provide written notice of any such order to a member of Employer’s legal group.</w:t>
      </w:r>
    </w:p>
    <w:p>
      <w:pPr>
        <w:spacing w:after="0" w:line="138" w:lineRule="exact"/>
        <w:rPr>
          <w:rFonts w:ascii="Times New Roman" w:cs="Times New Roman" w:eastAsia="Times New Roman" w:hAnsi="Times New Roman"/>
          <w:sz w:val="20"/>
          <w:szCs w:val="20"/>
          <w:color w:val="auto"/>
        </w:rPr>
      </w:pPr>
    </w:p>
    <w:p>
      <w:pPr>
        <w:ind w:right="20" w:firstLine="656"/>
        <w:spacing w:after="0" w:line="283" w:lineRule="auto"/>
        <w:tabs>
          <w:tab w:leader="none" w:pos="1287" w:val="left"/>
        </w:tabs>
        <w:numPr>
          <w:ilvl w:val="0"/>
          <w:numId w:val="10"/>
        </w:numPr>
        <w:rPr>
          <w:rFonts w:ascii="Times New Roman" w:cs="Times New Roman" w:eastAsia="Times New Roman" w:hAnsi="Times New Roman"/>
          <w:sz w:val="20"/>
          <w:szCs w:val="20"/>
          <w:color w:val="252525"/>
        </w:rPr>
      </w:pPr>
      <w:r>
        <w:rPr>
          <w:rFonts w:ascii="Times New Roman" w:cs="Times New Roman" w:eastAsia="Times New Roman" w:hAnsi="Times New Roman"/>
          <w:sz w:val="20"/>
          <w:szCs w:val="20"/>
          <w:u w:val="single" w:color="auto"/>
          <w:color w:val="auto"/>
        </w:rPr>
        <w:t>Reason for Separation.</w:t>
      </w:r>
      <w:r>
        <w:rPr>
          <w:rFonts w:ascii="Times New Roman" w:cs="Times New Roman" w:eastAsia="Times New Roman" w:hAnsi="Times New Roman"/>
          <w:sz w:val="20"/>
          <w:szCs w:val="20"/>
          <w:color w:val="auto"/>
        </w:rPr>
        <w:t xml:space="preserve"> This Agreement and its restrictions shall apply to Employee regardless of the eventual reason for Employee’s separation from Employer and regardless of whether such separation shall be voluntary or involuntary.</w:t>
      </w:r>
    </w:p>
    <w:p>
      <w:pPr>
        <w:spacing w:after="0" w:line="88" w:lineRule="exact"/>
        <w:rPr>
          <w:rFonts w:ascii="Times New Roman" w:cs="Times New Roman" w:eastAsia="Times New Roman" w:hAnsi="Times New Roman"/>
          <w:sz w:val="20"/>
          <w:szCs w:val="20"/>
          <w:color w:val="252525"/>
        </w:rPr>
      </w:pPr>
    </w:p>
    <w:p>
      <w:pPr>
        <w:jc w:val="both"/>
        <w:ind w:firstLine="656"/>
        <w:spacing w:after="0" w:line="258" w:lineRule="auto"/>
        <w:tabs>
          <w:tab w:leader="none" w:pos="1287"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Waiver of Jury Trial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b w:val="1"/>
          <w:bCs w:val="1"/>
          <w:color w:val="252525"/>
        </w:rPr>
        <w:t>EACH PARTY IRREVOCABLY AND UNCONDITIONALLY WAIVES, TO THE FULLEST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b w:val="1"/>
          <w:bCs w:val="1"/>
          <w:color w:val="252525"/>
        </w:rPr>
        <w:t>EXTENT PERMITTED BY APPLICABLE LAW, ANY RIGHT IT MAY HAVE TO A TRIAL BY JURY IN ANY LEGAL ACTION, PROCEEDING, CAUSE OF ACTION OR COUNTERCLAIM ARISING OUT OF OR RELATING TO THIS AGREEMENT AND THE PARTIES’ RELATIONSHIP GENERALLY. EACH PARTY CERTIFIES AND ACKNOWLEDGES THAT (A) IT HAS CONSIDERED THE IMPLICATIONS OF THIS WAIVER, (B) IT MAKES THIS WAIVER</w:t>
      </w:r>
    </w:p>
    <w:p>
      <w:pPr>
        <w:sectPr>
          <w:pgSz w:w="11900" w:h="16838" w:orient="portrait"/>
          <w:cols w:equalWidth="0" w:num="1">
            <w:col w:w="11240"/>
          </w:cols>
          <w:pgMar w:left="320" w:top="1048" w:right="339" w:bottom="1440" w:gutter="0" w:footer="0" w:header="0"/>
        </w:sectPr>
      </w:pPr>
    </w:p>
    <w:bookmarkStart w:id="10" w:name="page11"/>
    <w:bookmarkEnd w:id="10"/>
    <w:p>
      <w:pPr>
        <w:spacing w:after="0" w:line="287" w:lineRule="auto"/>
        <w:rPr>
          <w:sz w:val="20"/>
          <w:szCs w:val="20"/>
          <w:color w:val="auto"/>
        </w:rPr>
      </w:pPr>
      <w:r>
        <w:rPr>
          <w:rFonts w:ascii="Times New Roman" w:cs="Times New Roman" w:eastAsia="Times New Roman" w:hAnsi="Times New Roman"/>
          <w:sz w:val="20"/>
          <w:szCs w:val="20"/>
          <w:b w:val="1"/>
          <w:bCs w:val="1"/>
          <w:color w:val="252525"/>
        </w:rPr>
        <w:t>KNOWINGLY AND VOLUNTARILY, AND (C) IT HAS BEEN INDUCED TO ENTER INTO THIS AGREEMENT BY, AMONG OTHER THINGS, THE MUTUAL WAIVERS AND CERTIFICATIONS IN THIS SECTION.</w:t>
      </w:r>
    </w:p>
    <w:p>
      <w:pPr>
        <w:sectPr>
          <w:pgSz w:w="11900" w:h="16838" w:orient="portrait"/>
          <w:cols w:equalWidth="0" w:num="1">
            <w:col w:w="11220"/>
          </w:cols>
          <w:pgMar w:left="320" w:top="1044"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20"/>
          <w:szCs w:val="20"/>
          <w:color w:val="auto"/>
        </w:rPr>
        <w:t>By signing below, the Parties confirm their intent to be legally bound to this Agreement.</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550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By the Employee:</w:t>
            </w:r>
          </w:p>
        </w:tc>
        <w:tc>
          <w:tcPr>
            <w:tcW w:w="41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By the Employer:</w:t>
            </w:r>
          </w:p>
        </w:tc>
      </w:tr>
      <w:tr>
        <w:trPr>
          <w:trHeight w:val="530"/>
        </w:trPr>
        <w:tc>
          <w:tcPr>
            <w:tcW w:w="550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/s/ OLIVIER BOJARSKI</w:t>
            </w:r>
          </w:p>
        </w:tc>
        <w:tc>
          <w:tcPr>
            <w:tcW w:w="41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 RUSSELL SHALLER</w:t>
            </w:r>
          </w:p>
        </w:tc>
      </w:tr>
      <w:tr>
        <w:trPr>
          <w:trHeight w:val="244"/>
        </w:trPr>
        <w:tc>
          <w:tcPr>
            <w:tcW w:w="3260" w:type="dxa"/>
            <w:vAlign w:val="bottom"/>
            <w:tcBorders>
              <w:top w:val="single" w:sz="8" w:color="auto"/>
            </w:tcBorders>
          </w:tcPr>
          <w:p>
            <w:pPr>
              <w:spacing w:after="0"/>
              <w:rPr>
                <w:sz w:val="21"/>
                <w:szCs w:val="21"/>
                <w:color w:val="auto"/>
              </w:rPr>
            </w:pPr>
          </w:p>
        </w:tc>
        <w:tc>
          <w:tcPr>
            <w:tcW w:w="2240" w:type="dxa"/>
            <w:vAlign w:val="bottom"/>
          </w:tcPr>
          <w:p>
            <w:pPr>
              <w:spacing w:after="0"/>
              <w:rPr>
                <w:sz w:val="21"/>
                <w:szCs w:val="21"/>
                <w:color w:val="auto"/>
              </w:rPr>
            </w:pPr>
          </w:p>
        </w:tc>
        <w:tc>
          <w:tcPr>
            <w:tcW w:w="41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President and Chief Executive Officer</w:t>
            </w:r>
          </w:p>
        </w:tc>
      </w:tr>
      <w:tr>
        <w:trPr>
          <w:trHeight w:val="258"/>
        </w:trPr>
        <w:tc>
          <w:tcPr>
            <w:tcW w:w="3260" w:type="dxa"/>
            <w:vAlign w:val="bottom"/>
          </w:tcPr>
          <w:p>
            <w:pPr>
              <w:spacing w:after="0"/>
              <w:rPr>
                <w:sz w:val="22"/>
                <w:szCs w:val="22"/>
                <w:color w:val="auto"/>
              </w:rPr>
            </w:pPr>
          </w:p>
        </w:tc>
        <w:tc>
          <w:tcPr>
            <w:tcW w:w="2240" w:type="dxa"/>
            <w:vAlign w:val="bottom"/>
          </w:tcPr>
          <w:p>
            <w:pPr>
              <w:spacing w:after="0"/>
              <w:rPr>
                <w:sz w:val="22"/>
                <w:szCs w:val="22"/>
                <w:color w:val="auto"/>
              </w:rPr>
            </w:pPr>
          </w:p>
        </w:tc>
        <w:tc>
          <w:tcPr>
            <w:tcW w:w="41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Brady Corporation</w:t>
            </w:r>
          </w:p>
        </w:tc>
      </w:tr>
      <w:tr>
        <w:trPr>
          <w:trHeight w:val="530"/>
        </w:trPr>
        <w:tc>
          <w:tcPr>
            <w:tcW w:w="550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August 3, 2022</w:t>
            </w:r>
          </w:p>
        </w:tc>
        <w:tc>
          <w:tcPr>
            <w:tcW w:w="41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August 3, 2022</w:t>
            </w:r>
          </w:p>
        </w:tc>
      </w:tr>
      <w:tr>
        <w:trPr>
          <w:trHeight w:val="256"/>
        </w:trPr>
        <w:tc>
          <w:tcPr>
            <w:tcW w:w="32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Date</w:t>
            </w:r>
          </w:p>
        </w:tc>
        <w:tc>
          <w:tcPr>
            <w:tcW w:w="2240" w:type="dxa"/>
            <w:vAlign w:val="bottom"/>
          </w:tcPr>
          <w:p>
            <w:pPr>
              <w:spacing w:after="0"/>
              <w:rPr>
                <w:sz w:val="22"/>
                <w:szCs w:val="22"/>
                <w:color w:val="auto"/>
              </w:rPr>
            </w:pPr>
          </w:p>
        </w:tc>
        <w:tc>
          <w:tcPr>
            <w:tcW w:w="41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Date</w:t>
            </w:r>
          </w:p>
        </w:tc>
      </w:tr>
    </w:tbl>
    <w:p>
      <w:pPr>
        <w:sectPr>
          <w:pgSz w:w="11900" w:h="16838" w:orient="portrait"/>
          <w:cols w:equalWidth="0" w:num="1">
            <w:col w:w="9660"/>
          </w:cols>
          <w:pgMar w:left="980" w:top="1048" w:right="1259" w:bottom="1440" w:gutter="0" w:footer="0" w:header="0"/>
        </w:sectPr>
      </w:pPr>
    </w:p>
    <w:bookmarkStart w:id="12" w:name="page13"/>
    <w:bookmarkEnd w:id="12"/>
    <w:p>
      <w:pPr>
        <w:jc w:val="right"/>
        <w:spacing w:after="0"/>
        <w:rPr>
          <w:sz w:val="20"/>
          <w:szCs w:val="20"/>
          <w:color w:val="auto"/>
        </w:rPr>
      </w:pPr>
      <w:r>
        <w:rPr>
          <w:rFonts w:ascii="Times New Roman" w:cs="Times New Roman" w:eastAsia="Times New Roman" w:hAnsi="Times New Roman"/>
          <w:sz w:val="20"/>
          <w:szCs w:val="20"/>
          <w:b w:val="1"/>
          <w:bCs w:val="1"/>
          <w:u w:val="single" w:color="auto"/>
          <w:color w:val="auto"/>
        </w:rPr>
        <w:t>EXHIBIT 99.1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For More Information:</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Investor contact: Ann Thornton 414-438-6887</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Media contact: Kate Venne 414-358-5176</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Brady Corporation appoints Olivier Bojarski as President of its Identification Solutions Business</w:t>
      </w:r>
    </w:p>
    <w:p>
      <w:pPr>
        <w:spacing w:after="0" w:line="274" w:lineRule="exact"/>
        <w:rPr>
          <w:sz w:val="20"/>
          <w:szCs w:val="20"/>
          <w:color w:val="auto"/>
        </w:rPr>
      </w:pPr>
    </w:p>
    <w:p>
      <w:pPr>
        <w:jc w:val="both"/>
        <w:spacing w:after="0" w:line="316" w:lineRule="auto"/>
        <w:rPr>
          <w:sz w:val="20"/>
          <w:szCs w:val="20"/>
          <w:color w:val="auto"/>
        </w:rPr>
      </w:pPr>
      <w:r>
        <w:rPr>
          <w:rFonts w:ascii="Times New Roman" w:cs="Times New Roman" w:eastAsia="Times New Roman" w:hAnsi="Times New Roman"/>
          <w:sz w:val="20"/>
          <w:szCs w:val="20"/>
          <w:color w:val="auto"/>
        </w:rPr>
        <w:t>MILWAUKEE (August 5, 2022) -- Brady Corporation (NYSE: BRC) (“Brady” or “Company”), a world leader in identification solutions, today announced the appointment of Olivier Bojarski to the position of President – Identification Solutions, effective August 25, 2022. Mr. Bojarski will report to Brady’s President and Chief Executive Officer Russell Shaller, and will lead the Company’s largest global division with fiscal 2021 net sales of approximately $841.5 million.</w:t>
      </w:r>
    </w:p>
    <w:p>
      <w:pPr>
        <w:spacing w:after="0" w:line="4" w:lineRule="exact"/>
        <w:rPr>
          <w:sz w:val="20"/>
          <w:szCs w:val="20"/>
          <w:color w:val="auto"/>
        </w:rPr>
      </w:pPr>
    </w:p>
    <w:p>
      <w:pPr>
        <w:jc w:val="both"/>
        <w:ind w:firstLine="648"/>
        <w:spacing w:after="0" w:line="322" w:lineRule="auto"/>
        <w:rPr>
          <w:sz w:val="20"/>
          <w:szCs w:val="20"/>
          <w:color w:val="auto"/>
        </w:rPr>
      </w:pPr>
      <w:r>
        <w:rPr>
          <w:rFonts w:ascii="Times New Roman" w:cs="Times New Roman" w:eastAsia="Times New Roman" w:hAnsi="Times New Roman"/>
          <w:sz w:val="20"/>
          <w:szCs w:val="20"/>
          <w:color w:val="auto"/>
        </w:rPr>
        <w:t>Mr. Bojarski joins Brady from Belden Incorporated, where he served as Executive Vice President of the Broadband and 5G business with global responsibility for connectivity and cable solutions sold into the wireline and wireless broadband markets. During his time at Belden, he also held the roles of President for Thinklogical, a provider of high-performance switches for commercial and military applications, as well as Vice President and General Manager for the EMEA Smart Buildings business with responsibility for networking solutions into datacenters, commercial buildings and the contractor market. Prior to joining Belden in 2016, he was General Manager of a business unit consisting of three global infrastructure businesses within the electrification division of ABB Ltd. Prior to joining ABB Ltd., Mr. Bojarski held a number of positions of increasing responsibility at Panduit Corporation. Mr. Bojarski holds a bachelor’s degree in electrical engineering from the Georgia Institute of Technology and a master’s degree in business administration from Georgia State University.</w:t>
      </w:r>
    </w:p>
    <w:p>
      <w:pPr>
        <w:spacing w:after="0" w:line="4" w:lineRule="exact"/>
        <w:rPr>
          <w:sz w:val="20"/>
          <w:szCs w:val="20"/>
          <w:color w:val="auto"/>
        </w:rPr>
      </w:pPr>
    </w:p>
    <w:p>
      <w:pPr>
        <w:jc w:val="both"/>
        <w:ind w:firstLine="648"/>
        <w:spacing w:after="0" w:line="319" w:lineRule="auto"/>
        <w:rPr>
          <w:sz w:val="20"/>
          <w:szCs w:val="20"/>
          <w:color w:val="auto"/>
        </w:rPr>
      </w:pPr>
      <w:r>
        <w:rPr>
          <w:rFonts w:ascii="Times New Roman" w:cs="Times New Roman" w:eastAsia="Times New Roman" w:hAnsi="Times New Roman"/>
          <w:sz w:val="20"/>
          <w:szCs w:val="20"/>
          <w:color w:val="auto"/>
        </w:rPr>
        <w:t>“Olivier brings a wealth of global expertise and leadership experience along with a track record of success in driving both top and bottom line growth,” said Mr. Shaller. “His strong technical and international background is an excellent addition to the Brady team as we execute our strategy for growth in Identification Solutions.”</w:t>
      </w:r>
    </w:p>
    <w:p>
      <w:pPr>
        <w:spacing w:after="0" w:line="1" w:lineRule="exact"/>
        <w:rPr>
          <w:sz w:val="20"/>
          <w:szCs w:val="20"/>
          <w:color w:val="auto"/>
        </w:rPr>
      </w:pPr>
    </w:p>
    <w:p>
      <w:pPr>
        <w:jc w:val="both"/>
        <w:ind w:firstLine="648"/>
        <w:spacing w:after="0" w:line="338" w:lineRule="auto"/>
        <w:rPr>
          <w:sz w:val="20"/>
          <w:szCs w:val="20"/>
          <w:color w:val="auto"/>
        </w:rPr>
      </w:pPr>
      <w:r>
        <w:rPr>
          <w:rFonts w:ascii="Times New Roman" w:cs="Times New Roman" w:eastAsia="Times New Roman" w:hAnsi="Times New Roman"/>
          <w:sz w:val="20"/>
          <w:szCs w:val="20"/>
          <w:color w:val="auto"/>
        </w:rPr>
        <w:t>“Brady’s Identification Solutions business is an industry leader with innovative safety and identification products and an excellent team of dedicated and talented professionals,” said Mr. Bojarski. “I’m looking forward to working with the Brady team to exceed our customers’ expectations and continue to drive future growth.”</w:t>
      </w:r>
    </w:p>
    <w:p>
      <w:pPr>
        <w:spacing w:after="0" w:line="189" w:lineRule="exact"/>
        <w:rPr>
          <w:sz w:val="20"/>
          <w:szCs w:val="20"/>
          <w:color w:val="auto"/>
        </w:rPr>
      </w:pPr>
    </w:p>
    <w:p>
      <w:pPr>
        <w:jc w:val="both"/>
        <w:ind w:firstLine="648"/>
        <w:spacing w:after="0" w:line="314" w:lineRule="auto"/>
        <w:rPr>
          <w:sz w:val="20"/>
          <w:szCs w:val="20"/>
          <w:color w:val="auto"/>
        </w:rPr>
      </w:pPr>
      <w:r>
        <w:rPr>
          <w:rFonts w:ascii="Times New Roman" w:cs="Times New Roman" w:eastAsia="Times New Roman" w:hAnsi="Times New Roman"/>
          <w:sz w:val="20"/>
          <w:szCs w:val="20"/>
          <w:color w:val="auto"/>
        </w:rPr>
        <w:t xml:space="preserve">Brady Corporation is an international manufacturer and marketer of complete solutions that identify and protect people, products and places. Brady’s products help customers increase safety, security, productivity and performance and include high-performance labels, signs, safety devices, printing systems and software. Founded in 1914, the Company has a diverse customer base in electronics, telecommunications, manufacturing, electrical, construction, medical, aerospace and a variety of other industries. Brady is headquartered in Milwaukee, Wisconsin and as of July 31, 2021, employed approximately 5,700 people in its worldwide businesses. Brady’s fiscal 2021 sales were approximately $1.14 billion. Brady stock trades on the New York Stock Exchange under the symbol BRC. More information is available at </w:t>
      </w:r>
      <w:r>
        <w:rPr>
          <w:rFonts w:ascii="Times New Roman" w:cs="Times New Roman" w:eastAsia="Times New Roman" w:hAnsi="Times New Roman"/>
          <w:sz w:val="20"/>
          <w:szCs w:val="20"/>
          <w:u w:val="single" w:color="auto"/>
          <w:color w:val="0000FF"/>
        </w:rPr>
        <w:t>www.bradyid.com</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20"/>
          <w:szCs w:val="20"/>
          <w:color w:val="auto"/>
        </w:rPr>
        <w:t>###</w:t>
      </w:r>
    </w:p>
    <w:sectPr>
      <w:pgSz w:w="11900" w:h="16838" w:orient="portrait"/>
      <w:cols w:equalWidth="0" w:num="1">
        <w:col w:w="11240"/>
      </w:cols>
      <w:pgMar w:left="320" w:top="88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1)"/>
      <w:numFmt w:val="lowerLetter"/>
      <w:start w:val="3"/>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lowerRoman"/>
      <w:start w:val="1"/>
    </w:lvl>
    <w:lvl w:ilvl="1">
      <w:lvlJc w:val="left"/>
      <w:lvlText w:val="%2."/>
      <w:numFmt w:val="decimal"/>
      <w:start w:val="1"/>
    </w:lvl>
  </w:abstractNum>
  <w:abstractNum w:abstractNumId="4">
    <w:nsid w:val="79E2A9E3"/>
    <w:multiLevelType w:val="hybridMultilevel"/>
    <w:lvl w:ilvl="0">
      <w:lvlJc w:val="left"/>
      <w:lvlText w:val="(%1)"/>
      <w:numFmt w:val="lowerRoman"/>
      <w:start w:val="3"/>
    </w:lvl>
    <w:lvl w:ilvl="1">
      <w:lvlJc w:val="left"/>
      <w:lvlText w:val="%2"/>
      <w:numFmt w:val="decimal"/>
      <w:start w:val="1"/>
    </w:lvl>
  </w:abstractNum>
  <w:abstractNum w:abstractNumId="5">
    <w:nsid w:val="7545E146"/>
    <w:multiLevelType w:val="hybridMultilevel"/>
    <w:lvl w:ilvl="0">
      <w:lvlJc w:val="left"/>
      <w:lvlText w:val="%1."/>
      <w:numFmt w:val="decimal"/>
      <w:start w:val="2"/>
    </w:lvl>
  </w:abstractNum>
  <w:abstractNum w:abstractNumId="6">
    <w:nsid w:val="515F007C"/>
    <w:multiLevelType w:val="hybridMultilevel"/>
    <w:lvl w:ilvl="0">
      <w:lvlJc w:val="left"/>
      <w:lvlText w:val="%1."/>
      <w:numFmt w:val="decimal"/>
      <w:start w:val="5"/>
    </w:lvl>
  </w:abstractNum>
  <w:abstractNum w:abstractNumId="7">
    <w:nsid w:val="5BD062C2"/>
    <w:multiLevelType w:val="hybridMultilevel"/>
    <w:lvl w:ilvl="0">
      <w:lvlJc w:val="left"/>
      <w:lvlText w:val="%1."/>
      <w:numFmt w:val="decimal"/>
      <w:start w:val="12"/>
    </w:lvl>
  </w:abstractNum>
  <w:abstractNum w:abstractNumId="8">
    <w:nsid w:val="12200854"/>
    <w:multiLevelType w:val="hybridMultilevel"/>
    <w:lvl w:ilvl="0">
      <w:lvlJc w:val="left"/>
      <w:lvlText w:val="%1."/>
      <w:numFmt w:val="decimal"/>
      <w:start w:val="17"/>
    </w:lvl>
  </w:abstractNum>
  <w:abstractNum w:abstractNumId="9">
    <w:nsid w:val="4DB127F8"/>
    <w:multiLevelType w:val="hybridMultilevel"/>
    <w:lvl w:ilvl="0">
      <w:lvlJc w:val="left"/>
      <w:lvlText w:val="%1."/>
      <w:numFmt w:val="decimal"/>
      <w:start w:val="2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2022-08-05T06:12:43Z</dcterms:created>
  <dcterms:modified xsi:type="dcterms:W3CDTF">2022-08-05T06:12:43Z</dcterms:modified>
</cp:coreProperties>
</file>