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1831975</wp:posOffset>
            </wp:positionH>
            <wp:positionV relativeFrom="paragraph">
              <wp:posOffset>-224155</wp:posOffset>
            </wp:positionV>
            <wp:extent cx="35845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84575" cy="889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186690</wp:posOffset>
            </wp:positionV>
            <wp:extent cx="3550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700" w:right="420" w:hanging="665"/>
        <w:spacing w:after="0" w:line="256" w:lineRule="auto"/>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October 31, 2017</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00" w:right="420" w:hanging="665"/>
        <w:spacing w:after="0" w:line="256" w:lineRule="auto"/>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50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1-14959</w:t>
      </w: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BRADY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1685925</wp:posOffset>
            </wp:positionH>
            <wp:positionV relativeFrom="paragraph">
              <wp:posOffset>-302895</wp:posOffset>
            </wp:positionV>
            <wp:extent cx="3567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1694815</wp:posOffset>
            </wp:positionH>
            <wp:positionV relativeFrom="paragraph">
              <wp:posOffset>167640</wp:posOffset>
            </wp:positionV>
            <wp:extent cx="3542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660" w:type="dxa"/>
        <w:tblCellMar>
          <w:top w:w="0" w:type="dxa"/>
          <w:left w:w="0" w:type="dxa"/>
          <w:bottom w:w="0" w:type="dxa"/>
          <w:right w:w="0" w:type="dxa"/>
        </w:tblCellMar>
      </w:tblPr>
      <w:tr>
        <w:trPr>
          <w:trHeight w:val="234"/>
        </w:trPr>
        <w:tc>
          <w:tcPr>
            <w:tcW w:w="6900" w:type="dxa"/>
            <w:vAlign w:val="bottom"/>
          </w:tcPr>
          <w:p>
            <w:pPr>
              <w:jc w:val="center"/>
              <w:ind w:right="2840"/>
              <w:spacing w:after="0"/>
              <w:rPr>
                <w:sz w:val="20"/>
                <w:szCs w:val="20"/>
                <w:color w:val="auto"/>
              </w:rPr>
            </w:pPr>
            <w:r>
              <w:rPr>
                <w:rFonts w:ascii="Arial" w:cs="Arial" w:eastAsia="Arial" w:hAnsi="Arial"/>
                <w:sz w:val="18"/>
                <w:szCs w:val="18"/>
                <w:b w:val="1"/>
                <w:bCs w:val="1"/>
                <w:color w:val="auto"/>
                <w:w w:val="86"/>
              </w:rPr>
              <w:t>Wisconsin</w:t>
            </w:r>
          </w:p>
        </w:tc>
        <w:tc>
          <w:tcPr>
            <w:tcW w:w="1340" w:type="dxa"/>
            <w:vAlign w:val="bottom"/>
          </w:tcPr>
          <w:p>
            <w:pPr>
              <w:jc w:val="right"/>
              <w:ind w:right="61"/>
              <w:spacing w:after="0"/>
              <w:rPr>
                <w:sz w:val="20"/>
                <w:szCs w:val="20"/>
                <w:color w:val="auto"/>
              </w:rPr>
            </w:pPr>
            <w:r>
              <w:rPr>
                <w:rFonts w:ascii="Arial" w:cs="Arial" w:eastAsia="Arial" w:hAnsi="Arial"/>
                <w:sz w:val="18"/>
                <w:szCs w:val="18"/>
                <w:b w:val="1"/>
                <w:bCs w:val="1"/>
                <w:color w:val="auto"/>
              </w:rPr>
              <w:t>39-0178960</w:t>
            </w:r>
          </w:p>
        </w:tc>
      </w:tr>
      <w:tr>
        <w:trPr>
          <w:trHeight w:val="180"/>
        </w:trPr>
        <w:tc>
          <w:tcPr>
            <w:tcW w:w="6900" w:type="dxa"/>
            <w:vAlign w:val="bottom"/>
          </w:tcPr>
          <w:p>
            <w:pPr>
              <w:jc w:val="center"/>
              <w:ind w:right="2820"/>
              <w:spacing w:after="0"/>
              <w:rPr>
                <w:sz w:val="20"/>
                <w:szCs w:val="20"/>
                <w:color w:val="auto"/>
              </w:rPr>
            </w:pPr>
            <w:r>
              <w:rPr>
                <w:rFonts w:ascii="Arial" w:cs="Arial" w:eastAsia="Arial" w:hAnsi="Arial"/>
                <w:sz w:val="14"/>
                <w:szCs w:val="14"/>
                <w:b w:val="1"/>
                <w:bCs w:val="1"/>
                <w:color w:val="auto"/>
                <w:w w:val="93"/>
              </w:rPr>
              <w:t>(State or other jurisdiction of</w:t>
            </w:r>
          </w:p>
        </w:tc>
        <w:tc>
          <w:tcPr>
            <w:tcW w:w="1340" w:type="dxa"/>
            <w:vAlign w:val="bottom"/>
          </w:tcPr>
          <w:p>
            <w:pPr>
              <w:jc w:val="center"/>
              <w:ind w:left="1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900" w:type="dxa"/>
            <w:vAlign w:val="bottom"/>
          </w:tcPr>
          <w:p>
            <w:pPr>
              <w:jc w:val="center"/>
              <w:ind w:right="2820"/>
              <w:spacing w:after="0"/>
              <w:rPr>
                <w:sz w:val="20"/>
                <w:szCs w:val="20"/>
                <w:color w:val="auto"/>
              </w:rPr>
            </w:pPr>
            <w:r>
              <w:rPr>
                <w:rFonts w:ascii="Arial" w:cs="Arial" w:eastAsia="Arial" w:hAnsi="Arial"/>
                <w:sz w:val="14"/>
                <w:szCs w:val="14"/>
                <w:b w:val="1"/>
                <w:bCs w:val="1"/>
                <w:color w:val="auto"/>
                <w:w w:val="94"/>
              </w:rPr>
              <w:t>incorporation or organization)</w:t>
            </w:r>
          </w:p>
        </w:tc>
        <w:tc>
          <w:tcPr>
            <w:tcW w:w="1340" w:type="dxa"/>
            <w:vAlign w:val="bottom"/>
          </w:tcPr>
          <w:p>
            <w:pPr>
              <w:jc w:val="center"/>
              <w:ind w:left="141"/>
              <w:spacing w:after="0"/>
              <w:rPr>
                <w:sz w:val="20"/>
                <w:szCs w:val="20"/>
                <w:color w:val="auto"/>
              </w:rPr>
            </w:pPr>
            <w:r>
              <w:rPr>
                <w:rFonts w:ascii="Arial" w:cs="Arial" w:eastAsia="Arial" w:hAnsi="Arial"/>
                <w:sz w:val="14"/>
                <w:szCs w:val="14"/>
                <w:b w:val="1"/>
                <w:bCs w:val="1"/>
                <w:color w:val="auto"/>
                <w:w w:val="94"/>
              </w:rPr>
              <w:t>Identification No.)</w:t>
            </w:r>
          </w:p>
        </w:tc>
      </w:tr>
      <w:tr>
        <w:trPr>
          <w:trHeight w:val="390"/>
        </w:trPr>
        <w:tc>
          <w:tcPr>
            <w:tcW w:w="6900" w:type="dxa"/>
            <w:vAlign w:val="bottom"/>
          </w:tcPr>
          <w:p>
            <w:pPr>
              <w:jc w:val="center"/>
              <w:ind w:right="2840"/>
              <w:spacing w:after="0"/>
              <w:rPr>
                <w:sz w:val="20"/>
                <w:szCs w:val="20"/>
                <w:color w:val="auto"/>
              </w:rPr>
            </w:pPr>
            <w:r>
              <w:rPr>
                <w:rFonts w:ascii="Arial" w:cs="Arial" w:eastAsia="Arial" w:hAnsi="Arial"/>
                <w:sz w:val="18"/>
                <w:szCs w:val="18"/>
                <w:b w:val="1"/>
                <w:bCs w:val="1"/>
                <w:color w:val="auto"/>
                <w:w w:val="90"/>
              </w:rPr>
              <w:t>6555 West Good Hope Road, Milwaukee, Wisconsin</w:t>
            </w:r>
          </w:p>
        </w:tc>
        <w:tc>
          <w:tcPr>
            <w:tcW w:w="1340" w:type="dxa"/>
            <w:vAlign w:val="bottom"/>
          </w:tcPr>
          <w:p>
            <w:pPr>
              <w:jc w:val="right"/>
              <w:ind w:right="261"/>
              <w:spacing w:after="0"/>
              <w:rPr>
                <w:sz w:val="20"/>
                <w:szCs w:val="20"/>
                <w:color w:val="auto"/>
              </w:rPr>
            </w:pPr>
            <w:r>
              <w:rPr>
                <w:rFonts w:ascii="Arial" w:cs="Arial" w:eastAsia="Arial" w:hAnsi="Arial"/>
                <w:sz w:val="18"/>
                <w:szCs w:val="18"/>
                <w:b w:val="1"/>
                <w:bCs w:val="1"/>
                <w:color w:val="auto"/>
              </w:rPr>
              <w:t>53223</w:t>
            </w:r>
          </w:p>
        </w:tc>
      </w:tr>
      <w:tr>
        <w:trPr>
          <w:trHeight w:val="218"/>
        </w:trPr>
        <w:tc>
          <w:tcPr>
            <w:tcW w:w="6900" w:type="dxa"/>
            <w:vAlign w:val="bottom"/>
          </w:tcPr>
          <w:p>
            <w:pPr>
              <w:jc w:val="center"/>
              <w:ind w:right="28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40" w:type="dxa"/>
            <w:vAlign w:val="bottom"/>
          </w:tcPr>
          <w:p>
            <w:pPr>
              <w:jc w:val="center"/>
              <w:ind w:left="121"/>
              <w:spacing w:after="0"/>
              <w:rPr>
                <w:sz w:val="20"/>
                <w:szCs w:val="20"/>
                <w:color w:val="auto"/>
              </w:rPr>
            </w:pPr>
            <w:r>
              <w:rPr>
                <w:rFonts w:ascii="Arial" w:cs="Arial" w:eastAsia="Arial" w:hAnsi="Arial"/>
                <w:sz w:val="14"/>
                <w:szCs w:val="14"/>
                <w:b w:val="1"/>
                <w:bCs w:val="1"/>
                <w:color w:val="auto"/>
                <w:w w:val="95"/>
              </w:rPr>
              <w:t>(Zip Code)</w:t>
            </w:r>
          </w:p>
        </w:tc>
      </w:tr>
      <w:tr>
        <w:trPr>
          <w:trHeight w:val="390"/>
        </w:trPr>
        <w:tc>
          <w:tcPr>
            <w:tcW w:w="6900" w:type="dxa"/>
            <w:vAlign w:val="bottom"/>
          </w:tcPr>
          <w:p>
            <w:pPr>
              <w:jc w:val="right"/>
              <w:ind w:right="1200"/>
              <w:spacing w:after="0"/>
              <w:rPr>
                <w:sz w:val="20"/>
                <w:szCs w:val="20"/>
                <w:color w:val="auto"/>
              </w:rPr>
            </w:pPr>
            <w:r>
              <w:rPr>
                <w:rFonts w:ascii="Arial" w:cs="Arial" w:eastAsia="Arial" w:hAnsi="Arial"/>
                <w:sz w:val="18"/>
                <w:szCs w:val="18"/>
                <w:b w:val="1"/>
                <w:bCs w:val="1"/>
                <w:color w:val="auto"/>
              </w:rPr>
              <w:t>(414) 358-6600</w:t>
            </w:r>
          </w:p>
        </w:tc>
        <w:tc>
          <w:tcPr>
            <w:tcW w:w="1340" w:type="dxa"/>
            <w:vAlign w:val="bottom"/>
          </w:tcPr>
          <w:p>
            <w:pPr>
              <w:spacing w:after="0"/>
              <w:rPr>
                <w:sz w:val="24"/>
                <w:szCs w:val="24"/>
                <w:color w:val="auto"/>
              </w:rPr>
            </w:pPr>
          </w:p>
        </w:tc>
      </w:tr>
      <w:tr>
        <w:trPr>
          <w:trHeight w:val="191"/>
        </w:trPr>
        <w:tc>
          <w:tcPr>
            <w:tcW w:w="6900" w:type="dxa"/>
            <w:vAlign w:val="bottom"/>
          </w:tcPr>
          <w:p>
            <w:pPr>
              <w:jc w:val="center"/>
              <w:ind w:left="31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3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1694815</wp:posOffset>
            </wp:positionH>
            <wp:positionV relativeFrom="paragraph">
              <wp:posOffset>179070</wp:posOffset>
            </wp:positionV>
            <wp:extent cx="3542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38"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9" w:right="239" w:bottom="1440" w:gutter="0" w:footer="0" w:header="0"/>
        </w:sectPr>
      </w:pPr>
    </w:p>
    <w:p>
      <w:pPr>
        <w:spacing w:after="0" w:line="147" w:lineRule="exact"/>
        <w:rPr>
          <w:sz w:val="24"/>
          <w:szCs w:val="24"/>
          <w:color w:val="auto"/>
        </w:rPr>
      </w:pPr>
    </w:p>
    <w:p>
      <w:pPr>
        <w:ind w:left="40"/>
        <w:spacing w:after="0" w:line="161" w:lineRule="exact"/>
        <w:tabs>
          <w:tab w:leader="none" w:pos="2520" w:val="left"/>
          <w:tab w:leader="none" w:pos="3680" w:val="left"/>
          <w:tab w:leader="none" w:pos="6400" w:val="left"/>
          <w:tab w:leader="none" w:pos="754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Emerging growth company</w:t>
      </w:r>
    </w:p>
    <w:p>
      <w:pPr>
        <w:spacing w:after="0" w:line="109" w:lineRule="exact"/>
        <w:rPr>
          <w:sz w:val="24"/>
          <w:szCs w:val="24"/>
          <w:color w:val="auto"/>
        </w:rPr>
      </w:pPr>
    </w:p>
    <w:p>
      <w:pPr>
        <w:ind w:left="40"/>
        <w:spacing w:after="0" w:line="161" w:lineRule="exact"/>
        <w:tabs>
          <w:tab w:leader="none" w:pos="2520" w:val="left"/>
          <w:tab w:leader="none" w:pos="3680" w:val="left"/>
          <w:tab w:leader="none" w:pos="640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82" w:lineRule="exact"/>
        <w:rPr>
          <w:sz w:val="24"/>
          <w:szCs w:val="24"/>
          <w:color w:val="auto"/>
        </w:rPr>
      </w:pPr>
    </w:p>
    <w:p>
      <w:pPr>
        <w:ind w:left="40"/>
        <w:spacing w:after="0" w:line="25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65"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36" w:lineRule="exact"/>
        <w:rPr>
          <w:sz w:val="24"/>
          <w:szCs w:val="24"/>
          <w:color w:val="auto"/>
        </w:rPr>
      </w:pPr>
    </w:p>
    <w:p>
      <w:pPr>
        <w:ind w:left="4220"/>
        <w:spacing w:after="0"/>
        <w:rPr>
          <w:sz w:val="20"/>
          <w:szCs w:val="20"/>
          <w:color w:val="auto"/>
        </w:rPr>
      </w:pPr>
      <w:r>
        <w:rPr>
          <w:rFonts w:ascii="Arial" w:cs="Arial" w:eastAsia="Arial" w:hAnsi="Arial"/>
          <w:sz w:val="14"/>
          <w:szCs w:val="14"/>
          <w:color w:val="auto"/>
        </w:rPr>
        <w:t>APPLICABLE ONLY TO CORPORATE ISSUERS</w:t>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6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70" w:lineRule="exact"/>
        <w:rPr>
          <w:sz w:val="24"/>
          <w:szCs w:val="24"/>
          <w:color w:val="auto"/>
        </w:rPr>
      </w:pPr>
    </w:p>
    <w:p>
      <w:pPr>
        <w:sectPr>
          <w:pgSz w:w="11900" w:h="16838" w:orient="portrait"/>
          <w:cols w:equalWidth="0" w:num="2">
            <w:col w:w="9880" w:space="400"/>
            <w:col w:w="1140"/>
          </w:cols>
          <w:pgMar w:left="240" w:top="229" w:right="239" w:bottom="1440" w:gutter="0" w:footer="0" w:header="0"/>
          <w:type w:val="continuous"/>
        </w:sectPr>
      </w:pPr>
    </w:p>
    <w:p>
      <w:pPr>
        <w:spacing w:after="0" w:line="273" w:lineRule="auto"/>
        <w:rPr>
          <w:sz w:val="20"/>
          <w:szCs w:val="20"/>
          <w:color w:val="auto"/>
        </w:rPr>
      </w:pPr>
      <w:r>
        <w:rPr>
          <w:rFonts w:ascii="Arial" w:cs="Arial" w:eastAsia="Arial" w:hAnsi="Arial"/>
          <w:sz w:val="14"/>
          <w:szCs w:val="14"/>
          <w:color w:val="auto"/>
        </w:rPr>
        <w:t>As of November 14, 2017, there were 48,020,711 outstanding shares of Class A Nonvoting Common Stock and 3,538,628 shares of Class B Voting Common Stock. The Class B Voting Common Stock, all of which is held by affiliates of the Registrant, is the only voting stock.</w:t>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9240" w:type="dxa"/>
            <w:vAlign w:val="bottom"/>
          </w:tcPr>
          <w:p>
            <w:pPr>
              <w:jc w:val="center"/>
              <w:ind w:left="710"/>
              <w:spacing w:after="0"/>
              <w:rPr>
                <w:sz w:val="20"/>
                <w:szCs w:val="20"/>
                <w:color w:val="auto"/>
              </w:rPr>
            </w:pPr>
            <w:r>
              <w:rPr>
                <w:rFonts w:ascii="Arial" w:cs="Arial" w:eastAsia="Arial" w:hAnsi="Arial"/>
                <w:sz w:val="18"/>
                <w:szCs w:val="18"/>
                <w:color w:val="auto"/>
                <w:w w:val="93"/>
              </w:rPr>
              <w:t>FORM 10-Q</w:t>
            </w:r>
          </w:p>
        </w:tc>
        <w:tc>
          <w:tcPr>
            <w:tcW w:w="1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9240" w:type="dxa"/>
            <w:vAlign w:val="bottom"/>
          </w:tcPr>
          <w:p>
            <w:pPr>
              <w:jc w:val="center"/>
              <w:ind w:left="690"/>
              <w:spacing w:after="0"/>
              <w:rPr>
                <w:sz w:val="20"/>
                <w:szCs w:val="20"/>
                <w:color w:val="auto"/>
              </w:rPr>
            </w:pPr>
            <w:r>
              <w:rPr>
                <w:rFonts w:ascii="Arial" w:cs="Arial" w:eastAsia="Arial" w:hAnsi="Arial"/>
                <w:sz w:val="18"/>
                <w:szCs w:val="18"/>
                <w:color w:val="auto"/>
                <w:w w:val="96"/>
              </w:rPr>
              <w:t>BRADY CORPORATION</w:t>
            </w:r>
          </w:p>
        </w:tc>
        <w:tc>
          <w:tcPr>
            <w:tcW w:w="148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9240" w:type="dxa"/>
            <w:vAlign w:val="bottom"/>
          </w:tcPr>
          <w:p>
            <w:pPr>
              <w:jc w:val="center"/>
              <w:ind w:left="710"/>
              <w:spacing w:after="0"/>
              <w:rPr>
                <w:sz w:val="20"/>
                <w:szCs w:val="20"/>
                <w:color w:val="auto"/>
              </w:rPr>
            </w:pPr>
            <w:r>
              <w:rPr>
                <w:rFonts w:ascii="Arial" w:cs="Arial" w:eastAsia="Arial" w:hAnsi="Arial"/>
                <w:sz w:val="18"/>
                <w:szCs w:val="18"/>
                <w:color w:val="auto"/>
              </w:rPr>
              <w:t>INDEX</w:t>
            </w:r>
          </w:p>
        </w:tc>
        <w:tc>
          <w:tcPr>
            <w:tcW w:w="1480" w:type="dxa"/>
            <w:vAlign w:val="bottom"/>
          </w:tcPr>
          <w:p>
            <w:pPr>
              <w:spacing w:after="0"/>
              <w:rPr>
                <w:sz w:val="20"/>
                <w:szCs w:val="20"/>
                <w:color w:val="auto"/>
              </w:rPr>
            </w:pPr>
          </w:p>
        </w:tc>
      </w:tr>
      <w:tr>
        <w:trPr>
          <w:trHeight w:val="844"/>
        </w:trPr>
        <w:tc>
          <w:tcPr>
            <w:tcW w:w="660" w:type="dxa"/>
            <w:vAlign w:val="bottom"/>
          </w:tcPr>
          <w:p>
            <w:pPr>
              <w:spacing w:after="0"/>
              <w:rPr>
                <w:sz w:val="24"/>
                <w:szCs w:val="24"/>
                <w:color w:val="auto"/>
              </w:rPr>
            </w:pPr>
          </w:p>
        </w:tc>
        <w:tc>
          <w:tcPr>
            <w:tcW w:w="9240" w:type="dxa"/>
            <w:vAlign w:val="bottom"/>
          </w:tcPr>
          <w:p>
            <w:pPr>
              <w:spacing w:after="0"/>
              <w:rPr>
                <w:sz w:val="24"/>
                <w:szCs w:val="24"/>
                <w:color w:val="auto"/>
              </w:rPr>
            </w:pPr>
          </w:p>
        </w:tc>
        <w:tc>
          <w:tcPr>
            <w:tcW w:w="14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Page</w:t>
            </w:r>
          </w:p>
        </w:tc>
      </w:tr>
      <w:tr>
        <w:trPr>
          <w:trHeight w:val="243"/>
        </w:trPr>
        <w:tc>
          <w:tcPr>
            <w:tcW w:w="9900" w:type="dxa"/>
            <w:vAlign w:val="bottom"/>
            <w:gridSpan w:val="2"/>
          </w:tcPr>
          <w:p>
            <w:pPr>
              <w:spacing w:after="0"/>
              <w:rPr>
                <w:rFonts w:ascii="Arial" w:cs="Arial" w:eastAsia="Arial" w:hAnsi="Arial"/>
                <w:sz w:val="18"/>
                <w:szCs w:val="18"/>
                <w:color w:val="auto"/>
              </w:rPr>
            </w:pPr>
            <w:hyperlink w:anchor="page3">
              <w:r>
                <w:rPr>
                  <w:rFonts w:ascii="Arial" w:cs="Arial" w:eastAsia="Arial" w:hAnsi="Arial"/>
                  <w:sz w:val="18"/>
                  <w:szCs w:val="18"/>
                  <w:color w:val="auto"/>
                </w:rPr>
                <w:t>PART I. Financial Information</w:t>
              </w:r>
            </w:hyperlink>
          </w:p>
        </w:tc>
        <w:tc>
          <w:tcPr>
            <w:tcW w:w="14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70"/>
        </w:trPr>
        <w:tc>
          <w:tcPr>
            <w:tcW w:w="9900" w:type="dxa"/>
            <w:vAlign w:val="bottom"/>
            <w:gridSpan w:val="2"/>
          </w:tcPr>
          <w:p>
            <w:pPr>
              <w:ind w:left="140"/>
              <w:spacing w:after="0"/>
              <w:rPr>
                <w:rFonts w:ascii="Arial" w:cs="Arial" w:eastAsia="Arial" w:hAnsi="Arial"/>
                <w:sz w:val="18"/>
                <w:szCs w:val="18"/>
                <w:color w:val="auto"/>
              </w:rPr>
            </w:pPr>
            <w:hyperlink w:anchor="page3">
              <w:r>
                <w:rPr>
                  <w:rFonts w:ascii="Arial" w:cs="Arial" w:eastAsia="Arial" w:hAnsi="Arial"/>
                  <w:sz w:val="18"/>
                  <w:szCs w:val="18"/>
                  <w:color w:val="auto"/>
                </w:rPr>
                <w:t>Item 1. Financial Statements (Unaudited)</w:t>
              </w:r>
            </w:hyperlink>
          </w:p>
        </w:tc>
        <w:tc>
          <w:tcPr>
            <w:tcW w:w="14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70"/>
        </w:trPr>
        <w:tc>
          <w:tcPr>
            <w:tcW w:w="9900" w:type="dxa"/>
            <w:vAlign w:val="bottom"/>
            <w:gridSpan w:val="2"/>
          </w:tcPr>
          <w:p>
            <w:pPr>
              <w:ind w:left="340"/>
              <w:spacing w:after="0"/>
              <w:rPr>
                <w:rFonts w:ascii="Arial" w:cs="Arial" w:eastAsia="Arial" w:hAnsi="Arial"/>
                <w:sz w:val="18"/>
                <w:szCs w:val="18"/>
                <w:color w:val="auto"/>
              </w:rPr>
            </w:pPr>
            <w:hyperlink w:anchor="page3">
              <w:r>
                <w:rPr>
                  <w:rFonts w:ascii="Arial" w:cs="Arial" w:eastAsia="Arial" w:hAnsi="Arial"/>
                  <w:sz w:val="18"/>
                  <w:szCs w:val="18"/>
                  <w:color w:val="auto"/>
                </w:rPr>
                <w:t>Condensed Consolidated Balance Sheets</w:t>
              </w:r>
            </w:hyperlink>
          </w:p>
        </w:tc>
        <w:tc>
          <w:tcPr>
            <w:tcW w:w="14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70"/>
        </w:trPr>
        <w:tc>
          <w:tcPr>
            <w:tcW w:w="9900" w:type="dxa"/>
            <w:vAlign w:val="bottom"/>
            <w:gridSpan w:val="2"/>
          </w:tcPr>
          <w:p>
            <w:pPr>
              <w:ind w:left="340"/>
              <w:spacing w:after="0"/>
              <w:rPr>
                <w:rFonts w:ascii="Arial" w:cs="Arial" w:eastAsia="Arial" w:hAnsi="Arial"/>
                <w:sz w:val="18"/>
                <w:szCs w:val="18"/>
                <w:color w:val="auto"/>
              </w:rPr>
            </w:pPr>
            <w:hyperlink w:anchor="page4">
              <w:r>
                <w:rPr>
                  <w:rFonts w:ascii="Arial" w:cs="Arial" w:eastAsia="Arial" w:hAnsi="Arial"/>
                  <w:sz w:val="18"/>
                  <w:szCs w:val="18"/>
                  <w:color w:val="auto"/>
                </w:rPr>
                <w:t>Condensed Consolidated Statements of Earnings</w:t>
              </w:r>
            </w:hyperlink>
          </w:p>
        </w:tc>
        <w:tc>
          <w:tcPr>
            <w:tcW w:w="14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270"/>
        </w:trPr>
        <w:tc>
          <w:tcPr>
            <w:tcW w:w="9900" w:type="dxa"/>
            <w:vAlign w:val="bottom"/>
            <w:gridSpan w:val="2"/>
          </w:tcPr>
          <w:p>
            <w:pPr>
              <w:ind w:left="340"/>
              <w:spacing w:after="0"/>
              <w:rPr>
                <w:rFonts w:ascii="Arial" w:cs="Arial" w:eastAsia="Arial" w:hAnsi="Arial"/>
                <w:sz w:val="18"/>
                <w:szCs w:val="18"/>
                <w:color w:val="auto"/>
              </w:rPr>
            </w:pPr>
            <w:hyperlink w:anchor="page5">
              <w:r>
                <w:rPr>
                  <w:rFonts w:ascii="Arial" w:cs="Arial" w:eastAsia="Arial" w:hAnsi="Arial"/>
                  <w:sz w:val="18"/>
                  <w:szCs w:val="18"/>
                  <w:color w:val="auto"/>
                </w:rPr>
                <w:t>Condensed Consolidated Statements of Comprehensive Income</w:t>
              </w:r>
            </w:hyperlink>
          </w:p>
        </w:tc>
        <w:tc>
          <w:tcPr>
            <w:tcW w:w="14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70"/>
        </w:trPr>
        <w:tc>
          <w:tcPr>
            <w:tcW w:w="9900" w:type="dxa"/>
            <w:vAlign w:val="bottom"/>
            <w:gridSpan w:val="2"/>
          </w:tcPr>
          <w:p>
            <w:pPr>
              <w:ind w:left="340"/>
              <w:spacing w:after="0"/>
              <w:rPr>
                <w:rFonts w:ascii="Arial" w:cs="Arial" w:eastAsia="Arial" w:hAnsi="Arial"/>
                <w:sz w:val="18"/>
                <w:szCs w:val="18"/>
                <w:color w:val="auto"/>
              </w:rPr>
            </w:pPr>
            <w:hyperlink w:anchor="page6">
              <w:r>
                <w:rPr>
                  <w:rFonts w:ascii="Arial" w:cs="Arial" w:eastAsia="Arial" w:hAnsi="Arial"/>
                  <w:sz w:val="18"/>
                  <w:szCs w:val="18"/>
                  <w:color w:val="auto"/>
                </w:rPr>
                <w:t>Condensed Consolidated Statements of Cash Flows</w:t>
              </w:r>
            </w:hyperlink>
          </w:p>
        </w:tc>
        <w:tc>
          <w:tcPr>
            <w:tcW w:w="148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70"/>
        </w:trPr>
        <w:tc>
          <w:tcPr>
            <w:tcW w:w="9900" w:type="dxa"/>
            <w:vAlign w:val="bottom"/>
            <w:gridSpan w:val="2"/>
          </w:tcPr>
          <w:p>
            <w:pPr>
              <w:ind w:left="340"/>
              <w:spacing w:after="0"/>
              <w:rPr>
                <w:rFonts w:ascii="Arial" w:cs="Arial" w:eastAsia="Arial" w:hAnsi="Arial"/>
                <w:sz w:val="18"/>
                <w:szCs w:val="18"/>
                <w:color w:val="auto"/>
              </w:rPr>
            </w:pPr>
            <w:hyperlink w:anchor="page7">
              <w:r>
                <w:rPr>
                  <w:rFonts w:ascii="Arial" w:cs="Arial" w:eastAsia="Arial" w:hAnsi="Arial"/>
                  <w:sz w:val="18"/>
                  <w:szCs w:val="18"/>
                  <w:color w:val="auto"/>
                </w:rPr>
                <w:t>Notes to Condensed Consolidated Financial Statements</w:t>
              </w:r>
            </w:hyperlink>
          </w:p>
        </w:tc>
        <w:tc>
          <w:tcPr>
            <w:tcW w:w="148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r>
      <w:tr>
        <w:trPr>
          <w:trHeight w:val="270"/>
        </w:trPr>
        <w:tc>
          <w:tcPr>
            <w:tcW w:w="660" w:type="dxa"/>
            <w:vAlign w:val="bottom"/>
          </w:tcPr>
          <w:p>
            <w:pPr>
              <w:ind w:left="140"/>
              <w:spacing w:after="0"/>
              <w:rPr>
                <w:rFonts w:ascii="Arial" w:cs="Arial" w:eastAsia="Arial" w:hAnsi="Arial"/>
                <w:sz w:val="18"/>
                <w:szCs w:val="18"/>
                <w:color w:val="auto"/>
                <w:w w:val="90"/>
              </w:rPr>
            </w:pPr>
            <w:hyperlink w:anchor="page17">
              <w:r>
                <w:rPr>
                  <w:rFonts w:ascii="Arial" w:cs="Arial" w:eastAsia="Arial" w:hAnsi="Arial"/>
                  <w:sz w:val="18"/>
                  <w:szCs w:val="18"/>
                  <w:color w:val="auto"/>
                  <w:w w:val="90"/>
                </w:rPr>
                <w:t>Item 2.</w:t>
              </w:r>
            </w:hyperlink>
          </w:p>
        </w:tc>
        <w:tc>
          <w:tcPr>
            <w:tcW w:w="9240" w:type="dxa"/>
            <w:vAlign w:val="bottom"/>
          </w:tcPr>
          <w:p>
            <w:pPr>
              <w:ind w:left="20"/>
              <w:spacing w:after="0"/>
              <w:rPr>
                <w:rFonts w:ascii="Arial" w:cs="Arial" w:eastAsia="Arial" w:hAnsi="Arial"/>
                <w:sz w:val="18"/>
                <w:szCs w:val="18"/>
                <w:color w:val="auto"/>
              </w:rPr>
            </w:pPr>
            <w:hyperlink w:anchor="page17">
              <w:r>
                <w:rPr>
                  <w:rFonts w:ascii="Arial" w:cs="Arial" w:eastAsia="Arial" w:hAnsi="Arial"/>
                  <w:sz w:val="18"/>
                  <w:szCs w:val="18"/>
                  <w:color w:val="auto"/>
                </w:rPr>
                <w:t>Management’s Discussion and Analysis of Results of Operations and Financial Condition</w:t>
              </w:r>
            </w:hyperlink>
          </w:p>
        </w:tc>
        <w:tc>
          <w:tcPr>
            <w:tcW w:w="1480" w:type="dxa"/>
            <w:vAlign w:val="bottom"/>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17</w:t>
              </w:r>
            </w:hyperlink>
          </w:p>
        </w:tc>
      </w:tr>
      <w:tr>
        <w:trPr>
          <w:trHeight w:val="270"/>
        </w:trPr>
        <w:tc>
          <w:tcPr>
            <w:tcW w:w="660" w:type="dxa"/>
            <w:vAlign w:val="bottom"/>
          </w:tcPr>
          <w:p>
            <w:pPr>
              <w:ind w:left="140"/>
              <w:spacing w:after="0"/>
              <w:rPr>
                <w:rFonts w:ascii="Arial" w:cs="Arial" w:eastAsia="Arial" w:hAnsi="Arial"/>
                <w:sz w:val="18"/>
                <w:szCs w:val="18"/>
                <w:color w:val="auto"/>
                <w:w w:val="90"/>
              </w:rPr>
            </w:pPr>
            <w:hyperlink w:anchor="page24">
              <w:r>
                <w:rPr>
                  <w:rFonts w:ascii="Arial" w:cs="Arial" w:eastAsia="Arial" w:hAnsi="Arial"/>
                  <w:sz w:val="18"/>
                  <w:szCs w:val="18"/>
                  <w:color w:val="auto"/>
                  <w:w w:val="90"/>
                </w:rPr>
                <w:t>Item 3.</w:t>
              </w:r>
            </w:hyperlink>
          </w:p>
        </w:tc>
        <w:tc>
          <w:tcPr>
            <w:tcW w:w="9240" w:type="dxa"/>
            <w:vAlign w:val="bottom"/>
          </w:tcPr>
          <w:p>
            <w:pPr>
              <w:ind w:left="20"/>
              <w:spacing w:after="0"/>
              <w:rPr>
                <w:rFonts w:ascii="Arial" w:cs="Arial" w:eastAsia="Arial" w:hAnsi="Arial"/>
                <w:sz w:val="18"/>
                <w:szCs w:val="18"/>
                <w:color w:val="auto"/>
              </w:rPr>
            </w:pPr>
            <w:hyperlink w:anchor="page24">
              <w:r>
                <w:rPr>
                  <w:rFonts w:ascii="Arial" w:cs="Arial" w:eastAsia="Arial" w:hAnsi="Arial"/>
                  <w:sz w:val="18"/>
                  <w:szCs w:val="18"/>
                  <w:color w:val="auto"/>
                </w:rPr>
                <w:t>Quantitative and Qualitative Disclosures About Market Risk</w:t>
              </w:r>
            </w:hyperlink>
          </w:p>
        </w:tc>
        <w:tc>
          <w:tcPr>
            <w:tcW w:w="148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r>
      <w:tr>
        <w:trPr>
          <w:trHeight w:val="270"/>
        </w:trPr>
        <w:tc>
          <w:tcPr>
            <w:tcW w:w="660" w:type="dxa"/>
            <w:vAlign w:val="bottom"/>
          </w:tcPr>
          <w:p>
            <w:pPr>
              <w:ind w:left="140"/>
              <w:spacing w:after="0"/>
              <w:rPr>
                <w:rFonts w:ascii="Arial" w:cs="Arial" w:eastAsia="Arial" w:hAnsi="Arial"/>
                <w:sz w:val="18"/>
                <w:szCs w:val="18"/>
                <w:color w:val="auto"/>
                <w:w w:val="90"/>
              </w:rPr>
            </w:pPr>
            <w:hyperlink w:anchor="page24">
              <w:r>
                <w:rPr>
                  <w:rFonts w:ascii="Arial" w:cs="Arial" w:eastAsia="Arial" w:hAnsi="Arial"/>
                  <w:sz w:val="18"/>
                  <w:szCs w:val="18"/>
                  <w:color w:val="auto"/>
                  <w:w w:val="90"/>
                </w:rPr>
                <w:t>Item 4.</w:t>
              </w:r>
            </w:hyperlink>
          </w:p>
        </w:tc>
        <w:tc>
          <w:tcPr>
            <w:tcW w:w="9240" w:type="dxa"/>
            <w:vAlign w:val="bottom"/>
          </w:tcPr>
          <w:p>
            <w:pPr>
              <w:ind w:left="20"/>
              <w:spacing w:after="0"/>
              <w:rPr>
                <w:rFonts w:ascii="Arial" w:cs="Arial" w:eastAsia="Arial" w:hAnsi="Arial"/>
                <w:sz w:val="18"/>
                <w:szCs w:val="18"/>
                <w:color w:val="auto"/>
              </w:rPr>
            </w:pPr>
            <w:hyperlink w:anchor="page24">
              <w:r>
                <w:rPr>
                  <w:rFonts w:ascii="Arial" w:cs="Arial" w:eastAsia="Arial" w:hAnsi="Arial"/>
                  <w:sz w:val="18"/>
                  <w:szCs w:val="18"/>
                  <w:color w:val="auto"/>
                </w:rPr>
                <w:t>Controls and Procedures</w:t>
              </w:r>
            </w:hyperlink>
          </w:p>
        </w:tc>
        <w:tc>
          <w:tcPr>
            <w:tcW w:w="148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r>
      <w:tr>
        <w:trPr>
          <w:trHeight w:val="270"/>
        </w:trPr>
        <w:tc>
          <w:tcPr>
            <w:tcW w:w="9900" w:type="dxa"/>
            <w:vAlign w:val="bottom"/>
            <w:gridSpan w:val="2"/>
          </w:tcPr>
          <w:p>
            <w:pPr>
              <w:spacing w:after="0"/>
              <w:rPr>
                <w:rFonts w:ascii="Arial" w:cs="Arial" w:eastAsia="Arial" w:hAnsi="Arial"/>
                <w:sz w:val="18"/>
                <w:szCs w:val="18"/>
                <w:color w:val="auto"/>
              </w:rPr>
            </w:pPr>
            <w:hyperlink w:anchor="page25">
              <w:r>
                <w:rPr>
                  <w:rFonts w:ascii="Arial" w:cs="Arial" w:eastAsia="Arial" w:hAnsi="Arial"/>
                  <w:sz w:val="18"/>
                  <w:szCs w:val="18"/>
                  <w:color w:val="auto"/>
                </w:rPr>
                <w:t>PART II. Other Information</w:t>
              </w:r>
            </w:hyperlink>
          </w:p>
        </w:tc>
        <w:tc>
          <w:tcPr>
            <w:tcW w:w="148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25</w:t>
              </w:r>
            </w:hyperlink>
          </w:p>
        </w:tc>
      </w:tr>
      <w:tr>
        <w:trPr>
          <w:trHeight w:val="270"/>
        </w:trPr>
        <w:tc>
          <w:tcPr>
            <w:tcW w:w="660" w:type="dxa"/>
            <w:vAlign w:val="bottom"/>
          </w:tcPr>
          <w:p>
            <w:pPr>
              <w:ind w:left="140"/>
              <w:spacing w:after="0"/>
              <w:rPr>
                <w:rFonts w:ascii="Arial" w:cs="Arial" w:eastAsia="Arial" w:hAnsi="Arial"/>
                <w:sz w:val="18"/>
                <w:szCs w:val="18"/>
                <w:color w:val="auto"/>
                <w:w w:val="90"/>
              </w:rPr>
            </w:pPr>
            <w:hyperlink w:anchor="page25">
              <w:r>
                <w:rPr>
                  <w:rFonts w:ascii="Arial" w:cs="Arial" w:eastAsia="Arial" w:hAnsi="Arial"/>
                  <w:sz w:val="18"/>
                  <w:szCs w:val="18"/>
                  <w:color w:val="auto"/>
                  <w:w w:val="90"/>
                </w:rPr>
                <w:t>Item 6.</w:t>
              </w:r>
            </w:hyperlink>
          </w:p>
        </w:tc>
        <w:tc>
          <w:tcPr>
            <w:tcW w:w="9240" w:type="dxa"/>
            <w:vAlign w:val="bottom"/>
          </w:tcPr>
          <w:p>
            <w:pPr>
              <w:ind w:left="20"/>
              <w:spacing w:after="0"/>
              <w:rPr>
                <w:rFonts w:ascii="Arial" w:cs="Arial" w:eastAsia="Arial" w:hAnsi="Arial"/>
                <w:sz w:val="18"/>
                <w:szCs w:val="18"/>
                <w:color w:val="auto"/>
              </w:rPr>
            </w:pPr>
            <w:hyperlink w:anchor="page25">
              <w:r>
                <w:rPr>
                  <w:rFonts w:ascii="Arial" w:cs="Arial" w:eastAsia="Arial" w:hAnsi="Arial"/>
                  <w:sz w:val="18"/>
                  <w:szCs w:val="18"/>
                  <w:color w:val="auto"/>
                </w:rPr>
                <w:t>Exhibits</w:t>
              </w:r>
            </w:hyperlink>
          </w:p>
        </w:tc>
        <w:tc>
          <w:tcPr>
            <w:tcW w:w="148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25</w:t>
              </w:r>
            </w:hyperlink>
          </w:p>
        </w:tc>
      </w:tr>
      <w:tr>
        <w:trPr>
          <w:trHeight w:val="270"/>
        </w:trPr>
        <w:tc>
          <w:tcPr>
            <w:tcW w:w="9900" w:type="dxa"/>
            <w:vAlign w:val="bottom"/>
            <w:gridSpan w:val="2"/>
          </w:tcPr>
          <w:p>
            <w:pPr>
              <w:ind w:left="140"/>
              <w:spacing w:after="0"/>
              <w:rPr>
                <w:rFonts w:ascii="Arial" w:cs="Arial" w:eastAsia="Arial" w:hAnsi="Arial"/>
                <w:sz w:val="18"/>
                <w:szCs w:val="18"/>
                <w:color w:val="auto"/>
              </w:rPr>
            </w:pPr>
            <w:hyperlink w:anchor="page26">
              <w:r>
                <w:rPr>
                  <w:rFonts w:ascii="Arial" w:cs="Arial" w:eastAsia="Arial" w:hAnsi="Arial"/>
                  <w:sz w:val="18"/>
                  <w:szCs w:val="18"/>
                  <w:color w:val="auto"/>
                </w:rPr>
                <w:t>Signatures</w:t>
              </w:r>
            </w:hyperlink>
          </w:p>
        </w:tc>
        <w:tc>
          <w:tcPr>
            <w:tcW w:w="148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r>
      <w:tr>
        <w:trPr>
          <w:trHeight w:val="486"/>
        </w:trPr>
        <w:tc>
          <w:tcPr>
            <w:tcW w:w="660" w:type="dxa"/>
            <w:vAlign w:val="bottom"/>
          </w:tcPr>
          <w:p>
            <w:pPr>
              <w:spacing w:after="0"/>
              <w:rPr>
                <w:sz w:val="24"/>
                <w:szCs w:val="24"/>
                <w:color w:val="auto"/>
              </w:rPr>
            </w:pPr>
          </w:p>
        </w:tc>
        <w:tc>
          <w:tcPr>
            <w:tcW w:w="9240" w:type="dxa"/>
            <w:vAlign w:val="bottom"/>
          </w:tcPr>
          <w:p>
            <w:pPr>
              <w:jc w:val="center"/>
              <w:ind w:left="690"/>
              <w:spacing w:after="0"/>
              <w:rPr>
                <w:sz w:val="20"/>
                <w:szCs w:val="20"/>
                <w:color w:val="auto"/>
              </w:rPr>
            </w:pPr>
            <w:r>
              <w:rPr>
                <w:rFonts w:ascii="Arial" w:cs="Arial" w:eastAsia="Arial" w:hAnsi="Arial"/>
                <w:sz w:val="18"/>
                <w:szCs w:val="18"/>
                <w:color w:val="auto"/>
                <w:w w:val="99"/>
              </w:rPr>
              <w:t>2</w:t>
            </w: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29"/>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PART I. FINANCIAL INFORMATION</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6"/>
        </w:trPr>
        <w:tc>
          <w:tcPr>
            <w:tcW w:w="8120" w:type="dxa"/>
            <w:vAlign w:val="bottom"/>
            <w:gridSpan w:val="2"/>
          </w:tcPr>
          <w:p>
            <w:pPr>
              <w:spacing w:after="0"/>
              <w:rPr>
                <w:sz w:val="20"/>
                <w:szCs w:val="20"/>
                <w:color w:val="auto"/>
              </w:rPr>
            </w:pPr>
            <w:r>
              <w:rPr>
                <w:rFonts w:ascii="Arial" w:cs="Arial" w:eastAsia="Arial" w:hAnsi="Arial"/>
                <w:sz w:val="16"/>
                <w:szCs w:val="16"/>
                <w:color w:val="auto"/>
              </w:rPr>
              <w:t>ITEM 1. FINANCIAL STATEMENTS</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357"/>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BRADY CORPORATION AND SUBSIDIARIES</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BALANCE SHEETS</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Dollars in Thousands)</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78"/>
        </w:trPr>
        <w:tc>
          <w:tcPr>
            <w:tcW w:w="10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October 31, 2017</w:t>
            </w:r>
          </w:p>
        </w:tc>
        <w:tc>
          <w:tcPr>
            <w:tcW w:w="220" w:type="dxa"/>
            <w:vAlign w:val="bottom"/>
          </w:tcPr>
          <w:p>
            <w:pPr>
              <w:spacing w:after="0"/>
              <w:rPr>
                <w:sz w:val="24"/>
                <w:szCs w:val="24"/>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b w:val="1"/>
                <w:bCs w:val="1"/>
                <w:color w:val="auto"/>
              </w:rPr>
              <w:t>July 31, 2017</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10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(Unaudited)</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7100" w:type="dxa"/>
            <w:vAlign w:val="bottom"/>
            <w:tcBorders>
              <w:bottom w:val="single" w:sz="8" w:color="CCEEFF"/>
            </w:tcBorders>
            <w:shd w:val="clear" w:color="auto" w:fill="CCEEFF"/>
          </w:tcPr>
          <w:p>
            <w:pPr>
              <w:jc w:val="center"/>
              <w:ind w:right="939"/>
              <w:spacing w:after="0"/>
              <w:rPr>
                <w:sz w:val="20"/>
                <w:szCs w:val="20"/>
                <w:color w:val="auto"/>
              </w:rPr>
            </w:pPr>
            <w:r>
              <w:rPr>
                <w:rFonts w:ascii="Arial" w:cs="Arial" w:eastAsia="Arial" w:hAnsi="Arial"/>
                <w:sz w:val="16"/>
                <w:szCs w:val="16"/>
                <w:b w:val="1"/>
                <w:bCs w:val="1"/>
                <w:color w:val="auto"/>
                <w:w w:val="93"/>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Current assets: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142,237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133,944</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Accounts receivable—net</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152,698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149,638</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Finished products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69,458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69,760</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Work-in-process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18,117</w:t>
            </w: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Raw materials and supplies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21,152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19,147</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7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inventories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109,662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107,024</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19,045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17,208</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Total current assets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423,642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407,814</w:t>
            </w: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Other assets: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433,704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437,697</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Other intangible assets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51,200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53,076</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36,281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35,456</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17,072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18,077</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24"/>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Cost:</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Land</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7,470</w:t>
            </w: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Buildings and improvements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97,457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98,228</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Machinery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262,820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261,192</w:t>
            </w: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Construction in progress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4,123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4,109</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7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371,744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370,999</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Less accumulated depreciation</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276,030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272,896</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Property, plant and equipment—net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95,714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98,103</w:t>
            </w:r>
          </w:p>
        </w:tc>
      </w:tr>
      <w:tr>
        <w:trPr>
          <w:trHeight w:val="217"/>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1,057,613</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1,050,223</w:t>
            </w:r>
          </w:p>
        </w:tc>
      </w:tr>
      <w:tr>
        <w:trPr>
          <w:trHeight w:val="73"/>
        </w:trPr>
        <w:tc>
          <w:tcPr>
            <w:tcW w:w="1020" w:type="dxa"/>
            <w:vAlign w:val="bottom"/>
            <w:tcBorders>
              <w:bottom w:val="single" w:sz="8" w:color="CCEEFF"/>
            </w:tcBorders>
          </w:tcPr>
          <w:p>
            <w:pPr>
              <w:spacing w:after="0"/>
              <w:rPr>
                <w:sz w:val="6"/>
                <w:szCs w:val="6"/>
                <w:color w:val="auto"/>
              </w:rPr>
            </w:pPr>
          </w:p>
        </w:tc>
        <w:tc>
          <w:tcPr>
            <w:tcW w:w="7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r>
      <w:tr>
        <w:trPr>
          <w:trHeight w:val="177"/>
        </w:trPr>
        <w:tc>
          <w:tcPr>
            <w:tcW w:w="1020" w:type="dxa"/>
            <w:vAlign w:val="bottom"/>
            <w:shd w:val="clear" w:color="auto" w:fill="CCEEFF"/>
          </w:tcPr>
          <w:p>
            <w:pPr>
              <w:spacing w:after="0"/>
              <w:rPr>
                <w:sz w:val="15"/>
                <w:szCs w:val="15"/>
                <w:color w:val="auto"/>
              </w:rPr>
            </w:pPr>
          </w:p>
        </w:tc>
        <w:tc>
          <w:tcPr>
            <w:tcW w:w="7100" w:type="dxa"/>
            <w:vAlign w:val="bottom"/>
            <w:shd w:val="clear" w:color="auto" w:fill="CCEEFF"/>
          </w:tcPr>
          <w:p>
            <w:pPr>
              <w:jc w:val="center"/>
              <w:ind w:right="939"/>
              <w:spacing w:after="0" w:line="177" w:lineRule="exact"/>
              <w:rPr>
                <w:sz w:val="20"/>
                <w:szCs w:val="20"/>
                <w:color w:val="auto"/>
              </w:rPr>
            </w:pPr>
            <w:r>
              <w:rPr>
                <w:rFonts w:ascii="Arial" w:cs="Arial" w:eastAsia="Arial" w:hAnsi="Arial"/>
                <w:sz w:val="16"/>
                <w:szCs w:val="16"/>
                <w:b w:val="1"/>
                <w:bCs w:val="1"/>
                <w:color w:val="auto"/>
              </w:rPr>
              <w:t>LIABILITIES AND STOCKHOLDERS’ INVESTMENT</w:t>
            </w: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74"/>
        </w:trPr>
        <w:tc>
          <w:tcPr>
            <w:tcW w:w="1020" w:type="dxa"/>
            <w:vAlign w:val="bottom"/>
            <w:shd w:val="clear" w:color="auto" w:fill="CCEEFF"/>
          </w:tcPr>
          <w:p>
            <w:pPr>
              <w:spacing w:after="0"/>
              <w:rPr>
                <w:sz w:val="6"/>
                <w:szCs w:val="6"/>
                <w:color w:val="auto"/>
              </w:rPr>
            </w:pPr>
          </w:p>
        </w:tc>
        <w:tc>
          <w:tcPr>
            <w:tcW w:w="7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Notes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3,228</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Accounts payable</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64,902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66,817</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Wages and amounts withheld from employees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64,863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58,192</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Taxes, other than income taxes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8,242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7,970</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7,373</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Other current liabilities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45,455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43,618</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Total current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193,785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187,198</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Long-term obligations, less current maturities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93,810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104,536</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Other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57,347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58,349</w:t>
            </w:r>
          </w:p>
        </w:tc>
      </w:tr>
      <w:tr>
        <w:trPr>
          <w:trHeight w:val="217"/>
        </w:trPr>
        <w:tc>
          <w:tcPr>
            <w:tcW w:w="8120" w:type="dxa"/>
            <w:vAlign w:val="bottom"/>
            <w:gridSpan w:val="2"/>
          </w:tcPr>
          <w:p>
            <w:pPr>
              <w:ind w:left="720"/>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344,942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350,083</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Stockholders’ investment: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20"/>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Class A nonvoting common stock—Issued 51,261,487 and 51,261,487 shares, respectively, and</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6"/>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outstanding 48,020,711 and 47,814,818 shares, respectively</w:t>
            </w:r>
          </w:p>
        </w:tc>
        <w:tc>
          <w:tcPr>
            <w:tcW w:w="160" w:type="dxa"/>
            <w:vAlign w:val="bottom"/>
          </w:tcPr>
          <w:p>
            <w:pPr>
              <w:spacing w:after="0"/>
              <w:rPr>
                <w:sz w:val="17"/>
                <w:szCs w:val="17"/>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513</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Class B voting common stock—Issued and outstanding, 3,538,628 shares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322,657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322,608</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Earnings retained in the business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522,334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507,136</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Treasury stock—3,240,776 and 3,446,669 shares, respectively, of Class A nonvoting common stock, at cost</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(80,806)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(85,470)</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(52,062)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(44,682)</w:t>
            </w:r>
          </w:p>
        </w:tc>
      </w:tr>
      <w:tr>
        <w:trPr>
          <w:trHeight w:val="217"/>
        </w:trPr>
        <w:tc>
          <w:tcPr>
            <w:tcW w:w="8120" w:type="dxa"/>
            <w:vAlign w:val="bottom"/>
            <w:gridSpan w:val="2"/>
          </w:tcPr>
          <w:p>
            <w:pPr>
              <w:ind w:left="720"/>
              <w:spacing w:after="0"/>
              <w:rPr>
                <w:sz w:val="20"/>
                <w:szCs w:val="20"/>
                <w:color w:val="auto"/>
              </w:rPr>
            </w:pPr>
            <w:r>
              <w:rPr>
                <w:rFonts w:ascii="Arial" w:cs="Arial" w:eastAsia="Arial" w:hAnsi="Arial"/>
                <w:sz w:val="16"/>
                <w:szCs w:val="16"/>
                <w:b w:val="1"/>
                <w:bCs w:val="1"/>
                <w:color w:val="auto"/>
              </w:rPr>
              <w:t>Total stockholders’ investment</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712,671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700,140</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1,057,613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1,050,223</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420"/>
          </w:cols>
          <w:pgMar w:left="240" w:top="114" w:right="239" w:bottom="125"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4" w:right="239" w:bottom="125"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858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25"/>
        </w:trPr>
        <w:tc>
          <w:tcPr>
            <w:tcW w:w="8580" w:type="dxa"/>
            <w:vAlign w:val="bottom"/>
            <w:gridSpan w:val="2"/>
          </w:tcPr>
          <w:p>
            <w:pPr>
              <w:spacing w:after="0"/>
              <w:rPr>
                <w:sz w:val="20"/>
                <w:szCs w:val="20"/>
                <w:color w:val="auto"/>
              </w:rPr>
            </w:pPr>
            <w:r>
              <w:rPr>
                <w:rFonts w:ascii="Arial" w:cs="Arial" w:eastAsia="Arial" w:hAnsi="Arial"/>
                <w:sz w:val="16"/>
                <w:szCs w:val="16"/>
                <w:b w:val="1"/>
                <w:bCs w:val="1"/>
                <w:color w:val="auto"/>
              </w:rPr>
              <w:t>BRADY CORPORATION AND SUBSIDIARIES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3"/>
        </w:trPr>
        <w:tc>
          <w:tcPr>
            <w:tcW w:w="858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STATEMENTS OF EARNINGS</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6"/>
        </w:trPr>
        <w:tc>
          <w:tcPr>
            <w:tcW w:w="8580" w:type="dxa"/>
            <w:vAlign w:val="bottom"/>
            <w:gridSpan w:val="2"/>
          </w:tcPr>
          <w:p>
            <w:pPr>
              <w:spacing w:after="0"/>
              <w:rPr>
                <w:sz w:val="20"/>
                <w:szCs w:val="20"/>
                <w:color w:val="auto"/>
              </w:rPr>
            </w:pPr>
            <w:r>
              <w:rPr>
                <w:rFonts w:ascii="Arial" w:cs="Arial" w:eastAsia="Arial" w:hAnsi="Arial"/>
                <w:sz w:val="16"/>
                <w:szCs w:val="16"/>
                <w:color w:val="auto"/>
              </w:rPr>
              <w:t>(Dollars in Thousands, Except Per Share Amounts)</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365"/>
        </w:trPr>
        <w:tc>
          <w:tcPr>
            <w:tcW w:w="10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w w:val="93"/>
              </w:rPr>
              <w:t>Three months ended October 31,</w:t>
            </w:r>
          </w:p>
        </w:tc>
      </w:tr>
      <w:tr>
        <w:trPr>
          <w:trHeight w:val="270"/>
        </w:trPr>
        <w:tc>
          <w:tcPr>
            <w:tcW w:w="1020" w:type="dxa"/>
            <w:vAlign w:val="bottom"/>
          </w:tcPr>
          <w:p>
            <w:pPr>
              <w:spacing w:after="0"/>
              <w:rPr>
                <w:sz w:val="23"/>
                <w:szCs w:val="23"/>
                <w:color w:val="auto"/>
              </w:rPr>
            </w:pPr>
          </w:p>
        </w:tc>
        <w:tc>
          <w:tcPr>
            <w:tcW w:w="7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920" w:type="dxa"/>
            <w:vAlign w:val="bottom"/>
          </w:tcPr>
          <w:p>
            <w:pPr>
              <w:spacing w:after="0"/>
              <w:rPr>
                <w:sz w:val="23"/>
                <w:szCs w:val="23"/>
                <w:color w:val="auto"/>
              </w:rPr>
            </w:pP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10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r>
      <w:tr>
        <w:trPr>
          <w:trHeight w:val="33"/>
        </w:trPr>
        <w:tc>
          <w:tcPr>
            <w:tcW w:w="1020" w:type="dxa"/>
            <w:vAlign w:val="bottom"/>
            <w:tcBorders>
              <w:bottom w:val="single" w:sz="8" w:color="CCEEFF"/>
            </w:tcBorders>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290,151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280,176</w:t>
            </w: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Cost of products sold</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144,086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139,818</w:t>
            </w:r>
          </w:p>
        </w:tc>
      </w:tr>
      <w:tr>
        <w:trPr>
          <w:trHeight w:val="33"/>
        </w:trPr>
        <w:tc>
          <w:tcPr>
            <w:tcW w:w="1020" w:type="dxa"/>
            <w:vAlign w:val="bottom"/>
            <w:tcBorders>
              <w:bottom w:val="single" w:sz="8" w:color="CCEEFF"/>
            </w:tcBorders>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Gross margin</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146,065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140,358</w:t>
            </w: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9,146</w:t>
            </w:r>
          </w:p>
        </w:tc>
      </w:tr>
      <w:tr>
        <w:trPr>
          <w:trHeight w:val="23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100,134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98,004</w:t>
            </w:r>
          </w:p>
        </w:tc>
      </w:tr>
      <w:tr>
        <w:trPr>
          <w:trHeight w:val="33"/>
        </w:trPr>
        <w:tc>
          <w:tcPr>
            <w:tcW w:w="1020" w:type="dxa"/>
            <w:vAlign w:val="bottom"/>
            <w:tcBorders>
              <w:bottom w:val="single" w:sz="8" w:color="CCEEFF"/>
            </w:tcBorders>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110,654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107,150</w:t>
            </w: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35,411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33,208</w:t>
            </w: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Investment and other income (expense)</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(489)</w:t>
            </w: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(1,732)</w:t>
            </w: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Earnings before income taxes</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34,764</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30,987</w:t>
            </w: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8,928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8,434</w:t>
            </w:r>
          </w:p>
        </w:tc>
      </w:tr>
      <w:tr>
        <w:trPr>
          <w:trHeight w:val="284"/>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earnings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25,836</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22,553</w:t>
            </w:r>
          </w:p>
        </w:tc>
      </w:tr>
      <w:tr>
        <w:trPr>
          <w:trHeight w:val="23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earnings per Class A Nonvoting Common Share:</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3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0.45</w:t>
            </w: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0.44</w:t>
            </w:r>
          </w:p>
        </w:tc>
      </w:tr>
      <w:tr>
        <w:trPr>
          <w:trHeight w:val="23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Dividends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0.21</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0.21</w:t>
            </w: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earnings per Class B Voting Common Share: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0.49</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0.43</w:t>
            </w: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0.42</w:t>
            </w:r>
          </w:p>
        </w:tc>
      </w:tr>
      <w:tr>
        <w:trPr>
          <w:trHeight w:val="23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Dividends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0.19</w:t>
            </w: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(in thousands):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51,440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50,634</w:t>
            </w: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85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52,383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51,455</w:t>
            </w:r>
          </w:p>
        </w:tc>
      </w:tr>
      <w:tr>
        <w:trPr>
          <w:trHeight w:val="33"/>
        </w:trPr>
        <w:tc>
          <w:tcPr>
            <w:tcW w:w="1020" w:type="dxa"/>
            <w:vAlign w:val="bottom"/>
            <w:shd w:val="clear" w:color="auto" w:fill="CCEEFF"/>
          </w:tcPr>
          <w:p>
            <w:pPr>
              <w:spacing w:after="0"/>
              <w:rPr>
                <w:sz w:val="2"/>
                <w:szCs w:val="2"/>
                <w:color w:val="auto"/>
              </w:rPr>
            </w:pPr>
          </w:p>
        </w:tc>
        <w:tc>
          <w:tcPr>
            <w:tcW w:w="7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4"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ind w:right="1900"/>
        <w:spacing w:after="0" w:line="275" w:lineRule="auto"/>
        <w:rPr>
          <w:sz w:val="20"/>
          <w:szCs w:val="20"/>
          <w:color w:val="auto"/>
        </w:rPr>
      </w:pPr>
      <w:r>
        <w:rPr>
          <w:rFonts w:ascii="Arial" w:cs="Arial" w:eastAsia="Arial" w:hAnsi="Arial"/>
          <w:sz w:val="16"/>
          <w:szCs w:val="16"/>
          <w:b w:val="1"/>
          <w:bCs w:val="1"/>
          <w:color w:val="auto"/>
        </w:rPr>
        <w:t xml:space="preserve">CONDENSED CONSOLIDATED STATEMENTS OF COMPREHENSIVE INCOME </w:t>
      </w:r>
      <w:r>
        <w:rPr>
          <w:rFonts w:ascii="Arial" w:cs="Arial" w:eastAsia="Arial" w:hAnsi="Arial"/>
          <w:sz w:val="16"/>
          <w:szCs w:val="16"/>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801370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earnings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Foreign currency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Net investment hedge and long-term intercompany loan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7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Cash flow hedges: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Net (loss) gain recognized in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Reclassification adjustment for losses included in 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Pension and other post-retirement benefits actuarial gain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loss,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tax expense related to items of other comprehensive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 October 31,</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37465</wp:posOffset>
            </wp:positionV>
            <wp:extent cx="18097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0" w:lineRule="exact"/>
        <w:rPr>
          <w:sz w:val="20"/>
          <w:szCs w:val="20"/>
          <w:color w:val="auto"/>
        </w:rPr>
      </w:pPr>
    </w:p>
    <w:p>
      <w:pPr>
        <w:ind w:left="500"/>
        <w:spacing w:after="0"/>
        <w:tabs>
          <w:tab w:leader="none" w:pos="1960" w:val="left"/>
        </w:tabs>
        <w:rPr>
          <w:sz w:val="20"/>
          <w:szCs w:val="20"/>
          <w:color w:val="auto"/>
        </w:rPr>
      </w:pPr>
      <w:r>
        <w:rPr>
          <w:rFonts w:ascii="Arial" w:cs="Arial" w:eastAsia="Arial" w:hAnsi="Arial"/>
          <w:sz w:val="16"/>
          <w:szCs w:val="16"/>
          <w:b w:val="1"/>
          <w:bCs w:val="1"/>
          <w:color w:val="auto"/>
        </w:rPr>
        <w:t>2017</w:t>
      </w:r>
      <w:r>
        <w:rPr>
          <w:sz w:val="20"/>
          <w:szCs w:val="20"/>
          <w:color w:val="auto"/>
        </w:rPr>
        <w:tab/>
      </w:r>
      <w:r>
        <w:rPr>
          <w:rFonts w:ascii="Arial" w:cs="Arial" w:eastAsia="Arial" w:hAnsi="Arial"/>
          <w:sz w:val="16"/>
          <w:szCs w:val="16"/>
          <w:b w:val="1"/>
          <w:bCs w:val="1"/>
          <w:color w:val="auto"/>
        </w:rPr>
        <w:t>2016</w:t>
      </w:r>
    </w:p>
    <w:p>
      <w:pPr>
        <w:spacing w:after="0" w:line="90" w:lineRule="exact"/>
        <w:rPr>
          <w:sz w:val="20"/>
          <w:szCs w:val="20"/>
          <w:color w:val="auto"/>
        </w:rPr>
      </w:pPr>
    </w:p>
    <w:p>
      <w:pPr>
        <w:spacing w:after="0"/>
        <w:tabs>
          <w:tab w:leader="none" w:pos="780" w:val="left"/>
          <w:tab w:leader="none" w:pos="1480" w:val="left"/>
          <w:tab w:leader="none" w:pos="22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25,836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22,553</w:t>
      </w:r>
    </w:p>
    <w:p>
      <w:pPr>
        <w:spacing w:after="0" w:line="356" w:lineRule="exact"/>
        <w:rPr>
          <w:sz w:val="20"/>
          <w:szCs w:val="20"/>
          <w:color w:val="auto"/>
        </w:rPr>
      </w:pPr>
    </w:p>
    <w:p>
      <w:pPr>
        <w:jc w:val="both"/>
        <w:ind w:left="820"/>
        <w:spacing w:after="0"/>
        <w:tabs>
          <w:tab w:leader="none" w:pos="2200" w:val="left"/>
        </w:tabs>
        <w:rPr>
          <w:sz w:val="20"/>
          <w:szCs w:val="20"/>
          <w:color w:val="auto"/>
        </w:rPr>
      </w:pPr>
      <w:r>
        <w:rPr>
          <w:rFonts w:ascii="Arial" w:cs="Arial" w:eastAsia="Arial" w:hAnsi="Arial"/>
          <w:sz w:val="16"/>
          <w:szCs w:val="16"/>
          <w:color w:val="auto"/>
        </w:rPr>
        <w:t>(5,383)</w:t>
      </w:r>
      <w:r>
        <w:rPr>
          <w:sz w:val="20"/>
          <w:szCs w:val="20"/>
          <w:color w:val="auto"/>
        </w:rPr>
        <w:tab/>
      </w:r>
      <w:r>
        <w:rPr>
          <w:rFonts w:ascii="Arial" w:cs="Arial" w:eastAsia="Arial" w:hAnsi="Arial"/>
          <w:sz w:val="16"/>
          <w:szCs w:val="16"/>
          <w:color w:val="auto"/>
        </w:rPr>
        <w:t>(14,254)</w:t>
      </w:r>
    </w:p>
    <w:p>
      <w:pPr>
        <w:spacing w:after="0" w:line="383" w:lineRule="exact"/>
        <w:rPr>
          <w:sz w:val="20"/>
          <w:szCs w:val="20"/>
          <w:color w:val="auto"/>
        </w:rPr>
      </w:pPr>
    </w:p>
    <w:p>
      <w:pPr>
        <w:ind w:left="820"/>
        <w:spacing w:after="0"/>
        <w:tabs>
          <w:tab w:leader="none" w:pos="2320" w:val="left"/>
        </w:tabs>
        <w:rPr>
          <w:sz w:val="20"/>
          <w:szCs w:val="20"/>
          <w:color w:val="auto"/>
        </w:rPr>
      </w:pPr>
      <w:r>
        <w:rPr>
          <w:rFonts w:ascii="Arial" w:cs="Arial" w:eastAsia="Arial" w:hAnsi="Arial"/>
          <w:sz w:val="16"/>
          <w:szCs w:val="16"/>
          <w:color w:val="auto"/>
        </w:rPr>
        <w:t>(1,172)</w:t>
      </w:r>
      <w:r>
        <w:rPr>
          <w:sz w:val="20"/>
          <w:szCs w:val="20"/>
          <w:color w:val="auto"/>
        </w:rPr>
        <w:tab/>
      </w:r>
      <w:r>
        <w:rPr>
          <w:rFonts w:ascii="Arial" w:cs="Arial" w:eastAsia="Arial" w:hAnsi="Arial"/>
          <w:sz w:val="16"/>
          <w:szCs w:val="16"/>
          <w:color w:val="auto"/>
        </w:rPr>
        <w:t>3,184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460" w:hanging="1517"/>
        <w:spacing w:after="0"/>
        <w:tabs>
          <w:tab w:leader="none" w:pos="2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298</w:t>
      </w:r>
    </w:p>
    <w:p>
      <w:pPr>
        <w:spacing w:after="0" w:line="86" w:lineRule="exact"/>
        <w:rPr>
          <w:sz w:val="20"/>
          <w:szCs w:val="20"/>
          <w:color w:val="auto"/>
        </w:rPr>
      </w:pPr>
    </w:p>
    <w:p>
      <w:pPr>
        <w:ind w:left="1080"/>
        <w:spacing w:after="0"/>
        <w:tabs>
          <w:tab w:leader="none" w:pos="2440"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6"/>
          <w:szCs w:val="16"/>
          <w:color w:val="auto"/>
        </w:rPr>
        <w:t>405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34925</wp:posOffset>
            </wp:positionV>
            <wp:extent cx="1809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66" w:lineRule="exact"/>
        <w:rPr>
          <w:sz w:val="20"/>
          <w:szCs w:val="20"/>
          <w:color w:val="auto"/>
        </w:rPr>
      </w:pPr>
    </w:p>
    <w:p>
      <w:pPr>
        <w:ind w:left="2460" w:hanging="1517"/>
        <w:spacing w:after="0"/>
        <w:tabs>
          <w:tab w:leader="none" w:pos="2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703</w:t>
      </w:r>
    </w:p>
    <w:p>
      <w:pPr>
        <w:spacing w:after="0" w:line="383" w:lineRule="exact"/>
        <w:rPr>
          <w:sz w:val="20"/>
          <w:szCs w:val="20"/>
          <w:color w:val="auto"/>
        </w:rPr>
      </w:pPr>
    </w:p>
    <w:p>
      <w:pPr>
        <w:ind w:left="2420" w:hanging="1477"/>
        <w:spacing w:after="0"/>
        <w:tabs>
          <w:tab w:leader="none" w:pos="2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(136)</w:t>
      </w:r>
    </w:p>
    <w:p>
      <w:pPr>
        <w:spacing w:after="0" w:line="200" w:lineRule="exact"/>
        <w:rPr>
          <w:sz w:val="20"/>
          <w:szCs w:val="20"/>
          <w:color w:val="auto"/>
        </w:rPr>
      </w:pPr>
    </w:p>
    <w:p>
      <w:pPr>
        <w:spacing w:after="0" w:line="206" w:lineRule="exact"/>
        <w:rPr>
          <w:sz w:val="20"/>
          <w:szCs w:val="20"/>
          <w:color w:val="auto"/>
        </w:rPr>
      </w:pPr>
    </w:p>
    <w:p>
      <w:pPr>
        <w:jc w:val="both"/>
        <w:ind w:left="820"/>
        <w:spacing w:after="0"/>
        <w:tabs>
          <w:tab w:leader="none" w:pos="2200" w:val="left"/>
        </w:tabs>
        <w:rPr>
          <w:sz w:val="20"/>
          <w:szCs w:val="20"/>
          <w:color w:val="auto"/>
        </w:rPr>
      </w:pPr>
      <w:r>
        <w:rPr>
          <w:rFonts w:ascii="Arial" w:cs="Arial" w:eastAsia="Arial" w:hAnsi="Arial"/>
          <w:sz w:val="16"/>
          <w:szCs w:val="16"/>
          <w:color w:val="auto"/>
        </w:rPr>
        <w:t>(6,895)</w:t>
      </w:r>
      <w:r>
        <w:rPr>
          <w:sz w:val="20"/>
          <w:szCs w:val="20"/>
          <w:color w:val="auto"/>
        </w:rPr>
        <w:tab/>
      </w:r>
      <w:r>
        <w:rPr>
          <w:rFonts w:ascii="Arial" w:cs="Arial" w:eastAsia="Arial" w:hAnsi="Arial"/>
          <w:sz w:val="16"/>
          <w:szCs w:val="16"/>
          <w:color w:val="auto"/>
        </w:rPr>
        <w:t>(10,503)</w:t>
      </w:r>
    </w:p>
    <w:p>
      <w:pPr>
        <w:spacing w:after="0" w:line="86" w:lineRule="exact"/>
        <w:rPr>
          <w:sz w:val="20"/>
          <w:szCs w:val="20"/>
          <w:color w:val="auto"/>
        </w:rPr>
      </w:pPr>
    </w:p>
    <w:p>
      <w:pPr>
        <w:ind w:left="2300" w:hanging="1357"/>
        <w:spacing w:after="0"/>
        <w:tabs>
          <w:tab w:leader="none" w:pos="2300" w:val="left"/>
        </w:tabs>
        <w:numPr>
          <w:ilvl w:val="0"/>
          <w:numId w:val="6"/>
        </w:numPr>
        <w:rPr>
          <w:rFonts w:ascii="Arial" w:cs="Arial" w:eastAsia="Arial" w:hAnsi="Arial"/>
          <w:sz w:val="14"/>
          <w:szCs w:val="14"/>
          <w:color w:val="auto"/>
        </w:rPr>
      </w:pPr>
      <w:r>
        <w:rPr>
          <w:rFonts w:ascii="Arial" w:cs="Arial" w:eastAsia="Arial" w:hAnsi="Arial"/>
          <w:sz w:val="14"/>
          <w:szCs w:val="14"/>
          <w:color w:val="auto"/>
        </w:rPr>
        <w:t>(1,666)</w:t>
      </w:r>
    </w:p>
    <w:p>
      <w:pPr>
        <w:spacing w:after="0" w:line="58" w:lineRule="exact"/>
        <w:rPr>
          <w:sz w:val="20"/>
          <w:szCs w:val="20"/>
          <w:color w:val="auto"/>
        </w:rPr>
      </w:pPr>
    </w:p>
    <w:p>
      <w:pPr>
        <w:sectPr>
          <w:pgSz w:w="11900" w:h="16838" w:orient="portrait"/>
          <w:cols w:equalWidth="0" w:num="2">
            <w:col w:w="7880" w:space="720"/>
            <w:col w:w="2820"/>
          </w:cols>
          <w:pgMar w:left="240" w:top="122" w:right="239" w:bottom="1440" w:gutter="0" w:footer="0" w:header="0"/>
        </w:sectPr>
      </w:pPr>
    </w:p>
    <w:tbl>
      <w:tblPr>
        <w:tblLayout w:type="fixed"/>
        <w:tblInd w:w="0" w:type="dxa"/>
        <w:tblCellMar>
          <w:top w:w="0" w:type="dxa"/>
          <w:left w:w="0" w:type="dxa"/>
          <w:bottom w:w="0" w:type="dxa"/>
          <w:right w:w="0" w:type="dxa"/>
        </w:tblCellMar>
      </w:tblP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Other comprehensive loss, net of tax</w:t>
            </w: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(7,380)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(12,169)</w:t>
            </w:r>
          </w:p>
        </w:tc>
      </w:tr>
      <w:tr>
        <w:trPr>
          <w:trHeight w:val="33"/>
        </w:trPr>
        <w:tc>
          <w:tcPr>
            <w:tcW w:w="85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18,456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10,384</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ind w:right="2740"/>
        <w:spacing w:after="0" w:line="257" w:lineRule="auto"/>
        <w:rPr>
          <w:sz w:val="20"/>
          <w:szCs w:val="20"/>
          <w:color w:val="auto"/>
        </w:rPr>
      </w:pPr>
      <w:r>
        <w:rPr>
          <w:rFonts w:ascii="Arial" w:cs="Arial" w:eastAsia="Arial" w:hAnsi="Arial"/>
          <w:sz w:val="16"/>
          <w:szCs w:val="16"/>
          <w:b w:val="1"/>
          <w:bCs w:val="1"/>
          <w:color w:val="auto"/>
        </w:rPr>
        <w:t xml:space="preserve">CONDENSED CONSOLIDATED STATEMENTS OF CASH FLOWS </w:t>
      </w:r>
      <w:r>
        <w:rPr>
          <w:rFonts w:ascii="Arial" w:cs="Arial" w:eastAsia="Arial" w:hAnsi="Arial"/>
          <w:sz w:val="16"/>
          <w:szCs w:val="16"/>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596265</wp:posOffset>
            </wp:positionV>
            <wp:extent cx="72466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activities: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Adjustments to reconcile net income to net cash provided by operating activities:</w:t>
      </w:r>
    </w:p>
    <w:p>
      <w:pPr>
        <w:spacing w:after="0" w:line="9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Non-cash portion of stock-based compensation expense</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Changes in operating assets and liabilities:</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Inventories</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Accounts payable and accrued liabilities</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Investing activities: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Purchases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Payment of dividends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Proceeds from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Proceeds from borrowing on credit facilities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Repayment of borrowing on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Income tax on equity-based compensation, and other</w:t>
      </w:r>
    </w:p>
    <w:p>
      <w:pPr>
        <w:spacing w:after="0" w:line="8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 end of period</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44"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Three months ended October 31,</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19551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501"/>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25,836</w:t>
            </w:r>
          </w:p>
        </w:tc>
        <w:tc>
          <w:tcPr>
            <w:tcW w:w="12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22,553</w:t>
            </w:r>
          </w:p>
        </w:tc>
      </w:tr>
      <w:tr>
        <w:trPr>
          <w:trHeight w:val="540"/>
        </w:trPr>
        <w:tc>
          <w:tcPr>
            <w:tcW w:w="34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6,564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7,234</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3,744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3,155</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(1,168)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2,027</w:t>
            </w:r>
          </w:p>
        </w:tc>
      </w:tr>
      <w:tr>
        <w:trPr>
          <w:trHeight w:val="540"/>
        </w:trPr>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(4,807)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(680)</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(3,571)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1,197</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(2,005)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(1,170)</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7,799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2,546</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2,327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(2,869)</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34,719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33,993</w:t>
            </w:r>
          </w:p>
        </w:tc>
      </w:tr>
      <w:tr>
        <w:trPr>
          <w:trHeight w:val="824"/>
        </w:trPr>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(3,802)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(3,959)</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974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1,511</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(2,828)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(2,448)</w:t>
            </w:r>
          </w:p>
        </w:tc>
      </w:tr>
      <w:tr>
        <w:trPr>
          <w:trHeight w:val="824"/>
        </w:trPr>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(10,639)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(10,370)</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3,249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8,813</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10,901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27,565</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(22,894)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(27,139)</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(2,280)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(1,232)</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(21,663)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(2,363)</w:t>
            </w:r>
          </w:p>
        </w:tc>
      </w:tr>
      <w:tr>
        <w:trPr>
          <w:trHeight w:val="554"/>
        </w:trPr>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(1,935)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(4,109)</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514"/>
        </w:trPr>
        <w:tc>
          <w:tcPr>
            <w:tcW w:w="34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8,293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25,073</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133,944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141,228</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501"/>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142,237</w:t>
            </w:r>
          </w:p>
        </w:tc>
        <w:tc>
          <w:tcPr>
            <w:tcW w:w="12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166,301</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620" w:space="720"/>
            <w:col w:w="308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Months Ended October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9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condensed consolidated financial statements included herein have been prepared by Brady Corporation and subsidiaries (the "Company," "Brady," "we," or "our")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October 31, 2017 and July 31, 2017, its results of operations and comprehensive income for the three months ended October 31, 2017 and 2016, and cash flows for the three months ended October 31, 2017 and 2016. The consolidated balance sheet as of July 31, 2017 has been derived from the audited consolidated financial statements as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annual report on Form 10-K for the year ended July 31, 2017.</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B — Goodwill and Other Intangible Assets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the carrying amount of goodwill for the three months ended October 31, 2017,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IDS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WPS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5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Balance as of July 31, 2017</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391,864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45,833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437,697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6"/>
                <w:szCs w:val="16"/>
                <w:color w:val="auto"/>
              </w:rPr>
              <w:t>Translation adjustments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4340" w:type="dxa"/>
            <w:vAlign w:val="bottom"/>
            <w:gridSpan w:val="2"/>
            <w:vMerge w:val="continue"/>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(3,123)</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(870)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(3,993)</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89"/>
                <w:shd w:val="clear" w:color="auto" w:fill="CCEEFF"/>
              </w:rPr>
              <w:t>Balance as of October 31, 2017</w:t>
            </w:r>
          </w:p>
        </w:tc>
        <w:tc>
          <w:tcPr>
            <w:tcW w:w="2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388,741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44,963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433,704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Goodwill at October 31, 2017 and July 31, 2017, was net of $118,637 and $209,392 of accumulated impairment losses within the ID Solutions ("IDS") and Workplace Safety ("WPS") segments, respectively, for a total of $328,029. There were no impairment charges recorded during the three months ended October 31, 2017.</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Other intangible assets include patents, trademarks, and customer relationships with finite lives being amortized in accordance with the accounting guidance for other intangible assets. The Company also has unamortized indefinite-lived trademarks that are classified as other intangible assets. The net book value of these assets was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October 31, 2017</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July 31, 2017</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12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7"/>
              </w:rPr>
              <w:t>Net Book</w:t>
            </w: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4"/>
              </w:rPr>
              <w:t>Net Book</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8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7"/>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Amortized other intangible assets:</w:t>
            </w: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1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Patents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1,395</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(591)</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804</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1,358</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(471)</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887</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Trademarks and other</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4,485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(4,271)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214</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4,528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Customer relationships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60,349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(33,045)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27,304</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60,759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(31,909)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28,850</w:t>
            </w:r>
          </w:p>
        </w:tc>
        <w:tc>
          <w:tcPr>
            <w:tcW w:w="0" w:type="dxa"/>
            <w:vAlign w:val="bottom"/>
          </w:tcPr>
          <w:p>
            <w:pPr>
              <w:spacing w:after="0"/>
              <w:rPr>
                <w:sz w:val="1"/>
                <w:szCs w:val="1"/>
                <w:color w:val="auto"/>
              </w:rPr>
            </w:pPr>
          </w:p>
        </w:tc>
      </w:tr>
      <w:tr>
        <w:trPr>
          <w:trHeight w:val="68"/>
        </w:trPr>
        <w:tc>
          <w:tcPr>
            <w:tcW w:w="21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180" w:type="dxa"/>
            <w:vAlign w:val="bottom"/>
          </w:tcPr>
          <w:p>
            <w:pPr>
              <w:ind w:left="40"/>
              <w:spacing w:after="0"/>
              <w:rPr>
                <w:sz w:val="20"/>
                <w:szCs w:val="20"/>
                <w:color w:val="auto"/>
              </w:rPr>
            </w:pPr>
            <w:r>
              <w:rPr>
                <w:rFonts w:ascii="Arial" w:cs="Arial" w:eastAsia="Arial" w:hAnsi="Arial"/>
                <w:sz w:val="14"/>
                <w:szCs w:val="14"/>
                <w:color w:val="auto"/>
                <w:w w:val="93"/>
              </w:rPr>
              <w:t>Unamortized other intangible assets:</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1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Trademarks</w:t>
            </w: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22,878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22,878</w:t>
            </w:r>
          </w:p>
        </w:tc>
        <w:tc>
          <w:tcPr>
            <w:tcW w:w="120" w:type="dxa"/>
            <w:vAlign w:val="bottom"/>
            <w:shd w:val="clear" w:color="auto" w:fill="CCEEFF"/>
          </w:tcPr>
          <w:p>
            <w:pPr>
              <w:spacing w:after="0"/>
              <w:rPr>
                <w:sz w:val="16"/>
                <w:szCs w:val="16"/>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23,040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23,040</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180" w:type="dxa"/>
            <w:vAlign w:val="bottom"/>
          </w:tcPr>
          <w:p>
            <w:pPr>
              <w:ind w:left="40"/>
              <w:spacing w:after="0"/>
              <w:rPr>
                <w:sz w:val="20"/>
                <w:szCs w:val="20"/>
                <w:color w:val="auto"/>
              </w:rPr>
            </w:pPr>
            <w:r>
              <w:rPr>
                <w:rFonts w:ascii="Arial" w:cs="Arial" w:eastAsia="Arial" w:hAnsi="Arial"/>
                <w:sz w:val="14"/>
                <w:szCs w:val="14"/>
                <w:color w:val="auto"/>
              </w:rPr>
              <w:t>Total</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89,107</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(37,907)</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51,200</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89,685</w:t>
            </w:r>
          </w:p>
        </w:tc>
        <w:tc>
          <w:tcPr>
            <w:tcW w:w="10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(36,609)</w:t>
            </w:r>
          </w:p>
        </w:tc>
        <w:tc>
          <w:tcPr>
            <w:tcW w:w="10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53,076</w:t>
            </w:r>
          </w:p>
        </w:tc>
        <w:tc>
          <w:tcPr>
            <w:tcW w:w="0" w:type="dxa"/>
            <w:vAlign w:val="bottom"/>
          </w:tcPr>
          <w:p>
            <w:pPr>
              <w:spacing w:after="0"/>
              <w:rPr>
                <w:sz w:val="1"/>
                <w:szCs w:val="1"/>
                <w:color w:val="auto"/>
              </w:rPr>
            </w:pPr>
          </w:p>
        </w:tc>
      </w:tr>
      <w:tr>
        <w:trPr>
          <w:trHeight w:val="65"/>
        </w:trPr>
        <w:tc>
          <w:tcPr>
            <w:tcW w:w="2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decrease in the gross carrying amount of other intangible assets as of October 31, 2017 compared to July 31, 2017 was due to the effects of currency fluctuations during the three-month period.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Amortization expense on intangible assets was $1,693 and $1,895 for the three months ended October 31, 2017 and 2016, respectively. The amortization expense over each of the next five fiscal years is projected to be $6,445, $6,195, $5,196, $5,155 and $5,008 for the fiscal years ending July 31, 2018, 2019, 2020, 2021 and 2022,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C — Other Comprehensive Loss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comprehensive loss consists of foreign currency translation adjustments, unrealized gains and losses from cash flow hedges and net investment hedges, and the unamortized gain on post-retirement plans, net of their related tax effects.</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illustrates the changes in the balances of each component of accumulated other comprehensive loss, net of tax, for the three months ended October 31, 2017:</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4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Unrealized gain</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Unamortized gain</w:t>
            </w: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Foreign currency</w:t>
            </w: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(loss) on cash</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rPr>
              <w:t>on post-retirement</w:t>
            </w: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Accumulated other</w:t>
            </w:r>
          </w:p>
        </w:tc>
      </w:tr>
      <w:tr>
        <w:trPr>
          <w:trHeight w:val="210"/>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flow hedges</w:t>
            </w:r>
          </w:p>
        </w:tc>
        <w:tc>
          <w:tcPr>
            <w:tcW w:w="30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plans</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adjustments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comprehensive loss</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July 31, 2017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(44,682)</w:t>
            </w: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1"/>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loss before reclassification</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(6,846)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(7,265)</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Amounts reclassified from 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44"/>
        </w:trPr>
        <w:tc>
          <w:tcPr>
            <w:tcW w:w="5620" w:type="dxa"/>
            <w:vAlign w:val="bottom"/>
          </w:tcPr>
          <w:p>
            <w:pPr>
              <w:ind w:left="40"/>
              <w:spacing w:after="0"/>
              <w:rPr>
                <w:sz w:val="20"/>
                <w:szCs w:val="20"/>
                <w:color w:val="auto"/>
              </w:rPr>
            </w:pPr>
            <w:r>
              <w:rPr>
                <w:rFonts w:ascii="Arial" w:cs="Arial" w:eastAsia="Arial" w:hAnsi="Arial"/>
                <w:sz w:val="16"/>
                <w:szCs w:val="16"/>
                <w:color w:val="auto"/>
              </w:rPr>
              <w:t>Ending balance, October 31, 2017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2,490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(54,257)</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(52,062)</w:t>
            </w: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increase in the accumulated other comprehensive loss as of October 31, 2017 compared to July 31, 2017 was primarily due to the appreciation of the U.S. dollar against certain other currencies. The foreign currency translation adjustments column in the table above includes the impact of foreign currency translation, foreign currency translation on intercompany notes, and the settlements of net investment hedges, net of tax. Of the total $115 in amounts reclassified from accumulated other comprehensive loss, the $15 loss on cash flow hedges was reclassified into cost of goods sold and the $130 gain on post-retirement plans was reclassified into selling, general and administrative expenses ("SG&amp;A") on the Condensed Consolidated Statements of Earnings for the three months ended October 31, 2017.</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changes in accumulated other comprehensive loss by component, net of tax, for the three months ended October 31, 2016 were as follows: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6"/>
          <w:szCs w:val="16"/>
          <w:color w:val="auto"/>
        </w:rPr>
        <w:t>Beginning balance, July 31, 2016</w:t>
      </w:r>
    </w:p>
    <w:p>
      <w:pPr>
        <w:spacing w:after="0" w:line="100" w:lineRule="exact"/>
        <w:rPr>
          <w:sz w:val="20"/>
          <w:szCs w:val="20"/>
          <w:color w:val="auto"/>
        </w:rPr>
      </w:pPr>
    </w:p>
    <w:p>
      <w:pPr>
        <w:ind w:left="40" w:right="460"/>
        <w:spacing w:after="0" w:line="412" w:lineRule="auto"/>
        <w:rPr>
          <w:sz w:val="20"/>
          <w:szCs w:val="20"/>
          <w:color w:val="auto"/>
        </w:rPr>
      </w:pPr>
      <w:r>
        <w:rPr>
          <w:rFonts w:ascii="Arial" w:cs="Arial" w:eastAsia="Arial" w:hAnsi="Arial"/>
          <w:sz w:val="14"/>
          <w:szCs w:val="14"/>
          <w:color w:val="auto"/>
        </w:rPr>
        <w:t>Other comprehensive income (loss) before reclassification Amounts reclassified from accumulated other comprehensive loss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Ending balance, October 31, 2016</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Unamortized gain</w:t>
            </w: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Foreign currency</w:t>
            </w: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15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Unrealized loss on</w:t>
            </w: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on post-retirement</w:t>
            </w: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Accumulated other</w:t>
            </w:r>
          </w:p>
        </w:tc>
      </w:tr>
      <w:tr>
        <w:trPr>
          <w:trHeight w:val="210"/>
        </w:trPr>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cash flow hedges</w:t>
            </w:r>
          </w:p>
        </w:tc>
        <w:tc>
          <w:tcPr>
            <w:tcW w:w="32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6"/>
              </w:rPr>
              <w:t>plans</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adjustments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comprehensive loss</w:t>
            </w:r>
          </w:p>
        </w:tc>
      </w:tr>
      <w:tr>
        <w:trPr>
          <w:trHeight w:val="33"/>
        </w:trPr>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(857)</w:t>
            </w:r>
          </w:p>
        </w:tc>
        <w:tc>
          <w:tcPr>
            <w:tcW w:w="12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2,236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(56,124)</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(54,745)</w:t>
            </w:r>
          </w:p>
        </w:tc>
      </w:tr>
      <w:tr>
        <w:trPr>
          <w:trHeight w:val="33"/>
        </w:trPr>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4"/>
        </w:trPr>
        <w:tc>
          <w:tcPr>
            <w:tcW w:w="10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328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(12,608)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(12,280)</w:t>
            </w:r>
          </w:p>
        </w:tc>
      </w:tr>
      <w:tr>
        <w:trPr>
          <w:trHeight w:val="270"/>
        </w:trPr>
        <w:tc>
          <w:tcPr>
            <w:tcW w:w="100" w:type="dxa"/>
            <w:vAlign w:val="bottom"/>
          </w:tcPr>
          <w:p>
            <w:pPr>
              <w:spacing w:after="0"/>
              <w:rPr>
                <w:sz w:val="23"/>
                <w:szCs w:val="23"/>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111</w:t>
            </w:r>
          </w:p>
        </w:tc>
      </w:tr>
      <w:tr>
        <w:trPr>
          <w:trHeight w:val="33"/>
        </w:trPr>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2,100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(68,732)</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(66,914)</w:t>
            </w:r>
          </w:p>
        </w:tc>
      </w:tr>
      <w:tr>
        <w:trPr>
          <w:trHeight w:val="33"/>
        </w:trPr>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-728345</wp:posOffset>
            </wp:positionV>
            <wp:extent cx="724662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-368300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4780" w:space="720"/>
            <w:col w:w="5920"/>
          </w:cols>
          <w:pgMar w:left="240" w:top="121" w:right="239" w:bottom="1440" w:gutter="0" w:footer="0" w:header="0"/>
          <w:type w:val="continuous"/>
        </w:sectPr>
      </w:pPr>
    </w:p>
    <w:p>
      <w:pPr>
        <w:jc w:val="both"/>
        <w:ind w:firstLine="432"/>
        <w:spacing w:after="0" w:line="297" w:lineRule="auto"/>
        <w:rPr>
          <w:sz w:val="20"/>
          <w:szCs w:val="20"/>
          <w:color w:val="auto"/>
        </w:rPr>
      </w:pPr>
      <w:r>
        <w:rPr>
          <w:rFonts w:ascii="Arial" w:cs="Arial" w:eastAsia="Arial" w:hAnsi="Arial"/>
          <w:sz w:val="16"/>
          <w:szCs w:val="16"/>
          <w:color w:val="auto"/>
        </w:rPr>
        <w:t>The increase in accumulated other comprehensive loss as of October 31, 2016 compared to July 31, 2016 was primarily due to the appreciation of the U.S. dollar against certain other currencies. The foreign currency translation adjustments column in the table above includes the impact of foreign currency translation, foreign currency translation on intercompany notes, and the settlements of net investment hedges, net of tax. Of the total $111 in amounts reclassified from accumulated other comprehensive loss, the $247 loss on cash flow hedges was reclassified into cost of goods sold and the $136 gain on post-retirement plans was reclassified into SG&amp;A on the Condensed Consolidated Statements of Earnings for the three months ended October 31, 2016.</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illustrates the income tax expense on the components of other comprehensive loss for the three months ended October 31,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20" w:type="dxa"/>
            <w:vAlign w:val="bottom"/>
          </w:tcPr>
          <w:p>
            <w:pPr>
              <w:spacing w:after="0"/>
              <w:rPr>
                <w:sz w:val="18"/>
                <w:szCs w:val="18"/>
                <w:color w:val="auto"/>
              </w:rPr>
            </w:pPr>
          </w:p>
        </w:tc>
        <w:tc>
          <w:tcPr>
            <w:tcW w:w="2520" w:type="dxa"/>
            <w:vAlign w:val="bottom"/>
            <w:gridSpan w:val="5"/>
          </w:tcPr>
          <w:p>
            <w:pPr>
              <w:jc w:val="right"/>
              <w:ind w:right="39"/>
              <w:spacing w:after="0"/>
              <w:rPr>
                <w:sz w:val="20"/>
                <w:szCs w:val="20"/>
                <w:color w:val="auto"/>
              </w:rPr>
            </w:pPr>
            <w:r>
              <w:rPr>
                <w:rFonts w:ascii="Arial" w:cs="Arial" w:eastAsia="Arial" w:hAnsi="Arial"/>
                <w:sz w:val="16"/>
                <w:szCs w:val="16"/>
                <w:b w:val="1"/>
                <w:bCs w:val="1"/>
                <w:color w:val="auto"/>
                <w:w w:val="95"/>
              </w:rPr>
              <w:t>Three months ended October 31,</w:t>
            </w:r>
          </w:p>
        </w:tc>
      </w:tr>
      <w:tr>
        <w:trPr>
          <w:trHeight w:val="33"/>
        </w:trPr>
        <w:tc>
          <w:tcPr>
            <w:tcW w:w="67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67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2016</w:t>
            </w:r>
          </w:p>
        </w:tc>
      </w:tr>
      <w:tr>
        <w:trPr>
          <w:trHeight w:val="33"/>
        </w:trPr>
        <w:tc>
          <w:tcPr>
            <w:tcW w:w="67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related to items of other comprehensive loss:</w:t>
            </w:r>
          </w:p>
        </w:tc>
        <w:tc>
          <w:tcPr>
            <w:tcW w:w="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6720" w:type="dxa"/>
            <w:vAlign w:val="bottom"/>
          </w:tcPr>
          <w:p>
            <w:pPr>
              <w:ind w:left="280"/>
              <w:spacing w:after="0"/>
              <w:rPr>
                <w:sz w:val="20"/>
                <w:szCs w:val="20"/>
                <w:color w:val="auto"/>
              </w:rPr>
            </w:pPr>
            <w:r>
              <w:rPr>
                <w:rFonts w:ascii="Arial" w:cs="Arial" w:eastAsia="Arial" w:hAnsi="Arial"/>
                <w:sz w:val="16"/>
                <w:szCs w:val="16"/>
                <w:color w:val="auto"/>
              </w:rPr>
              <w:t>Net investment hedge translation adjustments</w:t>
            </w: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96"/>
              </w:rPr>
              <w:t>(301)</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(1,568)</w:t>
            </w:r>
          </w:p>
        </w:tc>
      </w:tr>
      <w:tr>
        <w:trPr>
          <w:trHeight w:val="33"/>
        </w:trPr>
        <w:tc>
          <w:tcPr>
            <w:tcW w:w="6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flow hedges</w:t>
            </w:r>
          </w:p>
        </w:tc>
        <w:tc>
          <w:tcPr>
            <w:tcW w:w="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37"/>
        </w:trPr>
        <w:tc>
          <w:tcPr>
            <w:tcW w:w="6720" w:type="dxa"/>
            <w:vAlign w:val="bottom"/>
          </w:tcPr>
          <w:p>
            <w:pPr>
              <w:ind w:left="280"/>
              <w:spacing w:after="0"/>
              <w:rPr>
                <w:sz w:val="20"/>
                <w:szCs w:val="20"/>
                <w:color w:val="auto"/>
              </w:rPr>
            </w:pPr>
            <w:r>
              <w:rPr>
                <w:rFonts w:ascii="Arial" w:cs="Arial" w:eastAsia="Arial" w:hAnsi="Arial"/>
                <w:sz w:val="16"/>
                <w:szCs w:val="16"/>
                <w:color w:val="auto"/>
              </w:rPr>
              <w:t>Other income tax adjustments and currency translation</w:t>
            </w:r>
          </w:p>
        </w:tc>
        <w:tc>
          <w:tcPr>
            <w:tcW w:w="8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33"/>
        </w:trPr>
        <w:tc>
          <w:tcPr>
            <w:tcW w:w="67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related to items of other comprehensive loss</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(1,666)</w:t>
            </w:r>
          </w:p>
        </w:tc>
      </w:tr>
      <w:tr>
        <w:trPr>
          <w:trHeight w:val="20"/>
        </w:trPr>
        <w:tc>
          <w:tcPr>
            <w:tcW w:w="67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D — Net Earnings per Common Share</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080" w:type="dxa"/>
            <w:vAlign w:val="bottom"/>
            <w:gridSpan w:val="5"/>
          </w:tcPr>
          <w:p>
            <w:pPr>
              <w:jc w:val="right"/>
              <w:ind w:right="319"/>
              <w:spacing w:after="0"/>
              <w:rPr>
                <w:sz w:val="20"/>
                <w:szCs w:val="20"/>
                <w:color w:val="auto"/>
              </w:rPr>
            </w:pPr>
            <w:r>
              <w:rPr>
                <w:rFonts w:ascii="Arial" w:cs="Arial" w:eastAsia="Arial" w:hAnsi="Arial"/>
                <w:sz w:val="16"/>
                <w:szCs w:val="16"/>
                <w:b w:val="1"/>
                <w:bCs w:val="1"/>
                <w:color w:val="auto"/>
              </w:rPr>
              <w:t>Three months ended October 31,</w:t>
            </w:r>
          </w:p>
        </w:tc>
      </w:tr>
      <w:tr>
        <w:trPr>
          <w:trHeight w:val="33"/>
        </w:trPr>
        <w:tc>
          <w:tcPr>
            <w:tcW w:w="8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33"/>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 (in thousands)</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834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Earnings (Numerator for basic and diluted Class A Nonvoting Common Share)</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25,836</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22,553</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Less: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Preferential dividends</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(799)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(788)</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Preferential dividends on dilutive stock options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color w:val="auto"/>
              </w:rPr>
              <w:t>Numerator for basic and diluted earnings per Class B Voting Common Share</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25,021</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21,751</w:t>
            </w:r>
          </w:p>
        </w:tc>
      </w:tr>
      <w:tr>
        <w:trPr>
          <w:trHeight w:val="73"/>
        </w:trPr>
        <w:tc>
          <w:tcPr>
            <w:tcW w:w="834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177"/>
        </w:trPr>
        <w:tc>
          <w:tcPr>
            <w:tcW w:w="83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Denominator: (in thousands)</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74"/>
        </w:trPr>
        <w:tc>
          <w:tcPr>
            <w:tcW w:w="83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Denominator for basic earnings for both Class A and Class B</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51,440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50,634</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Plus: Effect of dilutive stock options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821</w:t>
            </w: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color w:val="auto"/>
              </w:rPr>
              <w:t>Denominator for diluted earnings per share for both Class A and Class B</w:t>
            </w: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52,383</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51,455</w:t>
            </w:r>
          </w:p>
        </w:tc>
      </w:tr>
      <w:tr>
        <w:trPr>
          <w:trHeight w:val="73"/>
        </w:trPr>
        <w:tc>
          <w:tcPr>
            <w:tcW w:w="834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31"/>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Class A Nonvoting Common Share:</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Basic</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0.50</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0.45</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0.44</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earnings per Class B Voting Common Share:</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0.43</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Diluted</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0.48</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0.42</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type w:val="continuous"/>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Options to purchase 737,132 and 772,334 shares of Class A Nonvoting Common Stock for the three months ended October 31, 2017 and 2016, respectively, were not included in the computation of diluted net earnings per share because the option exercise price was greater than the average market price of the common shares and, therefore, the effect would have been anti-dilutive.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E — Segment Information</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is organized and managed on a global basis within three operating segments, Identification Solutions, Workplace Safety, and People Identification ("PeopleID"), which aggregate into two reportable segments that are organized around businesses with consistent products and services: IDS and WPS. The Identification Solutions and PeopleID operating segments aggregate into the IDS reporting segment, while the WPS reporting segment is comprised solely of the Workplace Safety operating segment. The Company evaluates short-term segment performance based on segment profit and customer sales. Interest expense, investment and other income (expense), income taxes, and certain corporate administrative expenses are excluded when evaluating segment performance.</w:t>
      </w:r>
    </w:p>
    <w:p>
      <w:pPr>
        <w:spacing w:after="0" w:line="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summary of segment information for the three months ended October 31, 2017 and 2016: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4"/>
          </w:tcPr>
          <w:p>
            <w:pPr>
              <w:jc w:val="right"/>
              <w:spacing w:after="0"/>
              <w:rPr>
                <w:sz w:val="20"/>
                <w:szCs w:val="20"/>
                <w:color w:val="auto"/>
              </w:rPr>
            </w:pPr>
            <w:r>
              <w:rPr>
                <w:rFonts w:ascii="Arial" w:cs="Arial" w:eastAsia="Arial" w:hAnsi="Arial"/>
                <w:sz w:val="16"/>
                <w:szCs w:val="16"/>
                <w:b w:val="1"/>
                <w:bCs w:val="1"/>
                <w:color w:val="auto"/>
                <w:w w:val="90"/>
              </w:rPr>
              <w:t>Three months ended October 31,</w:t>
            </w:r>
          </w:p>
        </w:tc>
      </w:tr>
      <w:tr>
        <w:trPr>
          <w:trHeight w:val="33"/>
        </w:trPr>
        <w:tc>
          <w:tcPr>
            <w:tcW w:w="67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6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2016</w:t>
            </w:r>
          </w:p>
        </w:tc>
      </w:tr>
      <w:tr>
        <w:trPr>
          <w:trHeight w:val="33"/>
        </w:trPr>
        <w:tc>
          <w:tcPr>
            <w:tcW w:w="67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4"/>
        </w:trPr>
        <w:tc>
          <w:tcPr>
            <w:tcW w:w="6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60"/>
        </w:trPr>
        <w:tc>
          <w:tcPr>
            <w:tcW w:w="6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r>
      <w:tr>
        <w:trPr>
          <w:trHeight w:val="237"/>
        </w:trPr>
        <w:tc>
          <w:tcPr>
            <w:tcW w:w="678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209,705</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201,264</w:t>
            </w:r>
          </w:p>
        </w:tc>
      </w:tr>
      <w:tr>
        <w:trPr>
          <w:trHeight w:val="33"/>
        </w:trPr>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80,446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78,912</w:t>
            </w:r>
          </w:p>
        </w:tc>
      </w:tr>
      <w:tr>
        <w:trPr>
          <w:trHeight w:val="217"/>
        </w:trPr>
        <w:tc>
          <w:tcPr>
            <w:tcW w:w="678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290,151</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280,176</w:t>
            </w:r>
          </w:p>
        </w:tc>
      </w:tr>
      <w:tr>
        <w:trPr>
          <w:trHeight w:val="73"/>
        </w:trPr>
        <w:tc>
          <w:tcPr>
            <w:tcW w:w="678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177"/>
        </w:trPr>
        <w:tc>
          <w:tcPr>
            <w:tcW w:w="678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Segment Profit:</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74"/>
        </w:trPr>
        <w:tc>
          <w:tcPr>
            <w:tcW w:w="6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r>
      <w:tr>
        <w:trPr>
          <w:trHeight w:val="237"/>
        </w:trPr>
        <w:tc>
          <w:tcPr>
            <w:tcW w:w="678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35,837</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33,068</w:t>
            </w:r>
          </w:p>
        </w:tc>
      </w:tr>
      <w:tr>
        <w:trPr>
          <w:trHeight w:val="33"/>
        </w:trPr>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6,445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6,450</w:t>
            </w:r>
          </w:p>
        </w:tc>
      </w:tr>
      <w:tr>
        <w:trPr>
          <w:trHeight w:val="217"/>
        </w:trPr>
        <w:tc>
          <w:tcPr>
            <w:tcW w:w="678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42,282</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39,518</w:t>
            </w:r>
          </w:p>
        </w:tc>
      </w:tr>
      <w:tr>
        <w:trPr>
          <w:trHeight w:val="33"/>
        </w:trPr>
        <w:tc>
          <w:tcPr>
            <w:tcW w:w="67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is a reconciliation of segment profit to earnings before income taxes for the three months ended October 31, 2017 and 2016:</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profit from reportable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585724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Unallocated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85724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Administrative costs</w:t>
      </w:r>
    </w:p>
    <w:p>
      <w:pPr>
        <w:spacing w:after="0" w:line="86" w:lineRule="exact"/>
        <w:rPr>
          <w:sz w:val="20"/>
          <w:szCs w:val="20"/>
          <w:color w:val="auto"/>
        </w:rPr>
      </w:pPr>
    </w:p>
    <w:p>
      <w:pPr>
        <w:jc w:val="right"/>
        <w:ind w:right="3080"/>
        <w:spacing w:after="0"/>
        <w:rPr>
          <w:sz w:val="20"/>
          <w:szCs w:val="20"/>
          <w:color w:val="auto"/>
        </w:rPr>
      </w:pPr>
      <w:r>
        <w:rPr>
          <w:rFonts w:ascii="Arial" w:cs="Arial" w:eastAsia="Arial" w:hAnsi="Arial"/>
          <w:sz w:val="16"/>
          <w:szCs w:val="16"/>
          <w:color w:val="auto"/>
        </w:rPr>
        <w:t>Investment and 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85724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Interest expense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Earnings before income taxes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2180"/>
        <w:spacing w:after="0"/>
        <w:rPr>
          <w:sz w:val="20"/>
          <w:szCs w:val="20"/>
          <w:color w:val="auto"/>
        </w:rPr>
      </w:pPr>
      <w:r>
        <w:rPr>
          <w:rFonts w:ascii="Arial" w:cs="Arial" w:eastAsia="Arial" w:hAnsi="Arial"/>
          <w:sz w:val="15"/>
          <w:szCs w:val="15"/>
          <w:b w:val="1"/>
          <w:bCs w:val="1"/>
          <w:color w:val="auto"/>
        </w:rPr>
        <w:t>Three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15951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91"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6"/>
          <w:szCs w:val="16"/>
          <w:b w:val="1"/>
          <w:bCs w:val="1"/>
          <w:color w:val="auto"/>
        </w:rPr>
        <w:t>2017</w:t>
      </w:r>
      <w:r>
        <w:rPr>
          <w:sz w:val="20"/>
          <w:szCs w:val="20"/>
          <w:color w:val="auto"/>
        </w:rPr>
        <w:tab/>
      </w:r>
      <w:r>
        <w:rPr>
          <w:rFonts w:ascii="Arial" w:cs="Arial" w:eastAsia="Arial" w:hAnsi="Arial"/>
          <w:sz w:val="16"/>
          <w:szCs w:val="16"/>
          <w:b w:val="1"/>
          <w:bCs w:val="1"/>
          <w:color w:val="auto"/>
        </w:rPr>
        <w:t>2016</w:t>
      </w:r>
    </w:p>
    <w:p>
      <w:pPr>
        <w:spacing w:after="0" w:line="90" w:lineRule="exact"/>
        <w:rPr>
          <w:sz w:val="20"/>
          <w:szCs w:val="20"/>
          <w:color w:val="auto"/>
        </w:rPr>
      </w:pPr>
    </w:p>
    <w:p>
      <w:pPr>
        <w:spacing w:after="0"/>
        <w:tabs>
          <w:tab w:leader="none" w:pos="640" w:val="left"/>
          <w:tab w:leader="none" w:pos="1300" w:val="left"/>
          <w:tab w:leader="none" w:pos="19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42,282</w:t>
        <w:tab/>
        <w:t>$</w:t>
      </w:r>
      <w:r>
        <w:rPr>
          <w:sz w:val="20"/>
          <w:szCs w:val="20"/>
          <w:color w:val="auto"/>
        </w:rPr>
        <w:tab/>
      </w:r>
      <w:r>
        <w:rPr>
          <w:rFonts w:ascii="Arial" w:cs="Arial" w:eastAsia="Arial" w:hAnsi="Arial"/>
          <w:sz w:val="15"/>
          <w:szCs w:val="15"/>
          <w:color w:val="auto"/>
        </w:rPr>
        <w:t>39,518</w:t>
      </w:r>
    </w:p>
    <w:p>
      <w:pPr>
        <w:spacing w:after="0" w:line="356" w:lineRule="exact"/>
        <w:rPr>
          <w:sz w:val="20"/>
          <w:szCs w:val="20"/>
          <w:color w:val="auto"/>
        </w:rPr>
      </w:pPr>
    </w:p>
    <w:p>
      <w:pPr>
        <w:jc w:val="both"/>
        <w:ind w:left="680"/>
        <w:spacing w:after="0"/>
        <w:tabs>
          <w:tab w:leader="none" w:pos="1980" w:val="left"/>
        </w:tabs>
        <w:rPr>
          <w:sz w:val="20"/>
          <w:szCs w:val="20"/>
          <w:color w:val="auto"/>
        </w:rPr>
      </w:pPr>
      <w:r>
        <w:rPr>
          <w:rFonts w:ascii="Arial" w:cs="Arial" w:eastAsia="Arial" w:hAnsi="Arial"/>
          <w:sz w:val="16"/>
          <w:szCs w:val="16"/>
          <w:color w:val="auto"/>
        </w:rPr>
        <w:t>(6,871)</w:t>
      </w:r>
      <w:r>
        <w:rPr>
          <w:sz w:val="20"/>
          <w:szCs w:val="20"/>
          <w:color w:val="auto"/>
        </w:rPr>
        <w:tab/>
      </w:r>
      <w:r>
        <w:rPr>
          <w:rFonts w:ascii="Arial" w:cs="Arial" w:eastAsia="Arial" w:hAnsi="Arial"/>
          <w:sz w:val="16"/>
          <w:szCs w:val="16"/>
          <w:color w:val="auto"/>
        </w:rPr>
        <w:t>(6,310)</w:t>
      </w:r>
    </w:p>
    <w:p>
      <w:pPr>
        <w:spacing w:after="0" w:line="86" w:lineRule="exact"/>
        <w:rPr>
          <w:sz w:val="20"/>
          <w:szCs w:val="20"/>
          <w:color w:val="auto"/>
        </w:rPr>
      </w:pPr>
    </w:p>
    <w:p>
      <w:pPr>
        <w:jc w:val="both"/>
        <w:ind w:left="860"/>
        <w:spacing w:after="0"/>
        <w:tabs>
          <w:tab w:leader="none" w:pos="2100" w:val="left"/>
        </w:tabs>
        <w:rPr>
          <w:sz w:val="20"/>
          <w:szCs w:val="20"/>
          <w:color w:val="auto"/>
        </w:rPr>
      </w:pPr>
      <w:r>
        <w:rPr>
          <w:rFonts w:ascii="Arial" w:cs="Arial" w:eastAsia="Arial" w:hAnsi="Arial"/>
          <w:sz w:val="16"/>
          <w:szCs w:val="16"/>
          <w:color w:val="auto"/>
        </w:rPr>
        <w:t>216</w:t>
      </w:r>
      <w:r>
        <w:rPr>
          <w:sz w:val="20"/>
          <w:szCs w:val="20"/>
          <w:color w:val="auto"/>
        </w:rPr>
        <w:tab/>
      </w:r>
      <w:r>
        <w:rPr>
          <w:rFonts w:ascii="Arial" w:cs="Arial" w:eastAsia="Arial" w:hAnsi="Arial"/>
          <w:sz w:val="16"/>
          <w:szCs w:val="16"/>
          <w:color w:val="auto"/>
        </w:rPr>
        <w:t>(489)</w:t>
      </w:r>
    </w:p>
    <w:p>
      <w:pPr>
        <w:spacing w:after="0" w:line="86" w:lineRule="exact"/>
        <w:rPr>
          <w:sz w:val="20"/>
          <w:szCs w:val="20"/>
          <w:color w:val="auto"/>
        </w:rPr>
      </w:pPr>
    </w:p>
    <w:p>
      <w:pPr>
        <w:ind w:left="2000" w:hanging="1196"/>
        <w:spacing w:after="0"/>
        <w:tabs>
          <w:tab w:leader="none" w:pos="2000" w:val="left"/>
        </w:tabs>
        <w:numPr>
          <w:ilvl w:val="0"/>
          <w:numId w:val="7"/>
        </w:numPr>
        <w:rPr>
          <w:rFonts w:ascii="Arial" w:cs="Arial" w:eastAsia="Arial" w:hAnsi="Arial"/>
          <w:sz w:val="14"/>
          <w:szCs w:val="14"/>
          <w:color w:val="auto"/>
        </w:rPr>
      </w:pPr>
      <w:r>
        <w:rPr>
          <w:rFonts w:ascii="Arial" w:cs="Arial" w:eastAsia="Arial" w:hAnsi="Arial"/>
          <w:sz w:val="14"/>
          <w:szCs w:val="14"/>
          <w:color w:val="auto"/>
        </w:rPr>
        <w:t>(1,732)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15951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89" w:lineRule="exact"/>
        <w:rPr>
          <w:sz w:val="20"/>
          <w:szCs w:val="20"/>
          <w:color w:val="auto"/>
        </w:rPr>
      </w:pPr>
    </w:p>
    <w:p>
      <w:pPr>
        <w:spacing w:after="0"/>
        <w:tabs>
          <w:tab w:leader="none" w:pos="640" w:val="left"/>
          <w:tab w:leader="none" w:pos="1300" w:val="left"/>
          <w:tab w:leader="none" w:pos="19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34,764</w:t>
        <w:tab/>
        <w:t>$</w:t>
      </w:r>
      <w:r>
        <w:rPr>
          <w:sz w:val="20"/>
          <w:szCs w:val="20"/>
          <w:color w:val="auto"/>
        </w:rPr>
        <w:tab/>
      </w:r>
      <w:r>
        <w:rPr>
          <w:rFonts w:ascii="Arial" w:cs="Arial" w:eastAsia="Arial" w:hAnsi="Arial"/>
          <w:sz w:val="15"/>
          <w:szCs w:val="15"/>
          <w:color w:val="auto"/>
        </w:rPr>
        <w:t>30,987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34925</wp:posOffset>
            </wp:positionV>
            <wp:extent cx="159512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9512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680"/>
          </w:cols>
          <w:pgMar w:left="240" w:top="121" w:right="239" w:bottom="1440" w:gutter="0" w:footer="0" w:header="0"/>
          <w:type w:val="continuous"/>
        </w:sectPr>
      </w:pP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NOTE F – Stock-Based Compensation</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an incentive stock plan under which the Board of Directors may grant nonqualified stock options to purchase shares of Class A Nonvoting Common Stock, restricted stock units ("RSUs"), or restricted and unrestricted shares of Class A Nonvoting Common Stock to employees and non-employee directors. Certain awards may be subject to pre-established performance goals.</w:t>
      </w:r>
    </w:p>
    <w:p>
      <w:pPr>
        <w:spacing w:after="0" w:line="12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options issued under the plan have an exercise price equal to the fair market value of the underlying stock at the date of grant and generally vest over a three-year service period, with one-third becoming exercisable one year after the grant date and one-third additional in each of the succeeding two years. Options issued under the plan, referred to herein as “service-based” stock options, generally expire 10 years from the date of grant.</w:t>
      </w:r>
    </w:p>
    <w:p>
      <w:pPr>
        <w:spacing w:after="0" w:line="14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Restricted and unrestricted shares and RSUs issued under the plan have a grant date fair value equal to the fair market value of the underlying stock at the date of grant. Shares issued under the plan are referred to herein as either "service-based" or "performance-based" restricted shares and RSUs. The service-based RSUs granted under the plan generally vest over a three-year service period, with one-third becoming exercisable one year after the grant date and one-third additional in each of the succeeding two years. The performance-based RSUs granted under the plan vest at the end of a three-year service period provided specified Company financial performance metrics are met.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As of October 31, 2017, the Company has reserved 3,672,332 shares of Class A Nonvoting Common Stock for outstanding stock options, RSUs, and restricted shares and 3,989,341 shares of Class A Nonvoting Common Stock remain for future issuance of stock options, RSUs, and restricted and unrestricted shares under the active plan. The Company uses treasury stock or will issue new Class A Nonvoting Common Stock to deliver shares under the plan.</w:t>
      </w:r>
    </w:p>
    <w:p>
      <w:pPr>
        <w:spacing w:after="0" w:line="93" w:lineRule="exact"/>
        <w:rPr>
          <w:sz w:val="20"/>
          <w:szCs w:val="20"/>
          <w:color w:val="auto"/>
        </w:rPr>
      </w:pPr>
    </w:p>
    <w:p>
      <w:pPr>
        <w:jc w:val="both"/>
        <w:ind w:right="20" w:firstLine="432"/>
        <w:spacing w:after="0" w:line="302" w:lineRule="auto"/>
        <w:rPr>
          <w:sz w:val="20"/>
          <w:szCs w:val="20"/>
          <w:color w:val="auto"/>
        </w:rPr>
      </w:pPr>
      <w:r>
        <w:rPr>
          <w:rFonts w:ascii="Arial" w:cs="Arial" w:eastAsia="Arial" w:hAnsi="Arial"/>
          <w:sz w:val="16"/>
          <w:szCs w:val="16"/>
          <w:color w:val="auto"/>
        </w:rPr>
        <w:t>The Company recognizes the compensation cost of all share-based awards at the time it is deemed probable the award will vest. This cost is recognized on a straight-line basis over the vesting period of the award. If it is determined that it is unlikely the award will vest, the expense recognized to date for the award is reversed in the period in which this is evident and the remaining expense is not recorded. Total stock-based compensation expense recognized by the Company during the three months ended October 31, 2017 and 2016, was $3,744 ($2,321 net of taxes) and $3,155 ($1,957 net of taxes), respectively.</w:t>
      </w:r>
    </w:p>
    <w:p>
      <w:pPr>
        <w:spacing w:after="0" w:line="10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October 31, 2017, total unrecognized compensation cost related to stock-based compensation awards was $17,077 pre-tax, net of estimated forfeitures, which the Company expects to recognize over a weighted-average period of 2.1 years.</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estimated the fair value of its service-based stock option awards granted during the three months ended October 31, 2017 and 2016, using the Black-Scholes option valuation model. The weighted-average assumptions used in the Black-Scholes valuation model are reflected in the following table:</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w w:val="98"/>
              </w:rPr>
              <w:t>Three months ended October 31,</w:t>
            </w:r>
          </w:p>
        </w:tc>
      </w:tr>
      <w:tr>
        <w:trPr>
          <w:trHeight w:val="33"/>
        </w:trPr>
        <w:tc>
          <w:tcPr>
            <w:tcW w:w="590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5900" w:type="dxa"/>
            <w:vAlign w:val="bottom"/>
            <w:gridSpan w:val="2"/>
          </w:tcPr>
          <w:p>
            <w:pPr>
              <w:ind w:left="40"/>
              <w:spacing w:after="0"/>
              <w:rPr>
                <w:sz w:val="20"/>
                <w:szCs w:val="20"/>
                <w:color w:val="auto"/>
              </w:rPr>
            </w:pPr>
            <w:r>
              <w:rPr>
                <w:rFonts w:ascii="Arial" w:cs="Arial" w:eastAsia="Arial" w:hAnsi="Arial"/>
                <w:sz w:val="16"/>
                <w:szCs w:val="16"/>
                <w:b w:val="1"/>
                <w:bCs w:val="1"/>
                <w:color w:val="auto"/>
              </w:rPr>
              <w:t>Black-Scholes Option Valuation Assumptions</w:t>
            </w:r>
          </w:p>
        </w:tc>
        <w:tc>
          <w:tcPr>
            <w:tcW w:w="340" w:type="dxa"/>
            <w:vAlign w:val="bottom"/>
          </w:tcPr>
          <w:p>
            <w:pPr>
              <w:spacing w:after="0"/>
              <w:rPr>
                <w:sz w:val="20"/>
                <w:szCs w:val="20"/>
                <w:color w:val="auto"/>
              </w:rPr>
            </w:pPr>
          </w:p>
        </w:tc>
        <w:tc>
          <w:tcPr>
            <w:tcW w:w="12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2016</w:t>
            </w:r>
          </w:p>
        </w:tc>
      </w:tr>
      <w:tr>
        <w:trPr>
          <w:trHeight w:val="33"/>
        </w:trPr>
        <w:tc>
          <w:tcPr>
            <w:tcW w:w="5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6.11</w:t>
            </w:r>
          </w:p>
        </w:tc>
      </w:tr>
      <w:tr>
        <w:trPr>
          <w:trHeight w:val="237"/>
        </w:trPr>
        <w:tc>
          <w:tcPr>
            <w:tcW w:w="5900" w:type="dxa"/>
            <w:vAlign w:val="bottom"/>
            <w:gridSpan w:val="2"/>
          </w:tcPr>
          <w:p>
            <w:pPr>
              <w:ind w:left="40"/>
              <w:spacing w:after="0"/>
              <w:rPr>
                <w:sz w:val="20"/>
                <w:szCs w:val="20"/>
                <w:color w:val="auto"/>
              </w:rPr>
            </w:pPr>
            <w:r>
              <w:rPr>
                <w:rFonts w:ascii="Arial" w:cs="Arial" w:eastAsia="Arial" w:hAnsi="Arial"/>
                <w:sz w:val="16"/>
                <w:szCs w:val="16"/>
                <w:color w:val="auto"/>
              </w:rPr>
              <w:t>Expected volatility</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29.43%</w:t>
            </w:r>
          </w:p>
        </w:tc>
      </w:tr>
      <w:tr>
        <w:trPr>
          <w:trHeight w:val="33"/>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r>
      <w:tr>
        <w:trPr>
          <w:trHeight w:val="237"/>
        </w:trPr>
        <w:tc>
          <w:tcPr>
            <w:tcW w:w="5900" w:type="dxa"/>
            <w:vAlign w:val="bottom"/>
            <w:gridSpan w:val="2"/>
          </w:tcPr>
          <w:p>
            <w:pPr>
              <w:ind w:left="40"/>
              <w:spacing w:after="0"/>
              <w:rPr>
                <w:sz w:val="20"/>
                <w:szCs w:val="20"/>
                <w:color w:val="auto"/>
              </w:rPr>
            </w:pPr>
            <w:r>
              <w:rPr>
                <w:rFonts w:ascii="Arial" w:cs="Arial" w:eastAsia="Arial" w:hAnsi="Arial"/>
                <w:sz w:val="16"/>
                <w:szCs w:val="16"/>
                <w:color w:val="auto"/>
              </w:rPr>
              <w:t>Risk-free interest rate</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33"/>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market value of underlying stock at grant date</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35.14</w:t>
            </w:r>
          </w:p>
        </w:tc>
      </w:tr>
      <w:tr>
        <w:trPr>
          <w:trHeight w:val="237"/>
        </w:trPr>
        <w:tc>
          <w:tcPr>
            <w:tcW w:w="5900" w:type="dxa"/>
            <w:vAlign w:val="bottom"/>
            <w:gridSpan w:val="2"/>
          </w:tcPr>
          <w:p>
            <w:pPr>
              <w:ind w:left="40"/>
              <w:spacing w:after="0"/>
              <w:rPr>
                <w:sz w:val="20"/>
                <w:szCs w:val="20"/>
                <w:color w:val="auto"/>
              </w:rPr>
            </w:pPr>
            <w:r>
              <w:rPr>
                <w:rFonts w:ascii="Arial" w:cs="Arial" w:eastAsia="Arial" w:hAnsi="Arial"/>
                <w:sz w:val="16"/>
                <w:szCs w:val="16"/>
                <w:color w:val="auto"/>
              </w:rPr>
              <w:t>Weighted-average exercise price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36.85</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35.14</w:t>
            </w:r>
          </w:p>
        </w:tc>
      </w:tr>
      <w:tr>
        <w:trPr>
          <w:trHeight w:val="33"/>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5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fair value of options granted during the period</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7.96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7.56</w:t>
            </w:r>
          </w:p>
        </w:tc>
      </w:tr>
      <w:tr>
        <w:trPr>
          <w:trHeight w:val="33"/>
        </w:trPr>
        <w:tc>
          <w:tcPr>
            <w:tcW w:w="5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calculated as the average of the high and the low stock price on the date of the grant.</w:t>
      </w:r>
    </w:p>
    <w:p>
      <w:pPr>
        <w:spacing w:after="0" w:line="1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 summary of stock option activity under the Company’s share-based compensation plans for the three months ended October 31, 2017, is presented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Weighted</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Average</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Average</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Remaining</w:t>
            </w:r>
          </w:p>
        </w:tc>
        <w:tc>
          <w:tcPr>
            <w:tcW w:w="160" w:type="dxa"/>
            <w:vAlign w:val="bottom"/>
          </w:tcPr>
          <w:p>
            <w:pPr>
              <w:spacing w:after="0"/>
              <w:rPr>
                <w:sz w:val="17"/>
                <w:szCs w:val="17"/>
                <w:color w:val="auto"/>
              </w:rPr>
            </w:pPr>
          </w:p>
        </w:tc>
        <w:tc>
          <w:tcPr>
            <w:tcW w:w="94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03"/>
        </w:trPr>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Exercise</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Contractual</w:t>
            </w:r>
          </w:p>
        </w:tc>
        <w:tc>
          <w:tcPr>
            <w:tcW w:w="160" w:type="dxa"/>
            <w:vAlign w:val="bottom"/>
          </w:tcPr>
          <w:p>
            <w:pPr>
              <w:spacing w:after="0"/>
              <w:rPr>
                <w:sz w:val="17"/>
                <w:szCs w:val="17"/>
                <w:color w:val="auto"/>
              </w:rPr>
            </w:pPr>
          </w:p>
        </w:tc>
        <w:tc>
          <w:tcPr>
            <w:tcW w:w="94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Intrinsic</w:t>
            </w:r>
          </w:p>
        </w:tc>
        <w:tc>
          <w:tcPr>
            <w:tcW w:w="0" w:type="dxa"/>
            <w:vAlign w:val="bottom"/>
          </w:tcPr>
          <w:p>
            <w:pPr>
              <w:spacing w:after="0"/>
              <w:rPr>
                <w:sz w:val="1"/>
                <w:szCs w:val="1"/>
                <w:color w:val="auto"/>
              </w:rPr>
            </w:pPr>
          </w:p>
        </w:tc>
      </w:tr>
      <w:tr>
        <w:trPr>
          <w:trHeight w:val="210"/>
        </w:trPr>
        <w:tc>
          <w:tcPr>
            <w:tcW w:w="4520" w:type="dxa"/>
            <w:vAlign w:val="bottom"/>
            <w:gridSpan w:val="2"/>
          </w:tcPr>
          <w:p>
            <w:pPr>
              <w:ind w:left="40"/>
              <w:spacing w:after="0"/>
              <w:rPr>
                <w:sz w:val="20"/>
                <w:szCs w:val="20"/>
                <w:color w:val="auto"/>
              </w:rPr>
            </w:pPr>
            <w:r>
              <w:rPr>
                <w:rFonts w:ascii="Arial" w:cs="Arial" w:eastAsia="Arial" w:hAnsi="Arial"/>
                <w:sz w:val="16"/>
                <w:szCs w:val="16"/>
                <w:b w:val="1"/>
                <w:bCs w:val="1"/>
                <w:color w:val="auto"/>
              </w:rPr>
              <w:t>Service-Based Options</w:t>
            </w:r>
          </w:p>
        </w:tc>
        <w:tc>
          <w:tcPr>
            <w:tcW w:w="1080" w:type="dxa"/>
            <w:vAlign w:val="bottom"/>
          </w:tcPr>
          <w:p>
            <w:pPr>
              <w:jc w:val="right"/>
              <w:ind w:right="21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Price</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Term</w:t>
            </w:r>
          </w:p>
        </w:tc>
        <w:tc>
          <w:tcPr>
            <w:tcW w:w="160" w:type="dxa"/>
            <w:vAlign w:val="bottom"/>
          </w:tcPr>
          <w:p>
            <w:pPr>
              <w:spacing w:after="0"/>
              <w:rPr>
                <w:sz w:val="18"/>
                <w:szCs w:val="18"/>
                <w:color w:val="auto"/>
              </w:rPr>
            </w:pPr>
          </w:p>
        </w:tc>
        <w:tc>
          <w:tcPr>
            <w:tcW w:w="94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33"/>
        </w:trPr>
        <w:tc>
          <w:tcPr>
            <w:tcW w:w="4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July 31, 2017</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2,879,801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20" w:type="dxa"/>
            <w:vAlign w:val="bottom"/>
            <w:gridSpan w:val="2"/>
          </w:tcPr>
          <w:p>
            <w:pPr>
              <w:ind w:left="40"/>
              <w:spacing w:after="0"/>
              <w:rPr>
                <w:sz w:val="20"/>
                <w:szCs w:val="20"/>
                <w:color w:val="auto"/>
              </w:rPr>
            </w:pPr>
            <w:r>
              <w:rPr>
                <w:rFonts w:ascii="Arial" w:cs="Arial" w:eastAsia="Arial" w:hAnsi="Arial"/>
                <w:sz w:val="16"/>
                <w:szCs w:val="16"/>
                <w:color w:val="auto"/>
              </w:rPr>
              <w:t>New grants</w:t>
            </w:r>
          </w:p>
        </w:tc>
        <w:tc>
          <w:tcPr>
            <w:tcW w:w="1080" w:type="dxa"/>
            <w:vAlign w:val="bottom"/>
          </w:tcPr>
          <w:p>
            <w:pPr>
              <w:jc w:val="right"/>
              <w:spacing w:after="0"/>
              <w:rPr>
                <w:sz w:val="20"/>
                <w:szCs w:val="20"/>
                <w:color w:val="auto"/>
              </w:rPr>
            </w:pPr>
            <w:r>
              <w:rPr>
                <w:rFonts w:ascii="Arial" w:cs="Arial" w:eastAsia="Arial" w:hAnsi="Arial"/>
                <w:sz w:val="16"/>
                <w:szCs w:val="16"/>
                <w:color w:val="auto"/>
              </w:rPr>
              <w:t>364,046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36.85</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(140,998)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20" w:type="dxa"/>
            <w:vAlign w:val="bottom"/>
            <w:gridSpan w:val="2"/>
          </w:tcPr>
          <w:p>
            <w:pPr>
              <w:ind w:left="40"/>
              <w:spacing w:after="0"/>
              <w:rPr>
                <w:sz w:val="20"/>
                <w:szCs w:val="20"/>
                <w:color w:val="auto"/>
              </w:rPr>
            </w:pPr>
            <w:r>
              <w:rPr>
                <w:rFonts w:ascii="Arial" w:cs="Arial" w:eastAsia="Arial" w:hAnsi="Arial"/>
                <w:sz w:val="16"/>
                <w:szCs w:val="16"/>
                <w:color w:val="auto"/>
              </w:rPr>
              <w:t>Forfeited or expired</w:t>
            </w:r>
          </w:p>
        </w:tc>
        <w:tc>
          <w:tcPr>
            <w:tcW w:w="1080" w:type="dxa"/>
            <w:vAlign w:val="bottom"/>
          </w:tcPr>
          <w:p>
            <w:pPr>
              <w:jc w:val="right"/>
              <w:spacing w:after="0"/>
              <w:rPr>
                <w:sz w:val="20"/>
                <w:szCs w:val="20"/>
                <w:color w:val="auto"/>
              </w:rPr>
            </w:pPr>
            <w:r>
              <w:rPr>
                <w:rFonts w:ascii="Arial" w:cs="Arial" w:eastAsia="Arial" w:hAnsi="Arial"/>
                <w:sz w:val="16"/>
                <w:szCs w:val="16"/>
                <w:color w:val="auto"/>
              </w:rPr>
              <w:t>(10,719)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27.14</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October 31, 2017</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3,092,130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29,020</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ind w:left="40"/>
              <w:spacing w:after="0"/>
              <w:rPr>
                <w:sz w:val="20"/>
                <w:szCs w:val="20"/>
                <w:color w:val="auto"/>
              </w:rPr>
            </w:pPr>
            <w:r>
              <w:rPr>
                <w:rFonts w:ascii="Arial" w:cs="Arial" w:eastAsia="Arial" w:hAnsi="Arial"/>
                <w:sz w:val="16"/>
                <w:szCs w:val="16"/>
                <w:color w:val="auto"/>
              </w:rPr>
              <w:t>Exercisable at October 31, 2017</w:t>
            </w: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20" w:type="dxa"/>
            <w:vAlign w:val="bottom"/>
            <w:gridSpan w:val="2"/>
            <w:vMerge w:val="continue"/>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2,229,350</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27.39</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23,397</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05"/>
        <w:spacing w:after="0" w:line="342" w:lineRule="auto"/>
        <w:rPr>
          <w:sz w:val="20"/>
          <w:szCs w:val="20"/>
          <w:color w:val="auto"/>
        </w:rPr>
      </w:pPr>
      <w:r>
        <w:rPr>
          <w:rFonts w:ascii="Arial" w:cs="Arial" w:eastAsia="Arial" w:hAnsi="Arial"/>
          <w:sz w:val="16"/>
          <w:szCs w:val="16"/>
          <w:color w:val="auto"/>
        </w:rPr>
        <w:t>There were 2,229,350 and 2,616,609 options exercisable with a weighted average exercise price of $27.39 and $29.31 at October 31, 2017 and 2016, respectively. The total fair value of stock options vested during the three months ended October 31, 2017 and 2016, was $2,974 and $2,794, respectively.</w:t>
      </w:r>
    </w:p>
    <w:p>
      <w:pPr>
        <w:spacing w:after="0" w:line="12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cash received from the exercise of options during the three months ended October 31, 2017 and 2016, was $3,249 and $8,813. The tax benefit received from the exercise of options during the three months ended October 31, 2017 and 2016, was $478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$1,100, respectively. The total intrinsic value of options exercised during the three months ended October 31, 2017 and 2016, based upon the average market price at the time of exercise during the period, was $1,257 and $2,894, respectively.</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tables summarize the RSU activity under the Company's share-based compensation plans for the three months ended October 31, 2017:</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Grant Date</w:t>
            </w:r>
          </w:p>
        </w:tc>
      </w:tr>
      <w:tr>
        <w:trPr>
          <w:trHeight w:val="210"/>
        </w:trPr>
        <w:tc>
          <w:tcPr>
            <w:tcW w:w="6760" w:type="dxa"/>
            <w:vAlign w:val="bottom"/>
            <w:gridSpan w:val="2"/>
          </w:tcPr>
          <w:p>
            <w:pPr>
              <w:ind w:left="40"/>
              <w:spacing w:after="0"/>
              <w:rPr>
                <w:sz w:val="20"/>
                <w:szCs w:val="20"/>
                <w:color w:val="auto"/>
              </w:rPr>
            </w:pPr>
            <w:r>
              <w:rPr>
                <w:rFonts w:ascii="Arial" w:cs="Arial" w:eastAsia="Arial" w:hAnsi="Arial"/>
                <w:sz w:val="16"/>
                <w:szCs w:val="16"/>
                <w:b w:val="1"/>
                <w:bCs w:val="1"/>
                <w:color w:val="auto"/>
              </w:rPr>
              <w:t>Service-Based RSUs</w:t>
            </w:r>
          </w:p>
        </w:tc>
        <w:tc>
          <w:tcPr>
            <w:tcW w:w="1180" w:type="dxa"/>
            <w:vAlign w:val="bottom"/>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6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July 31, 2017</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517,108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25.61</w:t>
            </w: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New grants</w:t>
            </w:r>
          </w:p>
        </w:tc>
        <w:tc>
          <w:tcPr>
            <w:tcW w:w="1180" w:type="dxa"/>
            <w:vAlign w:val="bottom"/>
          </w:tcPr>
          <w:p>
            <w:pPr>
              <w:jc w:val="right"/>
              <w:spacing w:after="0"/>
              <w:rPr>
                <w:sz w:val="20"/>
                <w:szCs w:val="20"/>
                <w:color w:val="auto"/>
              </w:rPr>
            </w:pPr>
            <w:r>
              <w:rPr>
                <w:rFonts w:ascii="Arial" w:cs="Arial" w:eastAsia="Arial" w:hAnsi="Arial"/>
                <w:sz w:val="16"/>
                <w:szCs w:val="16"/>
                <w:color w:val="auto"/>
              </w:rPr>
              <w:t>83,388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36.65</w:t>
            </w:r>
          </w:p>
        </w:tc>
      </w:tr>
      <w:tr>
        <w:trPr>
          <w:trHeight w:val="33"/>
        </w:trPr>
        <w:tc>
          <w:tcPr>
            <w:tcW w:w="6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(130,378)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24.67</w:t>
            </w: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Forfeited</w:t>
            </w:r>
          </w:p>
        </w:tc>
        <w:tc>
          <w:tcPr>
            <w:tcW w:w="1180" w:type="dxa"/>
            <w:vAlign w:val="bottom"/>
          </w:tcPr>
          <w:p>
            <w:pPr>
              <w:jc w:val="right"/>
              <w:spacing w:after="0"/>
              <w:rPr>
                <w:sz w:val="20"/>
                <w:szCs w:val="20"/>
                <w:color w:val="auto"/>
              </w:rPr>
            </w:pPr>
            <w:r>
              <w:rPr>
                <w:rFonts w:ascii="Arial" w:cs="Arial" w:eastAsia="Arial" w:hAnsi="Arial"/>
                <w:sz w:val="16"/>
                <w:szCs w:val="16"/>
                <w:color w:val="auto"/>
              </w:rPr>
              <w:t>(4,412)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26.28</w:t>
            </w:r>
          </w:p>
        </w:tc>
      </w:tr>
      <w:tr>
        <w:trPr>
          <w:trHeight w:val="33"/>
        </w:trPr>
        <w:tc>
          <w:tcPr>
            <w:tcW w:w="6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October 31, 2017</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465,706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27.84</w:t>
            </w:r>
          </w:p>
        </w:tc>
      </w:tr>
      <w:tr>
        <w:trPr>
          <w:trHeight w:val="20"/>
        </w:trPr>
        <w:tc>
          <w:tcPr>
            <w:tcW w:w="6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The service-based RSUs granted during the three months ended October 31, 2016 had a weighted-average grant date fair value of $35.14. The total fair value of service-based RSUs vested during the three months ended October 31, 2017 and 2016, was $4,736 and $5,079, respectively.</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6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6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Grant Date</w:t>
            </w:r>
          </w:p>
        </w:tc>
      </w:tr>
      <w:tr>
        <w:trPr>
          <w:trHeight w:val="210"/>
        </w:trPr>
        <w:tc>
          <w:tcPr>
            <w:tcW w:w="6780" w:type="dxa"/>
            <w:vAlign w:val="bottom"/>
            <w:gridSpan w:val="2"/>
          </w:tcPr>
          <w:p>
            <w:pPr>
              <w:ind w:left="40"/>
              <w:spacing w:after="0"/>
              <w:rPr>
                <w:sz w:val="20"/>
                <w:szCs w:val="20"/>
                <w:color w:val="auto"/>
              </w:rPr>
            </w:pPr>
            <w:r>
              <w:rPr>
                <w:rFonts w:ascii="Arial" w:cs="Arial" w:eastAsia="Arial" w:hAnsi="Arial"/>
                <w:sz w:val="16"/>
                <w:szCs w:val="16"/>
                <w:b w:val="1"/>
                <w:bCs w:val="1"/>
                <w:color w:val="auto"/>
              </w:rPr>
              <w:t>Performance-Based RSUs</w:t>
            </w:r>
          </w:p>
        </w:tc>
        <w:tc>
          <w:tcPr>
            <w:tcW w:w="1160" w:type="dxa"/>
            <w:vAlign w:val="bottom"/>
          </w:tcPr>
          <w:p>
            <w:pPr>
              <w:jc w:val="right"/>
              <w:ind w:right="25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6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6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July 31, 2017</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58,206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32.03</w:t>
            </w:r>
          </w:p>
        </w:tc>
      </w:tr>
      <w:tr>
        <w:trPr>
          <w:trHeight w:val="237"/>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New grants</w:t>
            </w:r>
          </w:p>
        </w:tc>
        <w:tc>
          <w:tcPr>
            <w:tcW w:w="1160" w:type="dxa"/>
            <w:vAlign w:val="bottom"/>
          </w:tcPr>
          <w:p>
            <w:pPr>
              <w:jc w:val="right"/>
              <w:spacing w:after="0"/>
              <w:rPr>
                <w:sz w:val="20"/>
                <w:szCs w:val="20"/>
                <w:color w:val="auto"/>
              </w:rPr>
            </w:pPr>
            <w:r>
              <w:rPr>
                <w:rFonts w:ascii="Arial" w:cs="Arial" w:eastAsia="Arial" w:hAnsi="Arial"/>
                <w:sz w:val="16"/>
                <w:szCs w:val="16"/>
                <w:color w:val="auto"/>
              </w:rPr>
              <w:t>56,290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33.12</w:t>
            </w:r>
          </w:p>
        </w:tc>
      </w:tr>
      <w:tr>
        <w:trPr>
          <w:trHeight w:val="33"/>
        </w:trPr>
        <w:tc>
          <w:tcPr>
            <w:tcW w:w="6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Forfeited</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6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44"/>
        </w:trPr>
        <w:tc>
          <w:tcPr>
            <w:tcW w:w="6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October 31, 2017</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114,496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32.57</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The performance-based RSUs granted during the three months ended October 31, 2016 had a weighted-average grant date fair value of $32.03. The aggregate intrinsic value of unvested service-based and performance-based RSUs outstanding at October 31, 2017 and expected to vest was $22,077.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G — Fair Value Measurements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accordance with fair value accounting guidance, the Company’s assets and liabilities measured at fair market value are classified in one of the following categories:</w:t>
      </w:r>
    </w:p>
    <w:p>
      <w:pPr>
        <w:spacing w:after="0" w:line="3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Assets or liabilities for which fair value is based on unadjusted quoted prices in active markets for identical instruments that are accessible as of the reporting date.</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auto"/>
        </w:rPr>
        <w:t>Level 2</w:t>
      </w:r>
      <w:r>
        <w:rPr>
          <w:rFonts w:ascii="Arial" w:cs="Arial" w:eastAsia="Arial" w:hAnsi="Arial"/>
          <w:sz w:val="17"/>
          <w:szCs w:val="17"/>
          <w:color w:val="auto"/>
        </w:rPr>
        <w:t xml:space="preserve"> — Assets or liabilities for which fair value is based on other significant pricing inputs that are either directly or indirectly observable.</w:t>
      </w:r>
    </w:p>
    <w:p>
      <w:pPr>
        <w:spacing w:after="0" w:line="1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Assets or liabilities for which fair value is based on significant unobservable pricing inputs to the extent little or no market data is available, which result in the use of management's own assumptions.</w:t>
      </w:r>
    </w:p>
    <w:p>
      <w:pPr>
        <w:spacing w:after="0" w:line="116"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following tables set forth by level within the fair value hierarchy our financial assets and liabilities that were accounted for at fair value on a recurring basis at October 31, 2017 and July 31, 2017, according to the valuation techniques the Company used to determine their fair values.</w:t>
      </w:r>
    </w:p>
    <w:p>
      <w:pPr>
        <w:spacing w:after="0" w:line="93" w:lineRule="exact"/>
        <w:rPr>
          <w:sz w:val="20"/>
          <w:szCs w:val="20"/>
          <w:color w:val="auto"/>
        </w:rPr>
      </w:pPr>
    </w:p>
    <w:p>
      <w:pPr>
        <w:jc w:val="center"/>
        <w:ind w:right="2080"/>
        <w:spacing w:after="0"/>
        <w:rPr>
          <w:sz w:val="20"/>
          <w:szCs w:val="20"/>
          <w:color w:val="auto"/>
        </w:rPr>
      </w:pPr>
      <w:r>
        <w:rPr>
          <w:rFonts w:ascii="Arial" w:cs="Arial" w:eastAsia="Arial" w:hAnsi="Arial"/>
          <w:sz w:val="16"/>
          <w:szCs w:val="16"/>
          <w:b w:val="1"/>
          <w:bCs w:val="1"/>
          <w:color w:val="auto"/>
        </w:rPr>
        <w:t>Inputs</w:t>
      </w:r>
    </w:p>
    <w:p>
      <w:pPr>
        <w:spacing w:after="0" w:line="26" w:lineRule="exact"/>
        <w:rPr>
          <w:sz w:val="20"/>
          <w:szCs w:val="20"/>
          <w:color w:val="auto"/>
        </w:rPr>
      </w:pPr>
    </w:p>
    <w:p>
      <w:pPr>
        <w:jc w:val="center"/>
        <w:ind w:right="2080"/>
        <w:spacing w:after="0"/>
        <w:rPr>
          <w:sz w:val="20"/>
          <w:szCs w:val="20"/>
          <w:color w:val="auto"/>
        </w:rPr>
      </w:pPr>
      <w:r>
        <w:rPr>
          <w:rFonts w:ascii="Arial" w:cs="Arial" w:eastAsia="Arial" w:hAnsi="Arial"/>
          <w:sz w:val="16"/>
          <w:szCs w:val="16"/>
          <w:b w:val="1"/>
          <w:bCs w:val="1"/>
          <w:color w:val="auto"/>
        </w:rPr>
        <w:t>Considered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33020</wp:posOffset>
            </wp:positionV>
            <wp:extent cx="19812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Quoted Prices in</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Active Markets for</w:t>
            </w:r>
          </w:p>
        </w:tc>
        <w:tc>
          <w:tcPr>
            <w:tcW w:w="100" w:type="dxa"/>
            <w:vAlign w:val="bottom"/>
          </w:tcPr>
          <w:p>
            <w:pPr>
              <w:spacing w:after="0"/>
              <w:rPr>
                <w:sz w:val="17"/>
                <w:szCs w:val="17"/>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Significant Other</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Identical</w:t>
            </w:r>
          </w:p>
        </w:tc>
        <w:tc>
          <w:tcPr>
            <w:tcW w:w="100" w:type="dxa"/>
            <w:vAlign w:val="bottom"/>
          </w:tcPr>
          <w:p>
            <w:pPr>
              <w:spacing w:after="0"/>
              <w:rPr>
                <w:sz w:val="17"/>
                <w:szCs w:val="17"/>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Observable Inputs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10"/>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Assets (Level 1)</w:t>
            </w: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(Level 2)</w:t>
            </w:r>
          </w:p>
        </w:tc>
        <w:tc>
          <w:tcPr>
            <w:tcW w:w="220" w:type="dxa"/>
            <w:vAlign w:val="bottom"/>
          </w:tcPr>
          <w:p>
            <w:pPr>
              <w:spacing w:after="0"/>
              <w:rPr>
                <w:sz w:val="18"/>
                <w:szCs w:val="18"/>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b w:val="1"/>
                <w:bCs w:val="1"/>
                <w:color w:val="auto"/>
              </w:rPr>
              <w:t>Fair Values</w:t>
            </w:r>
          </w:p>
        </w:tc>
        <w:tc>
          <w:tcPr>
            <w:tcW w:w="120" w:type="dxa"/>
            <w:vAlign w:val="bottom"/>
          </w:tcPr>
          <w:p>
            <w:pPr>
              <w:spacing w:after="0"/>
              <w:rPr>
                <w:sz w:val="18"/>
                <w:szCs w:val="18"/>
                <w:color w:val="auto"/>
              </w:rPr>
            </w:pPr>
          </w:p>
        </w:tc>
        <w:tc>
          <w:tcPr>
            <w:tcW w:w="3520" w:type="dxa"/>
            <w:vAlign w:val="bottom"/>
          </w:tcPr>
          <w:p>
            <w:pPr>
              <w:ind w:left="760"/>
              <w:spacing w:after="0"/>
              <w:rPr>
                <w:sz w:val="20"/>
                <w:szCs w:val="20"/>
                <w:color w:val="auto"/>
              </w:rPr>
            </w:pPr>
            <w:r>
              <w:rPr>
                <w:rFonts w:ascii="Arial" w:cs="Arial" w:eastAsia="Arial" w:hAnsi="Arial"/>
                <w:sz w:val="16"/>
                <w:szCs w:val="16"/>
                <w:b w:val="1"/>
                <w:bCs w:val="1"/>
                <w:color w:val="auto"/>
              </w:rPr>
              <w:t>Balance Sheet Classifications</w:t>
            </w:r>
          </w:p>
        </w:tc>
      </w:tr>
      <w:tr>
        <w:trPr>
          <w:trHeight w:val="33"/>
        </w:trPr>
        <w:tc>
          <w:tcPr>
            <w:tcW w:w="3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04"/>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October 31, 2017</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r>
      <w:tr>
        <w:trPr>
          <w:trHeight w:val="60"/>
        </w:trPr>
        <w:tc>
          <w:tcPr>
            <w:tcW w:w="3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520" w:type="dxa"/>
            <w:vAlign w:val="bottom"/>
            <w:shd w:val="clear" w:color="auto" w:fill="CCEEFF"/>
          </w:tcPr>
          <w:p>
            <w:pPr>
              <w:spacing w:after="0"/>
              <w:rPr>
                <w:sz w:val="5"/>
                <w:szCs w:val="5"/>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Trading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13,020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13,020</w:t>
            </w: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auto"/>
              </w:rPr>
              <w:t>Other assets</w:t>
            </w: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13,020</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13,195</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237"/>
        </w:trPr>
        <w:tc>
          <w:tcPr>
            <w:tcW w:w="31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821</w:t>
            </w:r>
          </w:p>
        </w:tc>
        <w:tc>
          <w:tcPr>
            <w:tcW w:w="1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821</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821</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177"/>
        </w:trPr>
        <w:tc>
          <w:tcPr>
            <w:tcW w:w="31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July 31, 2017</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r>
      <w:tr>
        <w:trPr>
          <w:trHeight w:val="74"/>
        </w:trPr>
        <w:tc>
          <w:tcPr>
            <w:tcW w:w="3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520" w:type="dxa"/>
            <w:vAlign w:val="bottom"/>
            <w:shd w:val="clear" w:color="auto" w:fill="CCEEFF"/>
          </w:tcPr>
          <w:p>
            <w:pPr>
              <w:spacing w:after="0"/>
              <w:rPr>
                <w:sz w:val="6"/>
                <w:szCs w:val="6"/>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Trading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13,994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13,994</w:t>
            </w: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auto"/>
              </w:rPr>
              <w:t>Other assets</w:t>
            </w: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1,354</w:t>
            </w:r>
          </w:p>
        </w:tc>
        <w:tc>
          <w:tcPr>
            <w:tcW w:w="1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13,994</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1,354</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15,348</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237"/>
        </w:trPr>
        <w:tc>
          <w:tcPr>
            <w:tcW w:w="31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1,577</w:t>
            </w:r>
          </w:p>
        </w:tc>
        <w:tc>
          <w:tcPr>
            <w:tcW w:w="1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1,577</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1,577</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0"/>
        </w:trPr>
        <w:tc>
          <w:tcPr>
            <w:tcW w:w="3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90" w:lineRule="exact"/>
        <w:rPr>
          <w:sz w:val="20"/>
          <w:szCs w:val="20"/>
          <w:color w:val="auto"/>
        </w:rPr>
      </w:pPr>
    </w:p>
    <w:p>
      <w:pPr>
        <w:jc w:val="both"/>
        <w:ind w:firstLine="216"/>
        <w:spacing w:after="0" w:line="308" w:lineRule="auto"/>
        <w:rPr>
          <w:sz w:val="20"/>
          <w:szCs w:val="20"/>
          <w:color w:val="auto"/>
        </w:rPr>
      </w:pPr>
      <w:r>
        <w:rPr>
          <w:rFonts w:ascii="Arial" w:cs="Arial" w:eastAsia="Arial" w:hAnsi="Arial"/>
          <w:sz w:val="17"/>
          <w:szCs w:val="17"/>
          <w:i w:val="1"/>
          <w:iCs w:val="1"/>
          <w:color w:val="auto"/>
        </w:rPr>
        <w:t xml:space="preserve">Trading securities: </w:t>
      </w:r>
      <w:r>
        <w:rPr>
          <w:rFonts w:ascii="Arial" w:cs="Arial" w:eastAsia="Arial" w:hAnsi="Arial"/>
          <w:sz w:val="17"/>
          <w:szCs w:val="17"/>
          <w:color w:val="auto"/>
        </w:rPr>
        <w:t>The Company’s deferred compensation investments consist of investments in mutual funds. These investments were classified as Level</w:t>
      </w:r>
      <w:r>
        <w:rPr>
          <w:rFonts w:ascii="Arial" w:cs="Arial" w:eastAsia="Arial" w:hAnsi="Arial"/>
          <w:sz w:val="17"/>
          <w:szCs w:val="17"/>
          <w:i w:val="1"/>
          <w:iCs w:val="1"/>
          <w:color w:val="auto"/>
        </w:rPr>
        <w:t xml:space="preserve"> </w:t>
      </w:r>
      <w:r>
        <w:rPr>
          <w:rFonts w:ascii="Arial" w:cs="Arial" w:eastAsia="Arial" w:hAnsi="Arial"/>
          <w:sz w:val="17"/>
          <w:szCs w:val="17"/>
          <w:color w:val="auto"/>
        </w:rPr>
        <w:t>1 as the shares of these investments trade with sufficient frequency and volume to enable us to obtain pricing information on an ongoing basis.</w:t>
      </w:r>
    </w:p>
    <w:p>
      <w:pPr>
        <w:spacing w:after="0" w:line="93"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i w:val="1"/>
          <w:iCs w:val="1"/>
          <w:color w:val="auto"/>
        </w:rPr>
        <w:t xml:space="preserve">Foreign exchange contracts: </w:t>
      </w:r>
      <w:r>
        <w:rPr>
          <w:rFonts w:ascii="Arial" w:cs="Arial" w:eastAsia="Arial" w:hAnsi="Arial"/>
          <w:sz w:val="18"/>
          <w:szCs w:val="18"/>
          <w:color w:val="auto"/>
        </w:rPr>
        <w:t>The Company’s foreign exchange contracts were classified as Level 2 as the fair value was based on the present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cash flows using external models that use observable inputs, such as interest rates, yield curves and foreign exchange rates. See Note H, “Derivatives and Hedging Activities,” for additional information.</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There have been no transfers of assets or liabilities between the fair value hierarchy levels, outlined above, during the three months ended October 31, 2017. In addition, the Company had no significant measurements of assets or liabilities at fair value on a nonrecurring basis subsequent to their initial recognition during the three months ended October 31, 2017.</w:t>
      </w:r>
    </w:p>
    <w:p>
      <w:pPr>
        <w:spacing w:after="0" w:line="12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Company’s financial instruments, other than those presented in the disclosures above, include cash and cash equivalents, accounts receivable, notes payable, accounts payable, accrued liabilities and short-term and long-term debt. The fair values of cash and cash equivalents, accounts receivable, notes payable, accounts payable, and accrued liabilities approximated carrying values because of the short-term nature of these instruments.</w:t>
      </w:r>
    </w:p>
    <w:p>
      <w:pPr>
        <w:spacing w:after="0" w:line="9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estimated fair value of the Company’s short-term and long-term debt obligations, excluding notes payable, based on the quoted market prices for similar issues and on the current rates offered for debt of similar maturities was $98,190 and $109,303 at October 31, 2017 and July 31, 2017, respectively, as compared to the carrying value of $93,810 and $104,536 at October 31, 2017 and July 31, 2017,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H — Derivatives and Hedging Activities</w:t>
      </w:r>
    </w:p>
    <w:p>
      <w:pPr>
        <w:spacing w:after="0" w:line="9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 As of October 31, 2017 and July 31, 2017, the notional amount of outstanding forward exchange contracts was $25,638 and $81,195, respectively.</w:t>
      </w:r>
    </w:p>
    <w:p>
      <w:pPr>
        <w:spacing w:after="0" w:line="13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hedges a portion of known exposures using forward exchange contracts. Main exposures are related to transactions denominated in the Euro, Canadian dollar, and Mexican Peso. Generally, these risk management transactions will involve the use of foreign currency derivatives to minimize the impact of currency movements on non-functional currency transactions.</w:t>
      </w:r>
    </w:p>
    <w:p>
      <w:pPr>
        <w:spacing w:after="0" w:line="12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Hedge effectiveness is determined by how closely the changes in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earnings.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7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has designated a portion of its forward foreign exchange contracts as cash flow hedges and recorded these contracts at fair value on the Condensed Consolidated Balance Sheets. For these instruments, the effective portion of the gain or loss on the derivative is reported as a component of other comprehensive income ("OCI") and reclassified into earnings in the same period or periods during which the hedged transaction affects earnings. As of October 31, 2017 and 2016, unrealized losses of $710 and $58 were included in OCI, respectively. These balances are expected to be reclassified from OCI to earnings during the next twelve months when the hedged transactions impact earnings. For the three months ended October 31, 2017 and 2016, the Company reclassified losses of $24 and $405 from OCI into earnings, respectively. At October 31, 2017, the U.S. dollar equivalent of these outstanding forward foreign exchange contracts totaled $22,538, including contracts to sell Euros, Canadian dollars, and U.S. dollars.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Hedges</w:t>
      </w:r>
    </w:p>
    <w:p>
      <w:pPr>
        <w:spacing w:after="0" w:line="229"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As of April 30, 2017, €45 million of Euro-denominated senior unsecured notes were designated as net investment hedges to hedge portions of its net investment in European operations. The Company’s foreign denominated debt obligations are valued under a market approach using publicized spot prices.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Hedges</w:t>
      </w:r>
    </w:p>
    <w:p>
      <w:pPr>
        <w:spacing w:after="0" w:line="9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For the three months ended October 31, 2017 and 2016, the Company recognized gains of $22 and losses of $1,733, respectively, in “Investment and other income (expense)” on the Condensed Consolidated Statements of Earnings related to non-designated hedges.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Fair values of derivative instruments in the Condensed Consolidated Balance Sheets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Asset Derivatives</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Liability Derivatives</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230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October 31, 2017</w:t>
            </w:r>
          </w:p>
        </w:tc>
        <w:tc>
          <w:tcPr>
            <w:tcW w:w="120" w:type="dxa"/>
            <w:vAlign w:val="bottom"/>
          </w:tcPr>
          <w:p>
            <w:pPr>
              <w:spacing w:after="0"/>
              <w:rPr>
                <w:sz w:val="22"/>
                <w:szCs w:val="22"/>
                <w:color w:val="auto"/>
              </w:rPr>
            </w:pPr>
          </w:p>
        </w:tc>
        <w:tc>
          <w:tcPr>
            <w:tcW w:w="162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7"/>
              </w:rPr>
              <w:t>July 31, 2017</w:t>
            </w: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6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October 31, 2017</w:t>
            </w:r>
          </w:p>
        </w:tc>
        <w:tc>
          <w:tcPr>
            <w:tcW w:w="100" w:type="dxa"/>
            <w:vAlign w:val="bottom"/>
          </w:tcPr>
          <w:p>
            <w:pPr>
              <w:spacing w:after="0"/>
              <w:rPr>
                <w:sz w:val="22"/>
                <w:szCs w:val="22"/>
                <w:color w:val="auto"/>
              </w:rPr>
            </w:pPr>
          </w:p>
        </w:tc>
        <w:tc>
          <w:tcPr>
            <w:tcW w:w="15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7"/>
              </w:rPr>
              <w:t>July 31, 2017</w:t>
            </w: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13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3"/>
                <w:szCs w:val="13"/>
                <w:color w:val="auto"/>
              </w:rPr>
            </w:pPr>
          </w:p>
        </w:tc>
        <w:tc>
          <w:tcPr>
            <w:tcW w:w="7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Balance</w:t>
            </w:r>
          </w:p>
        </w:tc>
        <w:tc>
          <w:tcPr>
            <w:tcW w:w="240" w:type="dxa"/>
            <w:vAlign w:val="bottom"/>
          </w:tcPr>
          <w:p>
            <w:pPr>
              <w:spacing w:after="0"/>
              <w:rPr>
                <w:sz w:val="13"/>
                <w:szCs w:val="13"/>
                <w:color w:val="auto"/>
              </w:rPr>
            </w:pPr>
          </w:p>
        </w:tc>
        <w:tc>
          <w:tcPr>
            <w:tcW w:w="7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3"/>
                <w:szCs w:val="13"/>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3"/>
                <w:szCs w:val="13"/>
                <w:color w:val="auto"/>
              </w:rPr>
            </w:pPr>
          </w:p>
        </w:tc>
        <w:tc>
          <w:tcPr>
            <w:tcW w:w="6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Sheet</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Sheet</w:t>
            </w:r>
          </w:p>
        </w:tc>
        <w:tc>
          <w:tcPr>
            <w:tcW w:w="2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Sheet</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Sheet</w:t>
            </w: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Location</w:t>
            </w:r>
          </w:p>
        </w:tc>
        <w:tc>
          <w:tcPr>
            <w:tcW w:w="180" w:type="dxa"/>
            <w:vAlign w:val="bottom"/>
          </w:tcPr>
          <w:p>
            <w:pPr>
              <w:spacing w:after="0"/>
              <w:rPr>
                <w:sz w:val="16"/>
                <w:szCs w:val="16"/>
                <w:color w:val="auto"/>
              </w:rPr>
            </w:pPr>
          </w:p>
        </w:tc>
        <w:tc>
          <w:tcPr>
            <w:tcW w:w="740" w:type="dxa"/>
            <w:vAlign w:val="bottom"/>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240" w:type="dxa"/>
            <w:vAlign w:val="bottom"/>
          </w:tcPr>
          <w:p>
            <w:pPr>
              <w:spacing w:after="0"/>
              <w:rPr>
                <w:sz w:val="16"/>
                <w:szCs w:val="16"/>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Location</w:t>
            </w:r>
          </w:p>
        </w:tc>
        <w:tc>
          <w:tcPr>
            <w:tcW w:w="180" w:type="dxa"/>
            <w:vAlign w:val="bottom"/>
          </w:tcPr>
          <w:p>
            <w:pPr>
              <w:spacing w:after="0"/>
              <w:rPr>
                <w:sz w:val="16"/>
                <w:szCs w:val="16"/>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Location</w:t>
            </w:r>
          </w:p>
        </w:tc>
        <w:tc>
          <w:tcPr>
            <w:tcW w:w="24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9"/>
        </w:trPr>
        <w:tc>
          <w:tcPr>
            <w:tcW w:w="196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Derivatives designated as</w:t>
            </w:r>
          </w:p>
        </w:tc>
        <w:tc>
          <w:tcPr>
            <w:tcW w:w="12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960" w:type="dxa"/>
            <w:vAlign w:val="bottom"/>
          </w:tcPr>
          <w:p>
            <w:pPr>
              <w:ind w:left="40"/>
              <w:spacing w:after="0"/>
              <w:rPr>
                <w:sz w:val="20"/>
                <w:szCs w:val="20"/>
                <w:color w:val="auto"/>
              </w:rPr>
            </w:pPr>
            <w:r>
              <w:rPr>
                <w:rFonts w:ascii="Arial" w:cs="Arial" w:eastAsia="Arial" w:hAnsi="Arial"/>
                <w:sz w:val="14"/>
                <w:szCs w:val="14"/>
                <w:color w:val="auto"/>
              </w:rPr>
              <w:t>Cash flow hedges</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9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173</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1,067</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815</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1,569</w:t>
            </w:r>
          </w:p>
        </w:tc>
        <w:tc>
          <w:tcPr>
            <w:tcW w:w="0" w:type="dxa"/>
            <w:vAlign w:val="bottom"/>
          </w:tcPr>
          <w:p>
            <w:pPr>
              <w:spacing w:after="0"/>
              <w:rPr>
                <w:sz w:val="1"/>
                <w:szCs w:val="1"/>
                <w:color w:val="auto"/>
              </w:rPr>
            </w:pPr>
          </w:p>
        </w:tc>
      </w:tr>
      <w:tr>
        <w:trPr>
          <w:trHeight w:val="171"/>
        </w:trPr>
        <w:tc>
          <w:tcPr>
            <w:tcW w:w="1960" w:type="dxa"/>
            <w:vAlign w:val="bottom"/>
          </w:tcPr>
          <w:p>
            <w:pPr>
              <w:ind w:left="40"/>
              <w:spacing w:after="0"/>
              <w:rPr>
                <w:sz w:val="20"/>
                <w:szCs w:val="20"/>
                <w:color w:val="auto"/>
              </w:rPr>
            </w:pPr>
            <w:r>
              <w:rPr>
                <w:rFonts w:ascii="Arial" w:cs="Arial" w:eastAsia="Arial" w:hAnsi="Arial"/>
                <w:sz w:val="14"/>
                <w:szCs w:val="14"/>
                <w:color w:val="auto"/>
              </w:rPr>
              <w:t>Net investment hedges</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9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currency</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Long term</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Long term</w:t>
            </w: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denominated debt</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obligations, less</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obligations, less</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 maturities</w:t>
            </w: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52,421</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 maturities</w:t>
            </w:r>
          </w:p>
        </w:tc>
        <w:tc>
          <w:tcPr>
            <w:tcW w:w="2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53,280</w:t>
            </w:r>
          </w:p>
        </w:tc>
        <w:tc>
          <w:tcPr>
            <w:tcW w:w="0" w:type="dxa"/>
            <w:vAlign w:val="bottom"/>
          </w:tcPr>
          <w:p>
            <w:pPr>
              <w:spacing w:after="0"/>
              <w:rPr>
                <w:sz w:val="1"/>
                <w:szCs w:val="1"/>
                <w:color w:val="auto"/>
              </w:rPr>
            </w:pPr>
          </w:p>
        </w:tc>
      </w:tr>
      <w:tr>
        <w:trPr>
          <w:trHeight w:val="137"/>
        </w:trPr>
        <w:tc>
          <w:tcPr>
            <w:tcW w:w="1960" w:type="dxa"/>
            <w:vAlign w:val="bottom"/>
          </w:tcPr>
          <w:p>
            <w:pPr>
              <w:ind w:left="40"/>
              <w:spacing w:after="0" w:line="137" w:lineRule="exact"/>
              <w:rPr>
                <w:sz w:val="20"/>
                <w:szCs w:val="20"/>
                <w:color w:val="auto"/>
              </w:rPr>
            </w:pPr>
            <w:r>
              <w:rPr>
                <w:rFonts w:ascii="Arial" w:cs="Arial" w:eastAsia="Arial" w:hAnsi="Arial"/>
                <w:sz w:val="14"/>
                <w:szCs w:val="14"/>
                <w:color w:val="auto"/>
                <w:w w:val="98"/>
              </w:rPr>
              <w:t>Total derivatives designated as</w:t>
            </w: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1,067</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53,236</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54,849</w:t>
            </w:r>
          </w:p>
        </w:tc>
        <w:tc>
          <w:tcPr>
            <w:tcW w:w="0" w:type="dxa"/>
            <w:vAlign w:val="bottom"/>
          </w:tcPr>
          <w:p>
            <w:pPr>
              <w:spacing w:after="0"/>
              <w:rPr>
                <w:sz w:val="1"/>
                <w:szCs w:val="1"/>
                <w:color w:val="auto"/>
              </w:rPr>
            </w:pPr>
          </w:p>
        </w:tc>
      </w:tr>
      <w:tr>
        <w:trPr>
          <w:trHeight w:val="221"/>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hedging instruments</w:t>
            </w:r>
          </w:p>
        </w:tc>
        <w:tc>
          <w:tcPr>
            <w:tcW w:w="12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1960" w:type="dxa"/>
            <w:vAlign w:val="bottom"/>
            <w:shd w:val="clear" w:color="auto" w:fill="CCEEFF"/>
          </w:tcPr>
          <w:p>
            <w:pPr>
              <w:ind w:left="40"/>
              <w:spacing w:after="0" w:line="106" w:lineRule="exact"/>
              <w:rPr>
                <w:sz w:val="20"/>
                <w:szCs w:val="20"/>
                <w:color w:val="auto"/>
              </w:rPr>
            </w:pPr>
            <w:r>
              <w:rPr>
                <w:rFonts w:ascii="Arial" w:cs="Arial" w:eastAsia="Arial" w:hAnsi="Arial"/>
                <w:sz w:val="12"/>
                <w:szCs w:val="12"/>
                <w:b w:val="1"/>
                <w:bCs w:val="1"/>
                <w:color w:val="auto"/>
              </w:rPr>
              <w:t>Derivatives not designated as</w:t>
            </w:r>
          </w:p>
        </w:tc>
        <w:tc>
          <w:tcPr>
            <w:tcW w:w="1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960" w:type="dxa"/>
            <w:vAlign w:val="bottom"/>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287</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3"/>
        </w:trPr>
        <w:tc>
          <w:tcPr>
            <w:tcW w:w="19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w w:val="96"/>
              </w:rPr>
              <w:t>Total derivatives not designated</w:t>
            </w: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287</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1"/>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 hedging instruments</w:t>
            </w:r>
          </w:p>
        </w:tc>
        <w:tc>
          <w:tcPr>
            <w:tcW w:w="1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I — New Accounting Pronouncements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August 2017, the Financial Accounting Standards Board ("FASB") issued Accounting Standards Update 2017-12 "Derivatives and Hedging (Topic 815): Targeted Improvements to Accounting for Hedging Activities" ("ASU 2017-12"), which simplifies and reduces the complexity of the hedge accounting requirements and better aligns an entity's financial reporting for hedging relationships with its risk management activities. The guidance is effective for interim and annual periods beginning after December 15, 2018, with early adoption permitted. This new guidance will require a modified retrospective adoption approach to existing hedging relationships as of the adoption date. The Company is currently evaluating the impact of this update on its consolidated financial statements and disclosures.</w:t>
      </w:r>
    </w:p>
    <w:p>
      <w:pPr>
        <w:spacing w:after="0" w:line="13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January 2017, the FASB issued ASU 2017-04, "Goodwill and Other, Simplifying the Test for Goodwill Impairment," which simplifies the accounting for goodwill impairment. The new guidance removes Step 2 of the goodwill impairment test, which requires a hypothetical purchase price allocation. A goodwill impairment will now be the amount by which a reporting unit’s carrying value exceeds its fair value, not to exceed the carrying amount of goodwill. All other goodwill impairment guidance will remain largely unchanged. This guidance is effective for annual periods beginning after December 15, 2019, and interim periods thereafter; however, early adoption is permitted for any impairment tests performed after January 1, 2017. This guidance will only impact the Company's consolidated financial statements if there is a future impairment of goodwill.</w:t>
      </w:r>
    </w:p>
    <w:p>
      <w:pPr>
        <w:spacing w:after="0" w:line="124"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February 2016, the FASB issued ASU 2016-02, "Leases," which replaces the current lease accounting standard. The update will require, among other items, lessees to recognize the assets and liabilities that arise from most leases on the balance sheet. This guidance is effective for annual periods beginning after December 15, 2018, and interim periods within those annual periods. The ASU must be adopted using a modified retrospective approach and early adoption is permitted. The Company is currently evaluating the impact of this update on its consolidated financial statements and disclosures.</w:t>
      </w:r>
    </w:p>
    <w:p>
      <w:pPr>
        <w:spacing w:after="0" w:line="10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May 2014, the FASB issued ASU 2014-09, "Revenue from Contracts with Customers," which eliminates the transaction and industry-specific revenue recognition guidance under current GAAP and replaces it with a principles-based approach for determining revenue recognition. The new guidance requires revenue recognition when control of the goods or services transfers to the customer, replacing the existing guidance which requires revenue recognition when the risks and rewards transfer to the customer.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ASU 2014-09 (and related updates) is effective for annual periods beginning after December 15, 2017, and interim periods within those annual periods, with early adoption permitted for annual periods beginning after December 15, 2016. Entities have the option of using either a full retrospective or a modified retrospective approach for the adoption of the standard. The Company's efforts to evaluate the impact and to prepare for its adoption on August 1, 2018 are underway as the Company has reviewed representative forms of agreements with customers globally and is in the process of evaluating the impact of the new standard on its consolidated financial statements. The Company is also assessing its process for accumulating the required information for enhanced disclosures regarding the nature, amount, timing and uncertainty of revenue under the new standard. The Company currently anticipates applying the modified retrospective approach when adopting this guidance.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NOTE J — Subsequent Events</w:t>
      </w:r>
    </w:p>
    <w:p>
      <w:pPr>
        <w:spacing w:after="0" w:line="25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On November 14, 2017, the Board of Directors declared a quarterly cash dividend to shareholders of the Company’s Class A and Class B Common Stock of $0.2075 per share payable on January 31, 2018, to shareholders of record at the close of business on January 10,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840"/>
        <w:spacing w:after="0" w:line="371" w:lineRule="auto"/>
        <w:rPr>
          <w:sz w:val="20"/>
          <w:szCs w:val="20"/>
          <w:color w:val="auto"/>
        </w:rPr>
      </w:pPr>
      <w:r>
        <w:rPr>
          <w:rFonts w:ascii="Arial" w:cs="Arial" w:eastAsia="Arial" w:hAnsi="Arial"/>
          <w:sz w:val="18"/>
          <w:szCs w:val="18"/>
          <w:color w:val="auto"/>
        </w:rPr>
        <w:t xml:space="preserve">ITEM 2. MANAGEMENT’S DISCUSSION AND ANALYSIS OF RESULTS OF OPERATIONS AND FINANCIAL CONDITION </w:t>
      </w:r>
      <w:r>
        <w:rPr>
          <w:rFonts w:ascii="Arial" w:cs="Arial" w:eastAsia="Arial" w:hAnsi="Arial"/>
          <w:sz w:val="18"/>
          <w:szCs w:val="18"/>
          <w:u w:val="single" w:color="auto"/>
          <w:color w:val="auto"/>
        </w:rPr>
        <w:t>Overview</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Brady Corporation is a global manufacturer and supplier of identification solutions and workplace safety products that identify and protect premises, products and people. The IDS segment is primarily involved in the design, manufacture, and distribution of high-performance and innovative identification and healthcare products. The WPS segment provides workplace safety and compliance products, half of which are internally manufactured and half of which are externally sourced. Approximately 45% of our total sales are derived outside of the United States. Foreign sales within the IDS and WPS segments are approximately 35% and 65%, respectively.</w:t>
      </w:r>
    </w:p>
    <w:p>
      <w:pPr>
        <w:spacing w:after="0" w:line="5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ability to provide customers with a vast array of proprietary, customized and diverse products for use in various applications across multiple customers and geographies, along with a commitment to quality and service, have made Brady a leader in many of its markets. The long-term sales growth and profitability of our segments will depend not only on improved demand in end markets and the overall economic environment, but also on our ability to continuously improve operational excellence, focus on the customer, develop and market innovative new products, and to advance our digital capabilities. In our IDS business, our strategy for growth includes an increased focus on key customers, industries and products and improving the efficiency and effectiveness of the research and development ("R&amp;D") function. In our WPS business, our strategy for growth includes a focus on workplace safety critical industries, innovative new product offerings, compliance expertise, and improving our digital capabilities.</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is targeting the following key initiatives in fiscal 2018:</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Enhancing our innovation development process and the speed to deliver high-value, innovative products that align with our target markets.</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Driving operational excellence and providing our customers with the highest level of customer service.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Executing sustainable efficiency gains throughout our global operations as well as our selling, general, and administrative structures.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Expanding and enhancing our digital presence with a heightened focus on mobile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Growing through focused sales and marketing actions in selected vertical markets and strategic accounts.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Enhancing our global employee development process to attract and retain key talent.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comparison of results of Operating Income for the three months ended October 31, 2017 and 2016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380" w:type="dxa"/>
            <w:vAlign w:val="bottom"/>
            <w:gridSpan w:val="7"/>
          </w:tcPr>
          <w:p>
            <w:pPr>
              <w:spacing w:after="0"/>
              <w:rPr>
                <w:sz w:val="20"/>
                <w:szCs w:val="20"/>
                <w:color w:val="auto"/>
              </w:rPr>
            </w:pPr>
            <w:r>
              <w:rPr>
                <w:rFonts w:ascii="Arial" w:cs="Arial" w:eastAsia="Arial" w:hAnsi="Arial"/>
                <w:sz w:val="16"/>
                <w:szCs w:val="16"/>
                <w:b w:val="1"/>
                <w:bCs w:val="1"/>
                <w:color w:val="auto"/>
                <w:w w:val="94"/>
              </w:rPr>
              <w:t>Three months ended October 31,</w:t>
            </w:r>
          </w:p>
        </w:tc>
        <w:tc>
          <w:tcPr>
            <w:tcW w:w="900" w:type="dxa"/>
            <w:vAlign w:val="bottom"/>
          </w:tcPr>
          <w:p>
            <w:pPr>
              <w:spacing w:after="0"/>
              <w:rPr>
                <w:sz w:val="18"/>
                <w:szCs w:val="18"/>
                <w:color w:val="auto"/>
              </w:rPr>
            </w:pPr>
          </w:p>
        </w:tc>
      </w:tr>
      <w:tr>
        <w:trPr>
          <w:trHeight w:val="33"/>
        </w:trPr>
        <w:tc>
          <w:tcPr>
            <w:tcW w:w="4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40" w:type="dxa"/>
            <w:vAlign w:val="bottom"/>
          </w:tcPr>
          <w:p>
            <w:pPr>
              <w:spacing w:after="0"/>
              <w:rPr>
                <w:sz w:val="20"/>
                <w:szCs w:val="20"/>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180"/>
              <w:spacing w:after="0"/>
              <w:rPr>
                <w:sz w:val="20"/>
                <w:szCs w:val="20"/>
                <w:color w:val="auto"/>
              </w:rPr>
            </w:pPr>
            <w:r>
              <w:rPr>
                <w:rFonts w:ascii="Arial" w:cs="Arial" w:eastAsia="Arial" w:hAnsi="Arial"/>
                <w:sz w:val="16"/>
                <w:szCs w:val="16"/>
                <w:b w:val="1"/>
                <w:bCs w:val="1"/>
                <w:color w:val="auto"/>
              </w:rPr>
              <w:t>% Sales</w:t>
            </w:r>
          </w:p>
        </w:tc>
        <w:tc>
          <w:tcPr>
            <w:tcW w:w="240" w:type="dxa"/>
            <w:vAlign w:val="bottom"/>
          </w:tcPr>
          <w:p>
            <w:pPr>
              <w:spacing w:after="0"/>
              <w:rPr>
                <w:sz w:val="20"/>
                <w:szCs w:val="20"/>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 Sales</w:t>
            </w:r>
          </w:p>
        </w:tc>
      </w:tr>
      <w:tr>
        <w:trPr>
          <w:trHeight w:val="33"/>
        </w:trPr>
        <w:tc>
          <w:tcPr>
            <w:tcW w:w="4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Sales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290,151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280,176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Gross Margin</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146,065</w:t>
            </w: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50.3%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140,358</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50.1%</w:t>
            </w:r>
          </w:p>
        </w:tc>
      </w:tr>
      <w:tr>
        <w:trPr>
          <w:trHeight w:val="33"/>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10,520</w:t>
            </w: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9,146</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33"/>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100,134</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98,004</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w:t>
            </w:r>
          </w:p>
        </w:tc>
      </w:tr>
      <w:tr>
        <w:trPr>
          <w:trHeight w:val="217"/>
        </w:trPr>
        <w:tc>
          <w:tcPr>
            <w:tcW w:w="4920" w:type="dxa"/>
            <w:vAlign w:val="bottom"/>
          </w:tcPr>
          <w:p>
            <w:pPr>
              <w:ind w:left="84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110,654</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107,150</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38.2%</w:t>
            </w:r>
          </w:p>
        </w:tc>
      </w:tr>
      <w:tr>
        <w:trPr>
          <w:trHeight w:val="33"/>
        </w:trPr>
        <w:tc>
          <w:tcPr>
            <w:tcW w:w="4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5"/>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35,411</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33,208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References in this Form 10-Q to “organic sales” refer to sales calculated in accordance with U.S. GAAP, excluding the impact of foreign currency translation. The Company's organic sales disclosures exclude the effects of foreign currency translation as foreign currency translation is subject to volatility that can obscure underlying business trends. Management believes that the non-GAAP financial measure of organic sales is meaningful to investors as it provides them with useful information to aid in identifying underlying sales trends in our businesses and facilitating comparisons of our sales performance with prior periods.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Sales for the three months ended October 31, 2017, increased 3.6% to $290.2 million, compared to $280.2 million in the same period of the prior year. The increase in sales consisted of organic sales growth of 1.7% and a positive foreign currency impact of 1.9%, due to the depreciation of the U.S. dollar against certain other major currencies as compared to the same period in the prior year. Organic sales grew by 2.9% in the IDS segment and declined 1.4% in the WPS segment during the three months ended October 31, 2017, compared to the same period in the prior year. The IDS segment realized sales growth in the Product ID and Wire ID product lines, partially offset by sales declines in the Healthcare ID product line. Catalog sales in the WPS segment declined, but were partially offset by sales growth in the digital channel.</w:t>
      </w:r>
    </w:p>
    <w:p>
      <w:pPr>
        <w:spacing w:after="0" w:line="19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Gross margin for the three months ended October 31, 2017, increased 4.1% to $146.1 million, compared to $140.4 million in the same period of the prior year. As a percentage of sales, gross margin increased to 50.3% for the three months ended October 31, 2017, from 50.1% in the same period of the prior year. The increase in gross profit margin was primarily due to our on-going efforts to streamline manufacturing processes and drive operational efficiencies in production facilities. These efforts resulted in reduced excess inventory and scrap charges compared to the same period in the prior year.</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Research and development expenses (“R&amp;D”) for the three months ended October 31, 2017, increased 15.0% to $10.5 million, compared to $9.1 million in the same period of the prior year. As a percentage of sales, R&amp;D expenses were 3.6% for the three months ended October 31, 2017, compared to 3.3% in the same period of the prior year. The increase in R&amp;D expense was primarily due to increased investments in new product development within the IDS segment.</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Selling, general and administrative expenses ("SG&amp;A") include selling costs directly attributed to the IDS and WPS segments, as well as administrative expenses including finance, informational technology, human resources, and other administrative expenses. SG&amp;A increased 2.2% to $100.1 million for the three months ended October 31, 2017, compared to $98.0 million in the same period of the prior year. As a percentage of sales, SG&amp;A was 34.5% for the three months ended October 31, 2017, compared to 35.0% in the same period of the prior year. The increase in SG&amp;A was primarily due to the weakening of the U.S. Dollar against certain other currencies and increased investments in selling resources.</w:t>
      </w:r>
    </w:p>
    <w:p>
      <w:pPr>
        <w:spacing w:after="0" w:line="11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Operating income was $35.4 million and $33.2 million for three months ended October 31, 2017 and 2016, respectively. The increase was primarily due to increased gross margins in the IDS segment, reduced selling expense in the WPS segment, and the positive impact of foreign currency fluctuations. The increase in operating income was partially offset by increased R&amp;D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TO NET EARNINGS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7"/>
          </w:tcPr>
          <w:p>
            <w:pPr>
              <w:ind w:left="800"/>
              <w:spacing w:after="0"/>
              <w:rPr>
                <w:sz w:val="20"/>
                <w:szCs w:val="20"/>
                <w:color w:val="auto"/>
              </w:rPr>
            </w:pPr>
            <w:r>
              <w:rPr>
                <w:rFonts w:ascii="Arial" w:cs="Arial" w:eastAsia="Arial" w:hAnsi="Arial"/>
                <w:sz w:val="16"/>
                <w:szCs w:val="16"/>
                <w:b w:val="1"/>
                <w:bCs w:val="1"/>
                <w:color w:val="auto"/>
                <w:w w:val="95"/>
              </w:rPr>
              <w:t>Three months ended October 31,</w:t>
            </w:r>
          </w:p>
        </w:tc>
        <w:tc>
          <w:tcPr>
            <w:tcW w:w="900" w:type="dxa"/>
            <w:vAlign w:val="bottom"/>
          </w:tcPr>
          <w:p>
            <w:pPr>
              <w:spacing w:after="0"/>
              <w:rPr>
                <w:sz w:val="18"/>
                <w:szCs w:val="18"/>
                <w:color w:val="auto"/>
              </w:rPr>
            </w:pPr>
          </w:p>
        </w:tc>
      </w:tr>
      <w:tr>
        <w:trPr>
          <w:trHeight w:val="33"/>
        </w:trPr>
        <w:tc>
          <w:tcPr>
            <w:tcW w:w="4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486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020" w:type="dxa"/>
            <w:vAlign w:val="bottom"/>
            <w:gridSpan w:val="2"/>
          </w:tcPr>
          <w:p>
            <w:pPr>
              <w:ind w:left="180"/>
              <w:spacing w:after="0"/>
              <w:rPr>
                <w:sz w:val="20"/>
                <w:szCs w:val="20"/>
                <w:color w:val="auto"/>
              </w:rPr>
            </w:pPr>
            <w:r>
              <w:rPr>
                <w:rFonts w:ascii="Arial" w:cs="Arial" w:eastAsia="Arial" w:hAnsi="Arial"/>
                <w:sz w:val="16"/>
                <w:szCs w:val="16"/>
                <w:b w:val="1"/>
                <w:bCs w:val="1"/>
                <w:color w:val="auto"/>
              </w:rPr>
              <w:t>% Sales</w:t>
            </w:r>
          </w:p>
        </w:tc>
        <w:tc>
          <w:tcPr>
            <w:tcW w:w="240" w:type="dxa"/>
            <w:vAlign w:val="bottom"/>
          </w:tcPr>
          <w:p>
            <w:pPr>
              <w:spacing w:after="0"/>
              <w:rPr>
                <w:sz w:val="20"/>
                <w:szCs w:val="20"/>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 Sales</w:t>
            </w:r>
          </w:p>
        </w:tc>
      </w:tr>
      <w:tr>
        <w:trPr>
          <w:trHeight w:val="33"/>
        </w:trPr>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35,411</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33,208</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11.9 %</w:t>
            </w: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Investment and 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37"/>
        </w:trPr>
        <w:tc>
          <w:tcPr>
            <w:tcW w:w="4860" w:type="dxa"/>
            <w:vAlign w:val="bottom"/>
          </w:tcPr>
          <w:p>
            <w:pPr>
              <w:ind w:left="40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(863)</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(1,732)</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33"/>
        </w:trPr>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before income tax</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34,764</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30,987</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11.1 %</w:t>
            </w: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8,928</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8,434</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3.0 %</w:t>
            </w:r>
          </w:p>
        </w:tc>
      </w:tr>
      <w:tr>
        <w:trPr>
          <w:trHeight w:val="33"/>
        </w:trPr>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25,836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22,553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8.0 %</w:t>
            </w:r>
          </w:p>
        </w:tc>
      </w:tr>
      <w:tr>
        <w:trPr>
          <w:trHeight w:val="20"/>
        </w:trPr>
        <w:tc>
          <w:tcPr>
            <w:tcW w:w="4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Investment and other income was $0.2 million for the three months ended October 31, 2017, compared to investment and other expense of $0.5 million for the same period in the prior year. The change was primarily due to an increase in the market value of securities held in deferred compensation plans as well as increased interest income.</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decreased to $0.9 million for the three months ended October 31, 2017, from $1.7 million for the same period in the prior year. This decrease was due to the Company's declining principal balance under its outstanding debt agreements.</w:t>
      </w:r>
    </w:p>
    <w:p>
      <w:pPr>
        <w:spacing w:after="0" w:line="17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Company’s income tax rate was 25.7% for the three months ended October 31, 2017, compared to 27.2% in the same period in the prior year. The decrease in the income tax rate was due to foreign tax credits generated from a cash repatriation to the U.S. during the current quarter.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Segment Operating Results</w:t>
      </w:r>
    </w:p>
    <w:p>
      <w:pPr>
        <w:spacing w:after="0" w:line="30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is organized and managed on a global basis within three operating segments, Identification Solutions, Workplace Safety, and People Identification ("PeopleID"), which aggregate into two reportable segments that are organized around businesses with consistent products and services: IDS and WPS. The Identification Solutions and PeopleID operating segments aggregate into the IDS reporting segment, while the WPS reporting segment is comprised solely of the Workplace Safety operating segment. The Company evaluates short-term segment performance based on segment profit and customer sales. Interest expense, investment and other income (expense), income taxes, and certain corporate administrative expenses are excluded when evaluating segment performance.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segment information for the three months ended October 31, 2017 and 2016: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w w:val="92"/>
              </w:rPr>
              <w:t>Three months ended October 31,</w:t>
            </w:r>
          </w:p>
        </w:tc>
      </w:tr>
      <w:tr>
        <w:trPr>
          <w:trHeight w:val="33"/>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654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80" w:type="dxa"/>
            <w:vAlign w:val="bottom"/>
          </w:tcPr>
          <w:p>
            <w:pPr>
              <w:spacing w:after="0"/>
              <w:rPr>
                <w:sz w:val="20"/>
                <w:szCs w:val="20"/>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2016</w:t>
            </w:r>
          </w:p>
        </w:tc>
      </w:tr>
      <w:tr>
        <w:trPr>
          <w:trHeight w:val="33"/>
        </w:trPr>
        <w:tc>
          <w:tcPr>
            <w:tcW w:w="6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6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SALES TO EXTERNAL CUSTOMERS</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60"/>
        </w:trPr>
        <w:tc>
          <w:tcPr>
            <w:tcW w:w="65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209,705</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201,264</w:t>
            </w:r>
          </w:p>
        </w:tc>
      </w:tr>
      <w:tr>
        <w:trPr>
          <w:trHeight w:val="33"/>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80,446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78,912</w:t>
            </w:r>
          </w:p>
        </w:tc>
      </w:tr>
      <w:tr>
        <w:trPr>
          <w:trHeight w:val="217"/>
        </w:trPr>
        <w:tc>
          <w:tcPr>
            <w:tcW w:w="6540" w:type="dxa"/>
            <w:vAlign w:val="bottom"/>
          </w:tcPr>
          <w:p>
            <w:pPr>
              <w:ind w:left="38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290,151</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280,176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5866130" cy="1974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66130" cy="197485"/>
                    </a:xfrm>
                    <a:prstGeom prst="rect">
                      <a:avLst/>
                    </a:prstGeom>
                    <a:noFill/>
                  </pic:spPr>
                </pic:pic>
              </a:graphicData>
            </a:graphic>
          </wp:anchor>
        </w:drawing>
      </w:r>
    </w:p>
    <w:p>
      <w:pPr>
        <w:spacing w:after="0" w:line="4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SALES GROWTH INFORMATION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5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ID Solutions</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6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0" w:type="dxa"/>
            <w:vAlign w:val="bottom"/>
          </w:tcPr>
          <w:p>
            <w:pPr>
              <w:spacing w:after="0"/>
              <w:rPr>
                <w:sz w:val="1"/>
                <w:szCs w:val="1"/>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Currency</w:t>
            </w: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i w:val="1"/>
                <w:iCs w:val="1"/>
                <w:color w:val="auto"/>
              </w:rPr>
              <w:t>Workplace Safety</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Currency</w:t>
            </w: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i w:val="1"/>
                <w:iCs w:val="1"/>
                <w:color w:val="auto"/>
              </w:rPr>
              <w:t>Total Company</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Currency</w:t>
            </w: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SEGMENT PROFIT</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ID Solutions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35,837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33,068</w:t>
            </w:r>
          </w:p>
        </w:tc>
        <w:tc>
          <w:tcPr>
            <w:tcW w:w="0" w:type="dxa"/>
            <w:vAlign w:val="bottom"/>
          </w:tcPr>
          <w:p>
            <w:pPr>
              <w:spacing w:after="0"/>
              <w:rPr>
                <w:sz w:val="1"/>
                <w:szCs w:val="1"/>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Workplace Safety</w:t>
            </w:r>
          </w:p>
        </w:tc>
        <w:tc>
          <w:tcPr>
            <w:tcW w:w="380" w:type="dxa"/>
            <w:vAlign w:val="bottom"/>
          </w:tcPr>
          <w:p>
            <w:pPr>
              <w:spacing w:after="0"/>
              <w:rPr>
                <w:sz w:val="20"/>
                <w:szCs w:val="20"/>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6,445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6,450</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42,282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39,518</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SEGMENT PROFIT AS A PERCENT OF SALES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ID Solutions</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16.4 %</w:t>
            </w:r>
          </w:p>
        </w:tc>
        <w:tc>
          <w:tcPr>
            <w:tcW w:w="0" w:type="dxa"/>
            <w:vAlign w:val="bottom"/>
          </w:tcPr>
          <w:p>
            <w:pPr>
              <w:spacing w:after="0"/>
              <w:rPr>
                <w:sz w:val="1"/>
                <w:szCs w:val="1"/>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Workplace Safety</w:t>
            </w: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8.2 %</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14.1 %</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reconciliation of segment profit to earnings before income taxes for the three months ended October 31, 2017 and 2016:</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profit from reportable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586613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6613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Unallocated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86613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6613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Administrative costs</w:t>
      </w:r>
    </w:p>
    <w:p>
      <w:pPr>
        <w:spacing w:after="0" w:line="86" w:lineRule="exact"/>
        <w:rPr>
          <w:sz w:val="20"/>
          <w:szCs w:val="20"/>
          <w:color w:val="auto"/>
        </w:rPr>
      </w:pPr>
    </w:p>
    <w:p>
      <w:pPr>
        <w:jc w:val="right"/>
        <w:ind w:right="2920"/>
        <w:spacing w:after="0"/>
        <w:rPr>
          <w:sz w:val="20"/>
          <w:szCs w:val="20"/>
          <w:color w:val="auto"/>
        </w:rPr>
      </w:pPr>
      <w:r>
        <w:rPr>
          <w:rFonts w:ascii="Arial" w:cs="Arial" w:eastAsia="Arial" w:hAnsi="Arial"/>
          <w:sz w:val="16"/>
          <w:szCs w:val="16"/>
          <w:color w:val="auto"/>
        </w:rPr>
        <w:t>Investment and 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86613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6613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Interest expense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Earnings before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jc w:val="center"/>
        <w:ind w:right="2180"/>
        <w:spacing w:after="0"/>
        <w:rPr>
          <w:sz w:val="20"/>
          <w:szCs w:val="20"/>
          <w:color w:val="auto"/>
        </w:rPr>
      </w:pPr>
      <w:r>
        <w:rPr>
          <w:rFonts w:ascii="Arial" w:cs="Arial" w:eastAsia="Arial" w:hAnsi="Arial"/>
          <w:sz w:val="16"/>
          <w:szCs w:val="16"/>
          <w:b w:val="1"/>
          <w:bCs w:val="1"/>
          <w:color w:val="auto"/>
        </w:rPr>
        <w:t>Three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37465</wp:posOffset>
            </wp:positionV>
            <wp:extent cx="17151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80" w:lineRule="exact"/>
        <w:rPr>
          <w:sz w:val="20"/>
          <w:szCs w:val="20"/>
          <w:color w:val="auto"/>
        </w:rPr>
      </w:pPr>
    </w:p>
    <w:p>
      <w:pPr>
        <w:ind w:left="460"/>
        <w:spacing w:after="0"/>
        <w:tabs>
          <w:tab w:leader="none" w:pos="1840" w:val="left"/>
        </w:tabs>
        <w:rPr>
          <w:sz w:val="20"/>
          <w:szCs w:val="20"/>
          <w:color w:val="auto"/>
        </w:rPr>
      </w:pPr>
      <w:r>
        <w:rPr>
          <w:rFonts w:ascii="Arial" w:cs="Arial" w:eastAsia="Arial" w:hAnsi="Arial"/>
          <w:sz w:val="16"/>
          <w:szCs w:val="16"/>
          <w:b w:val="1"/>
          <w:bCs w:val="1"/>
          <w:color w:val="auto"/>
        </w:rPr>
        <w:t>2017</w:t>
      </w:r>
      <w:r>
        <w:rPr>
          <w:sz w:val="20"/>
          <w:szCs w:val="20"/>
          <w:color w:val="auto"/>
        </w:rPr>
        <w:tab/>
      </w:r>
      <w:r>
        <w:rPr>
          <w:rFonts w:ascii="Arial" w:cs="Arial" w:eastAsia="Arial" w:hAnsi="Arial"/>
          <w:sz w:val="16"/>
          <w:szCs w:val="16"/>
          <w:b w:val="1"/>
          <w:bCs w:val="1"/>
          <w:color w:val="auto"/>
        </w:rPr>
        <w:t>2016</w:t>
      </w:r>
    </w:p>
    <w:p>
      <w:pPr>
        <w:spacing w:after="0" w:line="90" w:lineRule="exact"/>
        <w:rPr>
          <w:sz w:val="20"/>
          <w:szCs w:val="20"/>
          <w:color w:val="auto"/>
        </w:rPr>
      </w:pPr>
    </w:p>
    <w:p>
      <w:pPr>
        <w:spacing w:after="0"/>
        <w:tabs>
          <w:tab w:leader="none" w:pos="720" w:val="left"/>
          <w:tab w:leader="none" w:pos="1380" w:val="left"/>
          <w:tab w:leader="none" w:pos="21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42,282</w:t>
        <w:tab/>
        <w:t>$</w:t>
      </w:r>
      <w:r>
        <w:rPr>
          <w:sz w:val="20"/>
          <w:szCs w:val="20"/>
          <w:color w:val="auto"/>
        </w:rPr>
        <w:tab/>
      </w:r>
      <w:r>
        <w:rPr>
          <w:rFonts w:ascii="Arial" w:cs="Arial" w:eastAsia="Arial" w:hAnsi="Arial"/>
          <w:sz w:val="14"/>
          <w:szCs w:val="14"/>
          <w:color w:val="auto"/>
        </w:rPr>
        <w:t>39,518</w:t>
      </w:r>
    </w:p>
    <w:p>
      <w:pPr>
        <w:spacing w:after="0" w:line="356" w:lineRule="exact"/>
        <w:rPr>
          <w:sz w:val="20"/>
          <w:szCs w:val="20"/>
          <w:color w:val="auto"/>
        </w:rPr>
      </w:pPr>
    </w:p>
    <w:p>
      <w:pPr>
        <w:jc w:val="both"/>
        <w:ind w:left="760"/>
        <w:spacing w:after="0"/>
        <w:tabs>
          <w:tab w:leader="none" w:pos="2140" w:val="left"/>
        </w:tabs>
        <w:rPr>
          <w:sz w:val="20"/>
          <w:szCs w:val="20"/>
          <w:color w:val="auto"/>
        </w:rPr>
      </w:pPr>
      <w:r>
        <w:rPr>
          <w:rFonts w:ascii="Arial" w:cs="Arial" w:eastAsia="Arial" w:hAnsi="Arial"/>
          <w:sz w:val="16"/>
          <w:szCs w:val="16"/>
          <w:color w:val="auto"/>
        </w:rPr>
        <w:t>(6,871)</w:t>
      </w:r>
      <w:r>
        <w:rPr>
          <w:sz w:val="20"/>
          <w:szCs w:val="20"/>
          <w:color w:val="auto"/>
        </w:rPr>
        <w:tab/>
      </w:r>
      <w:r>
        <w:rPr>
          <w:rFonts w:ascii="Arial" w:cs="Arial" w:eastAsia="Arial" w:hAnsi="Arial"/>
          <w:sz w:val="16"/>
          <w:szCs w:val="16"/>
          <w:color w:val="auto"/>
        </w:rPr>
        <w:t>(6,310)</w:t>
      </w:r>
    </w:p>
    <w:p>
      <w:pPr>
        <w:spacing w:after="0" w:line="86" w:lineRule="exact"/>
        <w:rPr>
          <w:sz w:val="20"/>
          <w:szCs w:val="20"/>
          <w:color w:val="auto"/>
        </w:rPr>
      </w:pPr>
    </w:p>
    <w:p>
      <w:pPr>
        <w:jc w:val="both"/>
        <w:ind w:left="940"/>
        <w:spacing w:after="0"/>
        <w:tabs>
          <w:tab w:leader="none" w:pos="2260" w:val="left"/>
        </w:tabs>
        <w:rPr>
          <w:sz w:val="20"/>
          <w:szCs w:val="20"/>
          <w:color w:val="auto"/>
        </w:rPr>
      </w:pPr>
      <w:r>
        <w:rPr>
          <w:rFonts w:ascii="Arial" w:cs="Arial" w:eastAsia="Arial" w:hAnsi="Arial"/>
          <w:sz w:val="16"/>
          <w:szCs w:val="16"/>
          <w:color w:val="auto"/>
        </w:rPr>
        <w:t>216</w:t>
      </w:r>
      <w:r>
        <w:rPr>
          <w:sz w:val="20"/>
          <w:szCs w:val="20"/>
          <w:color w:val="auto"/>
        </w:rPr>
        <w:tab/>
      </w:r>
      <w:r>
        <w:rPr>
          <w:rFonts w:ascii="Arial" w:cs="Arial" w:eastAsia="Arial" w:hAnsi="Arial"/>
          <w:sz w:val="16"/>
          <w:szCs w:val="16"/>
          <w:color w:val="auto"/>
        </w:rPr>
        <w:t>(489)</w:t>
      </w:r>
    </w:p>
    <w:p>
      <w:pPr>
        <w:spacing w:after="0" w:line="86" w:lineRule="exact"/>
        <w:rPr>
          <w:sz w:val="20"/>
          <w:szCs w:val="20"/>
          <w:color w:val="auto"/>
        </w:rPr>
      </w:pPr>
    </w:p>
    <w:p>
      <w:pPr>
        <w:ind w:left="2160" w:hanging="1277"/>
        <w:spacing w:after="0"/>
        <w:tabs>
          <w:tab w:leader="none" w:pos="2160" w:val="left"/>
        </w:tabs>
        <w:numPr>
          <w:ilvl w:val="0"/>
          <w:numId w:val="9"/>
        </w:numPr>
        <w:rPr>
          <w:rFonts w:ascii="Arial" w:cs="Arial" w:eastAsia="Arial" w:hAnsi="Arial"/>
          <w:sz w:val="15"/>
          <w:szCs w:val="15"/>
          <w:color w:val="auto"/>
        </w:rPr>
      </w:pPr>
      <w:r>
        <w:rPr>
          <w:rFonts w:ascii="Arial" w:cs="Arial" w:eastAsia="Arial" w:hAnsi="Arial"/>
          <w:sz w:val="15"/>
          <w:szCs w:val="15"/>
          <w:color w:val="auto"/>
        </w:rPr>
        <w:t>(1,732)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42545</wp:posOffset>
            </wp:positionV>
            <wp:extent cx="17151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78" w:lineRule="exact"/>
        <w:rPr>
          <w:sz w:val="20"/>
          <w:szCs w:val="20"/>
          <w:color w:val="auto"/>
        </w:rPr>
      </w:pPr>
    </w:p>
    <w:p>
      <w:pPr>
        <w:spacing w:after="0"/>
        <w:tabs>
          <w:tab w:leader="none" w:pos="720" w:val="left"/>
          <w:tab w:leader="none" w:pos="1380" w:val="left"/>
          <w:tab w:leader="none" w:pos="21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34,764</w:t>
        <w:tab/>
        <w:t>$</w:t>
      </w:r>
      <w:r>
        <w:rPr>
          <w:sz w:val="20"/>
          <w:szCs w:val="20"/>
          <w:color w:val="auto"/>
        </w:rPr>
        <w:tab/>
      </w:r>
      <w:r>
        <w:rPr>
          <w:rFonts w:ascii="Arial" w:cs="Arial" w:eastAsia="Arial" w:hAnsi="Arial"/>
          <w:sz w:val="14"/>
          <w:szCs w:val="14"/>
          <w:color w:val="auto"/>
        </w:rPr>
        <w:t>30,987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34925</wp:posOffset>
            </wp:positionV>
            <wp:extent cx="171513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15135"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60" w:space="720"/>
            <w:col w:w="4840"/>
          </w:cols>
          <w:pgMar w:left="240" w:top="122" w:right="239" w:bottom="1440" w:gutter="0" w:footer="0" w:header="0"/>
          <w:type w:val="continuous"/>
        </w:sectPr>
      </w:pP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2" w:right="2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 Solutions</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Approximately 70% of net sales in the IDS segment were generated in the Americas region, 20% in Europe and 10% in Asia. IDS sales increased 4.2% to $209.7 million for the three months ended October 31, 2017, compared to $201.3 million in the same period in the prior year. Organic sales increased 2.9% and foreign currency fluctuations increased sales by 1.3% for the three months ended October 31, 2017, compared to the same period in the prior year.</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Organic sales in the Americas were essentially flat for the three months ended October 31, 2017, as compared to the same period in the prior year. The IDS Americas region realized organic sales growth primarily in the Wire ID product line due to increased sales of printer consumables, which were offset by organic sales declines in the Healthcare ID product line due to pricing pressures within certain product categories resulting from the consolidation of group purchasing organizations. Organic sales grew in the mid-single digits in Canada and Mexico, grew in the low single-digits in Brazil, and declined slightly in the United States.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Organic sales in Europe grew in the high-single digits for the three months ended October 31, 2017, as compared to the same period in the prior year. Organic sales growth was primarily due to sales increases in the Product ID and Safety and Facility ID product lines. Organic sales grew in nearly every geography within our European-based business, which has increased sales consistently for the last several quarters.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Organic sales in Asia grew in the high-single digits for the three months ended October 31, 2017, as compared to the same period in the prior year. The IDS Asia region realized organic sales growth in both the Original Equipment Manufacturer ("OEM") and Maintenance, Repair, and Overhaul ("MRO") product categories due to several new customer and project wins along with a general increase in activity within our existing customer base. Organic sales growth in China, Japan, and India were partially offset by an organic sales decline in Singapore.</w:t>
      </w:r>
    </w:p>
    <w:p>
      <w:pPr>
        <w:spacing w:after="0" w:line="18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Segment profit increased 8.4% to $35.8 million for the three months ended October 31, 2017, compared to $33.1 million in the same period of the prior year. As a percentage of sales, segment profit was 17.1% for the three months ended October 31, 2017, compared to 16.4% in the same period of the prior year. The increase in segment profit was primarily driven by increased organic sales and operational efficiencies in our manufacturing facilities in all regions.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Workplace Safety</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Approximately 50% of net sales in the WPS segment were generated in Europe, 35% in the Americas and 15% in Australia. WPS sales increased 1.9% to $80.4 million from $78.9 million for the three months ended October 31, 2017 and 2016, respectively. Organic sales decreased 1.4% and foreign currency fluctuations increased sales by 3.3% due to the strengthening of certain major currencies against the U.S. dollar as compared to the same period in the prior year. Catalog sales in the WPS segment declined, but were partially offset by mid-single digit sales growth in the digital channel, which is consistent with the general shift of sales from the catalog channel to digital.</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Europe realized low-single digit organic sales growth for the three months ended October 31, 2017, compared to the same period in the prior year. This growth was driven primarily by the U.K., France and Sweden due to improvements in website functionality and key account management. We experienced mid-single digit growth in digital sales and essentially flat sales through the traditional catalog channel during the three months ended October 31, 2017, compared to the same period in the prior year.</w:t>
      </w:r>
    </w:p>
    <w:p>
      <w:pPr>
        <w:spacing w:after="0" w:line="18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Organic sales in the Americas declined in the mid-single digits for the three months ended October 31, 2017, compared to the same period in the prior year. This decrease was primarily in the U.S. due to lower response rates to catalog promotions and continued pricing pressures in industrial end markets. Although digital sales increased in the mid-single digits, the increase was not enough to offset the decline in sales through the catalog channel.</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Organic sales in Australia grew in the low-single digits for the three months ended October 31, 2017, as compared to the same period of the prior year. We have started to realize sales growth by bringing our diverse product offering to many different industries in Australia as our sales to the mining industry have become less significant over the past several years. We continue to focus on enhancing our expertise in these industries to drive sales growth as well as addressing our cost structure to improve profitability.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Segment profit decreased to $6.4 million for the three months ended October 31, 2017, compared to $6.5 million in the same period of the prior year. As a percentage of sales, segment profit decreased to 8.0% for the three months ended October 31, 2017, compared to 8.2% in the same period of the prior year. The decrease in segment profit was due to the decline in organic sales volume and reduced gross profit margins due to pricing challenges in the Americas region, which was partially offset by reduced selling expenses.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Cash and cash equivalents were $142.2 million at October 31, 2017, an increase of $8.3 million from July 31, 2017. The significant changes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w w:val="92"/>
              </w:rPr>
              <w:t>Three months ended October 31,</w:t>
            </w:r>
          </w:p>
        </w:tc>
      </w:tr>
      <w:tr>
        <w:trPr>
          <w:trHeight w:val="33"/>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654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80" w:type="dxa"/>
            <w:vAlign w:val="bottom"/>
          </w:tcPr>
          <w:p>
            <w:pPr>
              <w:spacing w:after="0"/>
              <w:rPr>
                <w:sz w:val="20"/>
                <w:szCs w:val="20"/>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2016</w:t>
            </w:r>
          </w:p>
        </w:tc>
      </w:tr>
      <w:tr>
        <w:trPr>
          <w:trHeight w:val="33"/>
        </w:trPr>
        <w:tc>
          <w:tcPr>
            <w:tcW w:w="6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6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flow provided by (used in):</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60"/>
        </w:trPr>
        <w:tc>
          <w:tcPr>
            <w:tcW w:w="65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Operating activities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34,719</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33,993</w:t>
            </w:r>
          </w:p>
        </w:tc>
      </w:tr>
      <w:tr>
        <w:trPr>
          <w:trHeight w:val="33"/>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(2,448)</w:t>
            </w: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Financing activities</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(21,663)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(2,363)</w:t>
            </w:r>
          </w:p>
        </w:tc>
      </w:tr>
      <w:tr>
        <w:trPr>
          <w:trHeight w:val="33"/>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exchange rate changes on cash</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(4,109)</w:t>
            </w:r>
          </w:p>
        </w:tc>
      </w:tr>
      <w:tr>
        <w:trPr>
          <w:trHeight w:val="217"/>
        </w:trPr>
        <w:tc>
          <w:tcPr>
            <w:tcW w:w="6540" w:type="dxa"/>
            <w:vAlign w:val="bottom"/>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8,293</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25,073</w:t>
            </w:r>
          </w:p>
        </w:tc>
      </w:tr>
      <w:tr>
        <w:trPr>
          <w:trHeight w:val="33"/>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provided by operating activities was $34.7 million for the three months ended October 31, 2017, compared to $34.0 million in the same period of the prior year. The change in cash provided by operating activities of $0.7 million was due to an increase in net earnings of $3.3 million, which was partially offset by the timing of working capital fluctuations.</w:t>
      </w:r>
    </w:p>
    <w:p>
      <w:pPr>
        <w:spacing w:after="0" w:line="18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Net cash used in investing activities was $2.8 million for the three months ended October 31, 2017, compared to $2.4 million used in the same period of the prior year. Capital expenditures during the three months ended October 31, 2017 were comparable to the same period in the prior year.</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financing activities was $21.7 million during the three months ended October 31, 2017, compared to $2.4 million in the same period of the prior year. The change in cash used in financing activities was primarily due to a $12.4 million increase of credit facility repaymentsand a decrease of $5.6 million of proceeds from stock option exercises.</w:t>
      </w:r>
    </w:p>
    <w:p>
      <w:pPr>
        <w:spacing w:after="0" w:line="18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effect of fluctuations in exchange rates decreased cash balances by $1.9 million primarily due to cash balances held in currencies that depreciated against the U.S. dollar during three months ended October 31, 2017.</w:t>
      </w:r>
    </w:p>
    <w:p>
      <w:pPr>
        <w:spacing w:after="0" w:line="11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May 13, 2010, the Company completed a private placement of €75.0 million aggregate principal amount of senior unsecured notes to accredited institutional investors. The €75.0 million of senior notes consisted of €30.0 million aggregate principal amount of 3.71% Series 2010-A Senior Notes, which were repaid during fiscal 2017, and €45.0 million aggregate principal amount of 4.24% Series 2010-A Senior Notes, due May 13, 2020, with interest payable on the notes semiannually. This private placement was exempt from the registration requirements of the Securities Act of 1933. The notes have been fully and unconditionally guaranteed on an unsecured basis by the Company’s domestic subsidiaries.</w:t>
      </w:r>
    </w:p>
    <w:p>
      <w:pPr>
        <w:spacing w:after="0" w:line="11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September 25, 2015, the Company and certain of its subsidiaries entered into an unsecured $300 million multi-currency revolving loan agreement with a group of six banks.At the Company's option, and subject to certain conditions, the available amount under the revolving loan agreement may be increased from $300 million to $450 million. As of October 31, 2017, the outstanding balance on the credit facility was $41.5 million, and the maximum outstanding balance during the three months ended October 31, 2017 was $51.3 million. The Company also had letters of credit outstanding under the loan agreement of $4.1 million as of October 31, 2017 and there was $254.4 million available for future borrowing, which can be increased to $404.4 million at the Company's option, subject to certain conditions. The revolving loan agreement has a final maturity date of September 25, 2020. As such, the borrowing is included in "Long-term obligations, less current maturities" on the Condensed Consolidated Balance Sheets.</w:t>
      </w:r>
    </w:p>
    <w:p>
      <w:pPr>
        <w:spacing w:after="0" w:line="12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Company’s debt agreements require it to maintain certain financial covenants, including a ratio of debt to the trailing 12 months EBITDA, as defined in the debt agreements, of not more than a 3.25 to 1.0 ratio (leverage ratio) and the trailing 12 months EBITDA to interest expense of not less than a 3.0 to 1.0 ratio (interest expense coverage). As of October 31, 2017, the Company was in compliance with these financial covenants, with the ratio of debt to EBITDA, as defined by the agreements, equal to 0.6 to 1.0 and the interest expense coverage ratio equal to 37.1 to 1.0.</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Company's cash balances are generated and held in numerous locations throughout the world. At October 31, 2017, 91.3% of the Company's cash and cash equivalents were held outside the United States. The Company's growth has historically been funded by a combination of cash provided by operating activities and debt financing. The Company believes that its cash flow from operating activities, in addition to its borrowing capacity, are sufficient to fund its anticipated requirements for working capital, capital expenditures, common stock repurchases, scheduled debt repayments, and dividend payments for the next twelve months. Although we believe these sources of cash are currently sufficient to fund our domestic operations, our annual cash needs could require us to repatriate cash to the U.S. from foreign jurisdictions, which may result in incremental cash taxes and related tax expense.</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Off-Balance Sheet Arrangements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does not have material off-balance sheet arrangements.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12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Operating Leases - The leases generally are entered into for investments in facilities such as manufacturing facilities, warehouses and office space, computer equipment and Company vehicles.</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this quarterly report on Form 10-Q,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27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17" w:lineRule="exact"/>
        <w:rPr>
          <w:sz w:val="20"/>
          <w:szCs w:val="20"/>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Brady's ability to compete effectively or to successfully execute our strategy</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Brady's ability to develop technologically advanced products that meet customer demands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protecting our websites, networks, and systems against security breaches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Decreased demand for the Company's products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Brady's ability to retain large customers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Extensive regulations by U.S. and non-U.S. governmental and self regulatory entities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Brady's ability to execute facility consolidations and maintain acceptable operational service metrics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Litigation, including product liability claims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associated with the loss of key employees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Divestitures and contingent liabilities from divestitures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Brady's ability to properly identify, integrate, and grow acquired companies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tax legislation and tax rates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write-offs of Brady's substantial intangible assets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Differing interests of voting and non-voting shareholders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Brady's ability to meet certain financial covenants required by our debt agreements.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left="540" w:hanging="316"/>
        <w:spacing w:after="0" w:line="264"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the Form 10-K filed with the SEC on September 13, 2017.</w:t>
      </w:r>
    </w:p>
    <w:p>
      <w:pPr>
        <w:spacing w:after="0" w:line="18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90"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Refer to the Company’s annual report on Form 10-K for the year ended July 31, 2017. There has been no material change in this information since July 31, 2017.</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9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Chief Financial Officer and Treasurer, of the effectiveness of the design and operation of the Company’s disclosure controls and procedures pursuant to Rule 13a-15 of the Exchange Act. Based on that evaluation, the Company’s President &amp; Chief Executive Officer and Chief Financial Officer and Treasurer concluded that the Company’s disclosure controls and procedures are effective as of the end of the period covered by this report.</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Exhibits</w:t>
      </w:r>
    </w:p>
    <w:p>
      <w:pPr>
        <w:spacing w:after="0" w:line="171" w:lineRule="exact"/>
        <w:rPr>
          <w:sz w:val="20"/>
          <w:szCs w:val="20"/>
          <w:color w:val="auto"/>
        </w:rPr>
      </w:pPr>
    </w:p>
    <w:p>
      <w:pPr>
        <w:ind w:left="40"/>
        <w:spacing w:after="0"/>
        <w:tabs>
          <w:tab w:leader="none" w:pos="58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27">
        <w:r>
          <w:rPr>
            <w:rFonts w:ascii="Arial" w:cs="Arial" w:eastAsia="Arial" w:hAnsi="Arial"/>
            <w:sz w:val="16"/>
            <w:szCs w:val="16"/>
            <w:u w:val="single" w:color="auto"/>
            <w:color w:val="0000FF"/>
          </w:rPr>
          <w:t>Rule 13a-14(a)/15d-14(a) Certification of J. Michael Nauman</w:t>
        </w:r>
      </w:hyperlink>
    </w:p>
    <w:p>
      <w:pPr>
        <w:spacing w:after="0" w:line="387" w:lineRule="exact"/>
        <w:rPr>
          <w:sz w:val="20"/>
          <w:szCs w:val="20"/>
          <w:color w:val="auto"/>
        </w:rPr>
      </w:pPr>
    </w:p>
    <w:p>
      <w:pPr>
        <w:ind w:left="40"/>
        <w:spacing w:after="0"/>
        <w:tabs>
          <w:tab w:leader="none" w:pos="58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28">
        <w:r>
          <w:rPr>
            <w:rFonts w:ascii="Arial" w:cs="Arial" w:eastAsia="Arial" w:hAnsi="Arial"/>
            <w:sz w:val="16"/>
            <w:szCs w:val="16"/>
            <w:u w:val="single" w:color="auto"/>
            <w:color w:val="0000FF"/>
          </w:rPr>
          <w:t>Rule 13a-14(a)/15d-14(a) Certification of Aaron J. Pearce</w:t>
        </w:r>
      </w:hyperlink>
    </w:p>
    <w:p>
      <w:pPr>
        <w:spacing w:after="0" w:line="387" w:lineRule="exact"/>
        <w:rPr>
          <w:sz w:val="20"/>
          <w:szCs w:val="20"/>
          <w:color w:val="auto"/>
        </w:rPr>
      </w:pPr>
    </w:p>
    <w:p>
      <w:pPr>
        <w:ind w:left="40"/>
        <w:spacing w:after="0"/>
        <w:tabs>
          <w:tab w:leader="none" w:pos="580" w:val="left"/>
        </w:tabs>
        <w:rPr>
          <w:rFonts w:ascii="Arial" w:cs="Arial" w:eastAsia="Arial" w:hAnsi="Arial"/>
          <w:sz w:val="16"/>
          <w:szCs w:val="16"/>
          <w:u w:val="single" w:color="auto"/>
          <w:color w:val="0000FF"/>
        </w:rPr>
      </w:pPr>
      <w:r>
        <w:rPr>
          <w:rFonts w:ascii="Arial" w:cs="Arial" w:eastAsia="Arial" w:hAnsi="Arial"/>
          <w:sz w:val="18"/>
          <w:szCs w:val="18"/>
          <w:color w:val="auto"/>
        </w:rPr>
        <w:t>32.1</w:t>
      </w:r>
      <w:r>
        <w:rPr>
          <w:sz w:val="20"/>
          <w:szCs w:val="20"/>
          <w:color w:val="auto"/>
        </w:rPr>
        <w:tab/>
      </w:r>
      <w:hyperlink w:anchor="page29">
        <w:r>
          <w:rPr>
            <w:rFonts w:ascii="Arial" w:cs="Arial" w:eastAsia="Arial" w:hAnsi="Arial"/>
            <w:sz w:val="16"/>
            <w:szCs w:val="16"/>
            <w:u w:val="single" w:color="auto"/>
            <w:color w:val="0000FF"/>
          </w:rPr>
          <w:t>Section 1350 Certification of J. Michael Nauman</w:t>
        </w:r>
      </w:hyperlink>
    </w:p>
    <w:p>
      <w:pPr>
        <w:spacing w:after="0" w:line="387" w:lineRule="exact"/>
        <w:rPr>
          <w:sz w:val="20"/>
          <w:szCs w:val="20"/>
          <w:color w:val="auto"/>
        </w:rPr>
      </w:pPr>
    </w:p>
    <w:p>
      <w:pPr>
        <w:ind w:left="40"/>
        <w:spacing w:after="0"/>
        <w:tabs>
          <w:tab w:leader="none" w:pos="580" w:val="left"/>
        </w:tabs>
        <w:rPr>
          <w:rFonts w:ascii="Arial" w:cs="Arial" w:eastAsia="Arial" w:hAnsi="Arial"/>
          <w:sz w:val="16"/>
          <w:szCs w:val="16"/>
          <w:u w:val="single" w:color="auto"/>
          <w:color w:val="0000FF"/>
        </w:rPr>
      </w:pPr>
      <w:r>
        <w:rPr>
          <w:rFonts w:ascii="Arial" w:cs="Arial" w:eastAsia="Arial" w:hAnsi="Arial"/>
          <w:sz w:val="18"/>
          <w:szCs w:val="18"/>
          <w:color w:val="auto"/>
        </w:rPr>
        <w:t>32.1</w:t>
      </w:r>
      <w:r>
        <w:rPr>
          <w:sz w:val="20"/>
          <w:szCs w:val="20"/>
          <w:color w:val="auto"/>
        </w:rPr>
        <w:tab/>
      </w:r>
      <w:hyperlink w:anchor="page30">
        <w:r>
          <w:rPr>
            <w:rFonts w:ascii="Arial" w:cs="Arial" w:eastAsia="Arial" w:hAnsi="Arial"/>
            <w:sz w:val="16"/>
            <w:szCs w:val="16"/>
            <w:u w:val="single" w:color="auto"/>
            <w:color w:val="0000FF"/>
          </w:rPr>
          <w:t>Section 1350 Certification of Aaron J. Pearce</w:t>
        </w:r>
      </w:hyperlink>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219"/>
          </w:cols>
          <w:pgMar w:left="240" w:top="121" w:right="1440"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880" w:type="dxa"/>
            <w:vAlign w:val="bottom"/>
            <w:gridSpan w:val="2"/>
          </w:tcPr>
          <w:p>
            <w:pPr>
              <w:jc w:val="center"/>
              <w:ind w:right="3450"/>
              <w:spacing w:after="0"/>
              <w:rPr>
                <w:sz w:val="20"/>
                <w:szCs w:val="20"/>
                <w:color w:val="auto"/>
              </w:rPr>
            </w:pPr>
            <w:r>
              <w:rPr>
                <w:rFonts w:ascii="Arial" w:cs="Arial" w:eastAsia="Arial" w:hAnsi="Arial"/>
                <w:sz w:val="18"/>
                <w:szCs w:val="18"/>
                <w:color w:val="auto"/>
                <w:w w:val="93"/>
              </w:rPr>
              <w:t>SIGNATURES</w:t>
            </w:r>
          </w:p>
        </w:tc>
      </w:tr>
      <w:tr>
        <w:trPr>
          <w:trHeight w:val="378"/>
        </w:trPr>
        <w:tc>
          <w:tcPr>
            <w:tcW w:w="35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BRADY CORPORATION</w:t>
            </w:r>
          </w:p>
        </w:tc>
      </w:tr>
      <w:tr>
        <w:trPr>
          <w:trHeight w:val="594"/>
        </w:trPr>
        <w:tc>
          <w:tcPr>
            <w:tcW w:w="3500" w:type="dxa"/>
            <w:vAlign w:val="bottom"/>
          </w:tcPr>
          <w:p>
            <w:pPr>
              <w:spacing w:after="0"/>
              <w:rPr>
                <w:sz w:val="20"/>
                <w:szCs w:val="20"/>
                <w:color w:val="auto"/>
              </w:rPr>
            </w:pPr>
            <w:r>
              <w:rPr>
                <w:rFonts w:ascii="Arial" w:cs="Arial" w:eastAsia="Arial" w:hAnsi="Arial"/>
                <w:sz w:val="18"/>
                <w:szCs w:val="18"/>
                <w:color w:val="auto"/>
              </w:rPr>
              <w:t>Date: November 16, 2017</w:t>
            </w:r>
          </w:p>
        </w:tc>
        <w:tc>
          <w:tcPr>
            <w:tcW w:w="3780" w:type="dxa"/>
            <w:vAlign w:val="bottom"/>
          </w:tcPr>
          <w:p>
            <w:pPr>
              <w:spacing w:after="0"/>
              <w:rPr>
                <w:sz w:val="24"/>
                <w:szCs w:val="24"/>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/s/ J. MICHAEL NAUMAN</w:t>
            </w:r>
          </w:p>
        </w:tc>
      </w:tr>
      <w:tr>
        <w:trPr>
          <w:trHeight w:val="27"/>
        </w:trPr>
        <w:tc>
          <w:tcPr>
            <w:tcW w:w="35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35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J. Michael Nauman</w:t>
            </w:r>
          </w:p>
        </w:tc>
      </w:tr>
      <w:tr>
        <w:trPr>
          <w:trHeight w:val="270"/>
        </w:trPr>
        <w:tc>
          <w:tcPr>
            <w:tcW w:w="350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350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(Principal Executive Officer)</w:t>
            </w:r>
          </w:p>
        </w:tc>
      </w:tr>
      <w:tr>
        <w:trPr>
          <w:trHeight w:val="864"/>
        </w:trPr>
        <w:tc>
          <w:tcPr>
            <w:tcW w:w="3500" w:type="dxa"/>
            <w:vAlign w:val="bottom"/>
          </w:tcPr>
          <w:p>
            <w:pPr>
              <w:spacing w:after="0"/>
              <w:rPr>
                <w:sz w:val="20"/>
                <w:szCs w:val="20"/>
                <w:color w:val="auto"/>
              </w:rPr>
            </w:pPr>
            <w:r>
              <w:rPr>
                <w:rFonts w:ascii="Arial" w:cs="Arial" w:eastAsia="Arial" w:hAnsi="Arial"/>
                <w:sz w:val="18"/>
                <w:szCs w:val="18"/>
                <w:color w:val="auto"/>
              </w:rPr>
              <w:t>Date: November 16, 2017</w:t>
            </w:r>
          </w:p>
        </w:tc>
        <w:tc>
          <w:tcPr>
            <w:tcW w:w="3780" w:type="dxa"/>
            <w:vAlign w:val="bottom"/>
          </w:tcPr>
          <w:p>
            <w:pPr>
              <w:spacing w:after="0"/>
              <w:rPr>
                <w:sz w:val="24"/>
                <w:szCs w:val="24"/>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/s/ AARON J. PEARCE</w:t>
            </w:r>
          </w:p>
        </w:tc>
      </w:tr>
      <w:tr>
        <w:trPr>
          <w:trHeight w:val="27"/>
        </w:trPr>
        <w:tc>
          <w:tcPr>
            <w:tcW w:w="35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35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Aaron J. Pearce</w:t>
            </w:r>
          </w:p>
        </w:tc>
      </w:tr>
      <w:tr>
        <w:trPr>
          <w:trHeight w:val="270"/>
        </w:trPr>
        <w:tc>
          <w:tcPr>
            <w:tcW w:w="350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Chief Financial Officer and Treasurer</w:t>
            </w:r>
          </w:p>
        </w:tc>
      </w:tr>
      <w:tr>
        <w:trPr>
          <w:trHeight w:val="270"/>
        </w:trPr>
        <w:tc>
          <w:tcPr>
            <w:tcW w:w="350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(Principal Financial Officer)</w:t>
            </w:r>
          </w:p>
        </w:tc>
      </w:tr>
      <w:tr>
        <w:trPr>
          <w:trHeight w:val="486"/>
        </w:trPr>
        <w:tc>
          <w:tcPr>
            <w:tcW w:w="3500" w:type="dxa"/>
            <w:vAlign w:val="bottom"/>
          </w:tcPr>
          <w:p>
            <w:pPr>
              <w:spacing w:after="0"/>
              <w:rPr>
                <w:sz w:val="24"/>
                <w:szCs w:val="24"/>
                <w:color w:val="auto"/>
              </w:rPr>
            </w:pPr>
          </w:p>
        </w:tc>
        <w:tc>
          <w:tcPr>
            <w:tcW w:w="3780" w:type="dxa"/>
            <w:vAlign w:val="bottom"/>
          </w:tcPr>
          <w:p>
            <w:pPr>
              <w:jc w:val="right"/>
              <w:ind w:right="1430"/>
              <w:spacing w:after="0"/>
              <w:rPr>
                <w:sz w:val="20"/>
                <w:szCs w:val="20"/>
                <w:color w:val="auto"/>
              </w:rPr>
            </w:pPr>
            <w:r>
              <w:rPr>
                <w:rFonts w:ascii="Arial" w:cs="Arial" w:eastAsia="Arial" w:hAnsi="Arial"/>
                <w:sz w:val="18"/>
                <w:szCs w:val="18"/>
                <w:color w:val="auto"/>
              </w:rPr>
              <w:t>26</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 Michael Nauman, certify that:</w:t>
      </w:r>
    </w:p>
    <w:p>
      <w:pPr>
        <w:spacing w:after="0" w:line="90" w:lineRule="exact"/>
        <w:rPr>
          <w:sz w:val="20"/>
          <w:szCs w:val="20"/>
          <w:color w:val="auto"/>
        </w:rPr>
      </w:pPr>
    </w:p>
    <w:p>
      <w:pPr>
        <w:ind w:left="700" w:hanging="260"/>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40"/>
        <w:spacing w:after="0" w:line="342" w:lineRule="auto"/>
        <w:tabs>
          <w:tab w:leader="none" w:pos="699"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40"/>
        <w:spacing w:after="0" w:line="308" w:lineRule="auto"/>
        <w:tabs>
          <w:tab w:leader="none" w:pos="698" w:val="left"/>
        </w:tabs>
        <w:numPr>
          <w:ilvl w:val="0"/>
          <w:numId w:val="12"/>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40"/>
        <w:spacing w:after="0" w:line="264"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277" w:lineRule="auto"/>
        <w:tabs>
          <w:tab w:leader="none" w:pos="689"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sz w:val="20"/>
          <w:szCs w:val="20"/>
          <w:color w:val="auto"/>
        </w:rPr>
      </w:pPr>
    </w:p>
    <w:p>
      <w:pPr>
        <w:ind w:firstLine="440"/>
        <w:spacing w:after="0" w:line="277" w:lineRule="auto"/>
        <w:tabs>
          <w:tab w:leader="none" w:pos="618"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16, 2017</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&amp;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Aaron J. Pearce, certify that:</w:t>
      </w:r>
    </w:p>
    <w:p>
      <w:pPr>
        <w:spacing w:after="0" w:line="90" w:lineRule="exact"/>
        <w:rPr>
          <w:sz w:val="20"/>
          <w:szCs w:val="20"/>
          <w:color w:val="auto"/>
        </w:rPr>
      </w:pPr>
    </w:p>
    <w:p>
      <w:pPr>
        <w:ind w:left="700" w:hanging="260"/>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40"/>
        <w:spacing w:after="0" w:line="342" w:lineRule="auto"/>
        <w:tabs>
          <w:tab w:leader="none" w:pos="699"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40"/>
        <w:spacing w:after="0" w:line="308" w:lineRule="auto"/>
        <w:tabs>
          <w:tab w:leader="none" w:pos="698" w:val="left"/>
        </w:tabs>
        <w:numPr>
          <w:ilvl w:val="0"/>
          <w:numId w:val="16"/>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40"/>
        <w:spacing w:after="0" w:line="264"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277" w:lineRule="auto"/>
        <w:tabs>
          <w:tab w:leader="none" w:pos="689"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sz w:val="20"/>
          <w:szCs w:val="20"/>
          <w:color w:val="auto"/>
        </w:rPr>
      </w:pPr>
    </w:p>
    <w:p>
      <w:pPr>
        <w:ind w:firstLine="440"/>
        <w:spacing w:after="0" w:line="277" w:lineRule="auto"/>
        <w:tabs>
          <w:tab w:leader="none" w:pos="61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16, 2017</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right="20" w:firstLine="440"/>
        <w:spacing w:after="0" w:line="277" w:lineRule="auto"/>
        <w:tabs>
          <w:tab w:leader="none" w:pos="70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October 31, 2017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16, 2017</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&amp;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420"/>
          </w:cols>
          <w:pgMar w:left="240" w:top="580"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right="20" w:firstLine="440"/>
        <w:spacing w:after="0" w:line="277" w:lineRule="auto"/>
        <w:tabs>
          <w:tab w:leader="none" w:pos="70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October 31, 2017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16, 2017</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234"/>
    </w:lvl>
  </w:abstractNum>
  <w:abstractNum w:abstractNumId="3">
    <w:nsid w:val="140E0F76"/>
    <w:multiLevelType w:val="hybridMultilevel"/>
    <w:lvl w:ilvl="0">
      <w:lvlJc w:val="left"/>
      <w:lvlText w:val="(%1)"/>
      <w:numFmt w:val="decimal"/>
      <w:start w:val="210"/>
    </w:lvl>
  </w:abstractNum>
  <w:abstractNum w:abstractNumId="4">
    <w:nsid w:val="3352255A"/>
    <w:multiLevelType w:val="hybridMultilevel"/>
    <w:lvl w:ilvl="0">
      <w:lvlJc w:val="left"/>
      <w:lvlText w:val="(%1)"/>
      <w:numFmt w:val="decimal"/>
      <w:start w:val="130"/>
    </w:lvl>
  </w:abstractNum>
  <w:abstractNum w:abstractNumId="5">
    <w:nsid w:val="109CF92E"/>
    <w:multiLevelType w:val="hybridMultilevel"/>
    <w:lvl w:ilvl="0">
      <w:lvlJc w:val="left"/>
      <w:lvlText w:val="(%1)"/>
      <w:numFmt w:val="decimal"/>
      <w:start w:val="485"/>
    </w:lvl>
  </w:abstractNum>
  <w:abstractNum w:abstractNumId="6">
    <w:nsid w:val="DED7263"/>
    <w:multiLevelType w:val="hybridMultilevel"/>
    <w:lvl w:ilvl="0">
      <w:lvlJc w:val="left"/>
      <w:lvlText w:val="(%1)"/>
      <w:numFmt w:val="decimal"/>
      <w:start w:val="863"/>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decimal"/>
      <w:start w:val="863"/>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1)"/>
      <w:numFmt w:val="decimal"/>
      <w:start w:val="5"/>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decimal"/>
      <w:start w:val="5"/>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2019-12-29T02:39:02Z</dcterms:created>
  <dcterms:modified xsi:type="dcterms:W3CDTF">2019-12-29T02:39:02Z</dcterms:modified>
</cp:coreProperties>
</file>