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80" w:type="dxa"/>
            <w:vAlign w:val="bottom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7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5375910</wp:posOffset>
            </wp:positionH>
            <wp:positionV relativeFrom="paragraph">
              <wp:posOffset>-613410</wp:posOffset>
            </wp:positionV>
            <wp:extent cx="57785" cy="626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4037330</wp:posOffset>
            </wp:positionH>
            <wp:positionV relativeFrom="paragraph">
              <wp:posOffset>-613410</wp:posOffset>
            </wp:positionV>
            <wp:extent cx="57785" cy="626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-1814830</wp:posOffset>
            </wp:positionH>
            <wp:positionV relativeFrom="paragraph">
              <wp:posOffset>13335</wp:posOffset>
            </wp:positionV>
            <wp:extent cx="7327265" cy="412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265" cy="412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20"/>
            <w:col w:w="868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ALLENDER PATRICK W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 w:line="101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2733 MARIE ANTOINETTE STREET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11/01/2012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HENDERSON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08952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5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975.8959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19,453.9109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975.8959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31.45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 w:right="140" w:hanging="1"/>
        <w:spacing w:after="0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111.5082 shares acquired pursuant to a deferred compensation dividend on November 2, 2012.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Sherilyn Whitmoyer,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4200" w:hanging="1"/>
        <w:spacing w:after="0" w:line="32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2019-12-16T04:18:53Z</dcterms:created>
  <dcterms:modified xsi:type="dcterms:W3CDTF">2019-12-16T04:18:53Z</dcterms:modified>
</cp:coreProperties>
</file>