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10-Q/A</w:t>
      </w:r>
    </w:p>
    <w:p>
      <w:pPr>
        <w:spacing w:after="0" w:line="3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Amendment No. 1</w:t>
      </w:r>
    </w:p>
    <w:p>
      <w:pPr>
        <w:spacing w:after="0" w:line="182" w:lineRule="exact"/>
        <w:rPr>
          <w:sz w:val="24"/>
          <w:szCs w:val="24"/>
          <w:color w:val="auto"/>
        </w:rPr>
      </w:pPr>
    </w:p>
    <w:p>
      <w:pPr>
        <w:ind w:left="1160" w:right="379" w:hanging="918"/>
        <w:spacing w:after="0" w:line="256" w:lineRule="auto"/>
        <w:tabs>
          <w:tab w:leader="none" w:pos="11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4"/>
          <w:szCs w:val="24"/>
          <w:color w:val="auto"/>
        </w:rPr>
      </w:pPr>
    </w:p>
    <w:p>
      <w:pPr>
        <w:jc w:val="right"/>
        <w:ind w:right="4899"/>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October 31, 2010</w:t>
      </w:r>
    </w:p>
    <w:p>
      <w:pPr>
        <w:spacing w:after="0" w:line="185" w:lineRule="exact"/>
        <w:rPr>
          <w:sz w:val="24"/>
          <w:szCs w:val="24"/>
          <w:color w:val="auto"/>
        </w:rPr>
      </w:pPr>
    </w:p>
    <w:p>
      <w:pPr>
        <w:jc w:val="right"/>
        <w:ind w:right="489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1160" w:right="359" w:hanging="877"/>
        <w:spacing w:after="0" w:line="256" w:lineRule="auto"/>
        <w:tabs>
          <w:tab w:leader="none" w:pos="11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1160"/>
        <w:spacing w:after="0"/>
        <w:tabs>
          <w:tab w:leader="none" w:pos="45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2277745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1-14959</w:t>
      </w:r>
    </w:p>
    <w:p>
      <w:pPr>
        <w:spacing w:after="0" w:line="160"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jc w:val="center"/>
              <w:spacing w:after="0"/>
              <w:rPr>
                <w:sz w:val="20"/>
                <w:szCs w:val="20"/>
                <w:color w:val="auto"/>
              </w:rPr>
            </w:pPr>
            <w:r>
              <w:rPr>
                <w:rFonts w:ascii="Arial" w:cs="Arial" w:eastAsia="Arial" w:hAnsi="Arial"/>
                <w:sz w:val="18"/>
                <w:szCs w:val="18"/>
                <w:b w:val="1"/>
                <w:bCs w:val="1"/>
                <w:color w:val="auto"/>
                <w:w w:val="86"/>
              </w:rPr>
              <w:t>Wisconsin</w:t>
            </w:r>
          </w:p>
        </w:tc>
        <w:tc>
          <w:tcPr>
            <w:tcW w:w="5120" w:type="dxa"/>
            <w:vAlign w:val="bottom"/>
            <w:gridSpan w:val="2"/>
          </w:tcPr>
          <w:p>
            <w:pPr>
              <w:jc w:val="center"/>
              <w:ind w:left="390"/>
              <w:spacing w:after="0"/>
              <w:rPr>
                <w:sz w:val="20"/>
                <w:szCs w:val="20"/>
                <w:color w:val="auto"/>
              </w:rPr>
            </w:pPr>
            <w:r>
              <w:rPr>
                <w:rFonts w:ascii="Arial" w:cs="Arial" w:eastAsia="Arial" w:hAnsi="Arial"/>
                <w:sz w:val="18"/>
                <w:szCs w:val="18"/>
                <w:b w:val="1"/>
                <w:bCs w:val="1"/>
                <w:color w:val="auto"/>
                <w:w w:val="91"/>
              </w:rPr>
              <w:t>39-0178960</w:t>
            </w:r>
          </w:p>
        </w:tc>
      </w:tr>
      <w:tr>
        <w:trPr>
          <w:trHeight w:val="209"/>
        </w:trPr>
        <w:tc>
          <w:tcPr>
            <w:tcW w:w="4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480" w:type="dxa"/>
            <w:vAlign w:val="bottom"/>
          </w:tcPr>
          <w:p>
            <w:pPr>
              <w:spacing w:after="0"/>
              <w:rPr>
                <w:sz w:val="18"/>
                <w:szCs w:val="18"/>
                <w:color w:val="auto"/>
              </w:rPr>
            </w:pPr>
          </w:p>
        </w:tc>
        <w:tc>
          <w:tcPr>
            <w:tcW w:w="4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60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48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4"/>
              </w:rPr>
              <w:t>Identification No.)</w:t>
            </w:r>
          </w:p>
        </w:tc>
      </w:tr>
    </w:tbl>
    <w:p>
      <w:pPr>
        <w:spacing w:after="0" w:line="17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6555 West Good Hope Road, Milwaukee, Wisconsin 53223</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(Zip Code)</w:t>
      </w:r>
    </w:p>
    <w:p>
      <w:pPr>
        <w:spacing w:after="0" w:line="16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(414) 358-6600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170" w:lineRule="exact"/>
        <w:rPr>
          <w:sz w:val="24"/>
          <w:szCs w:val="24"/>
          <w:color w:val="auto"/>
        </w:rPr>
      </w:pPr>
    </w:p>
    <w:p>
      <w:pPr>
        <w:jc w:val="both"/>
        <w:ind w:right="15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7" w:lineRule="exact"/>
        <w:rPr>
          <w:sz w:val="24"/>
          <w:szCs w:val="24"/>
          <w:color w:val="auto"/>
        </w:rPr>
      </w:pPr>
    </w:p>
    <w:p>
      <w:pPr>
        <w:jc w:val="both"/>
        <w:ind w:right="159"/>
        <w:spacing w:after="0" w:line="228"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42" w:lineRule="exact"/>
        <w:rPr>
          <w:sz w:val="24"/>
          <w:szCs w:val="24"/>
          <w:color w:val="auto"/>
        </w:rPr>
      </w:pPr>
    </w:p>
    <w:p>
      <w:pPr>
        <w:jc w:val="both"/>
        <w:ind w:right="15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9" w:lineRule="exact"/>
        <w:rPr>
          <w:sz w:val="24"/>
          <w:szCs w:val="24"/>
          <w:color w:val="auto"/>
        </w:rPr>
      </w:pPr>
    </w:p>
    <w:p>
      <w:pPr>
        <w:spacing w:after="0" w:line="207" w:lineRule="exact"/>
        <w:tabs>
          <w:tab w:leader="none" w:pos="2900" w:val="left"/>
          <w:tab w:leader="none" w:pos="5240" w:val="left"/>
          <w:tab w:leader="none" w:pos="75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18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p>
    <w:p>
      <w:pPr>
        <w:spacing w:after="0" w:line="242" w:lineRule="exact"/>
        <w:rPr>
          <w:sz w:val="24"/>
          <w:szCs w:val="24"/>
          <w:color w:val="auto"/>
        </w:rPr>
      </w:pPr>
    </w:p>
    <w:p>
      <w:pPr>
        <w:ind w:left="2980"/>
        <w:spacing w:after="0"/>
        <w:rPr>
          <w:sz w:val="20"/>
          <w:szCs w:val="20"/>
          <w:color w:val="auto"/>
        </w:rPr>
      </w:pPr>
      <w:r>
        <w:rPr>
          <w:rFonts w:ascii="Arial" w:cs="Arial" w:eastAsia="Arial" w:hAnsi="Arial"/>
          <w:sz w:val="18"/>
          <w:szCs w:val="18"/>
          <w:color w:val="auto"/>
        </w:rPr>
        <w:t>APPLICABLE ONLY TO CORPORATE ISSUERS</w:t>
      </w:r>
    </w:p>
    <w:p>
      <w:pPr>
        <w:spacing w:after="0" w:line="185"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196" w:lineRule="exact"/>
        <w:rPr>
          <w:sz w:val="24"/>
          <w:szCs w:val="24"/>
          <w:color w:val="auto"/>
        </w:rPr>
      </w:pPr>
    </w:p>
    <w:p>
      <w:pPr>
        <w:jc w:val="both"/>
        <w:ind w:right="159"/>
        <w:spacing w:after="0" w:line="264" w:lineRule="auto"/>
        <w:rPr>
          <w:sz w:val="20"/>
          <w:szCs w:val="20"/>
          <w:color w:val="auto"/>
        </w:rPr>
      </w:pPr>
      <w:r>
        <w:rPr>
          <w:rFonts w:ascii="Arial" w:cs="Arial" w:eastAsia="Arial" w:hAnsi="Arial"/>
          <w:sz w:val="18"/>
          <w:szCs w:val="18"/>
          <w:color w:val="auto"/>
        </w:rPr>
        <w:t>As of December 2, 2010, there were outstanding 49,031,965 shares of Class A Nonvoting Common Stock and 3,538,628 shares of Class B Voting Common Stock. The Class B Voting Common Stock, all of which is held by affiliates of the Registrant, is the only voting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6174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132715</wp:posOffset>
            </wp:positionV>
            <wp:extent cx="617474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791210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481" w:right="1440" w:bottom="1440" w:gutter="0" w:footer="0" w:header="0"/>
        </w:sectPr>
      </w:pPr>
    </w:p>
    <w:bookmarkStart w:id="1" w:name="page2"/>
    <w:bookmarkEnd w:id="1"/>
    <w:p>
      <w:pPr>
        <w:ind w:left="8"/>
        <w:spacing w:after="0"/>
        <w:rPr>
          <w:sz w:val="20"/>
          <w:szCs w:val="20"/>
          <w:color w:val="auto"/>
        </w:rPr>
      </w:pPr>
      <w:r>
        <w:rPr>
          <w:rFonts w:ascii="Arial" w:cs="Arial" w:eastAsia="Arial" w:hAnsi="Arial"/>
          <w:sz w:val="18"/>
          <w:szCs w:val="18"/>
          <w:b w:val="1"/>
          <w:bCs w:val="1"/>
          <w:color w:val="auto"/>
        </w:rPr>
        <w:t>Explanatory Note</w:t>
      </w:r>
    </w:p>
    <w:p>
      <w:pPr>
        <w:spacing w:after="0" w:line="202" w:lineRule="exact"/>
        <w:rPr>
          <w:sz w:val="20"/>
          <w:szCs w:val="20"/>
          <w:color w:val="auto"/>
        </w:rPr>
      </w:pPr>
    </w:p>
    <w:p>
      <w:pPr>
        <w:jc w:val="both"/>
        <w:ind w:left="8" w:right="159" w:firstLine="389"/>
        <w:spacing w:after="0" w:line="270" w:lineRule="auto"/>
        <w:rPr>
          <w:sz w:val="20"/>
          <w:szCs w:val="20"/>
          <w:color w:val="auto"/>
        </w:rPr>
      </w:pPr>
      <w:r>
        <w:rPr>
          <w:rFonts w:ascii="Arial" w:cs="Arial" w:eastAsia="Arial" w:hAnsi="Arial"/>
          <w:sz w:val="17"/>
          <w:szCs w:val="17"/>
          <w:color w:val="auto"/>
        </w:rPr>
        <w:t>This amended report on Form 10-Q/A (the “Amended Report”) is being filed to correct discrepancies in the interactive data files furnished as Exhibit 101 to the Company’s Quarterly Report on Form 10-Q for the quarter ended October 31, 2010 (the “Original Report”). During the Company’s post-filing review of the XBRL (Extensible Business Reporting Language) information contained in Exhibit 101 to the Original Report, it noted discrepancies in the Condensed Consolidated Statements of Income (Percentage Change). The percentage change for each of the financial statement line items presented in the Condensed Consolidated Statements of Income (Percentage Change) in Exhibit 101 to the Original Report were inadvertently multiplied by a factor of 100. The Company has corrected the Condensed Consolidated Statements of Income (Percentage Change) portion of the XBRL data furnished as Exhibit 101 to this Amended Report. The remainder of the interactive data files, which were correctly stated in the Original Report, are also included in Exhibit 101 being furnished with this Amended Report.</w:t>
      </w:r>
    </w:p>
    <w:p>
      <w:pPr>
        <w:spacing w:after="0" w:line="141" w:lineRule="exact"/>
        <w:rPr>
          <w:sz w:val="20"/>
          <w:szCs w:val="20"/>
          <w:color w:val="auto"/>
        </w:rPr>
      </w:pPr>
    </w:p>
    <w:p>
      <w:pPr>
        <w:jc w:val="both"/>
        <w:ind w:left="8" w:right="159" w:firstLine="389"/>
        <w:spacing w:after="0" w:line="264" w:lineRule="auto"/>
        <w:rPr>
          <w:sz w:val="20"/>
          <w:szCs w:val="20"/>
          <w:color w:val="auto"/>
        </w:rPr>
      </w:pPr>
      <w:r>
        <w:rPr>
          <w:rFonts w:ascii="Arial" w:cs="Arial" w:eastAsia="Arial" w:hAnsi="Arial"/>
          <w:sz w:val="18"/>
          <w:szCs w:val="18"/>
          <w:color w:val="auto"/>
        </w:rPr>
        <w:t>No other changes have been made to the contents of the Original Report. The Amended Report does not reflect subsequent events occurring after the original filing date of the Original Report or modify or update in any way the disclosures made in the Original Report.</w:t>
      </w:r>
    </w:p>
    <w:p>
      <w:pPr>
        <w:spacing w:after="0" w:line="141" w:lineRule="exact"/>
        <w:rPr>
          <w:sz w:val="20"/>
          <w:szCs w:val="20"/>
          <w:color w:val="auto"/>
        </w:rPr>
      </w:pPr>
    </w:p>
    <w:p>
      <w:pPr>
        <w:jc w:val="both"/>
        <w:ind w:left="8" w:right="159" w:firstLine="389"/>
        <w:spacing w:after="0" w:line="259" w:lineRule="auto"/>
        <w:rPr>
          <w:sz w:val="20"/>
          <w:szCs w:val="20"/>
          <w:color w:val="auto"/>
        </w:rPr>
      </w:pPr>
      <w:r>
        <w:rPr>
          <w:rFonts w:ascii="Arial" w:cs="Arial" w:eastAsia="Arial" w:hAnsi="Arial"/>
          <w:sz w:val="18"/>
          <w:szCs w:val="18"/>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160" w:lineRule="exact"/>
        <w:rPr>
          <w:sz w:val="20"/>
          <w:szCs w:val="20"/>
          <w:color w:val="auto"/>
        </w:rPr>
      </w:pPr>
    </w:p>
    <w:p>
      <w:pPr>
        <w:ind w:left="8"/>
        <w:spacing w:after="0"/>
        <w:tabs>
          <w:tab w:leader="none" w:pos="747"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u w:val="single" w:color="auto"/>
          <w:color w:val="auto"/>
        </w:rPr>
        <w:t>Exhibits</w:t>
      </w:r>
    </w:p>
    <w:p>
      <w:pPr>
        <w:spacing w:after="0" w:line="185"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(a)  Exhibits</w:t>
            </w:r>
          </w:p>
        </w:tc>
        <w:tc>
          <w:tcPr>
            <w:tcW w:w="108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418"/>
        </w:trPr>
        <w:tc>
          <w:tcPr>
            <w:tcW w:w="1100" w:type="dxa"/>
            <w:vAlign w:val="bottom"/>
          </w:tcPr>
          <w:p>
            <w:pPr>
              <w:jc w:val="right"/>
              <w:ind w:right="210"/>
              <w:spacing w:after="0"/>
              <w:rPr>
                <w:sz w:val="20"/>
                <w:szCs w:val="20"/>
                <w:color w:val="auto"/>
              </w:rPr>
            </w:pPr>
            <w:r>
              <w:rPr>
                <w:rFonts w:ascii="Arial" w:cs="Arial" w:eastAsia="Arial" w:hAnsi="Arial"/>
                <w:sz w:val="18"/>
                <w:szCs w:val="18"/>
                <w:color w:val="auto"/>
              </w:rPr>
              <w:t>31.1**</w:t>
            </w:r>
          </w:p>
        </w:tc>
        <w:tc>
          <w:tcPr>
            <w:tcW w:w="4480" w:type="dxa"/>
            <w:vAlign w:val="bottom"/>
            <w:gridSpan w:val="2"/>
          </w:tcPr>
          <w:p>
            <w:pPr>
              <w:ind w:left="120"/>
              <w:spacing w:after="0"/>
              <w:rPr>
                <w:sz w:val="20"/>
                <w:szCs w:val="20"/>
                <w:color w:val="auto"/>
              </w:rPr>
            </w:pPr>
            <w:r>
              <w:rPr>
                <w:rFonts w:ascii="Arial" w:cs="Arial" w:eastAsia="Arial" w:hAnsi="Arial"/>
                <w:sz w:val="18"/>
                <w:szCs w:val="18"/>
                <w:color w:val="auto"/>
                <w:w w:val="91"/>
              </w:rPr>
              <w:t>Rule 13a-14(a)/15d-14(a) Certification of Frank M. Jaehnert</w:t>
            </w:r>
          </w:p>
        </w:tc>
      </w:tr>
      <w:tr>
        <w:trPr>
          <w:trHeight w:val="216"/>
        </w:trPr>
        <w:tc>
          <w:tcPr>
            <w:tcW w:w="1100" w:type="dxa"/>
            <w:vAlign w:val="bottom"/>
          </w:tcPr>
          <w:p>
            <w:pPr>
              <w:jc w:val="right"/>
              <w:ind w:right="210"/>
              <w:spacing w:after="0"/>
              <w:rPr>
                <w:sz w:val="20"/>
                <w:szCs w:val="20"/>
                <w:color w:val="auto"/>
              </w:rPr>
            </w:pPr>
            <w:r>
              <w:rPr>
                <w:rFonts w:ascii="Arial" w:cs="Arial" w:eastAsia="Arial" w:hAnsi="Arial"/>
                <w:sz w:val="18"/>
                <w:szCs w:val="18"/>
                <w:color w:val="auto"/>
              </w:rPr>
              <w:t>31.2**</w:t>
            </w:r>
          </w:p>
        </w:tc>
        <w:tc>
          <w:tcPr>
            <w:tcW w:w="4480" w:type="dxa"/>
            <w:vAlign w:val="bottom"/>
            <w:gridSpan w:val="2"/>
          </w:tcPr>
          <w:p>
            <w:pPr>
              <w:ind w:left="120"/>
              <w:spacing w:after="0"/>
              <w:rPr>
                <w:sz w:val="20"/>
                <w:szCs w:val="20"/>
                <w:color w:val="auto"/>
              </w:rPr>
            </w:pPr>
            <w:r>
              <w:rPr>
                <w:rFonts w:ascii="Arial" w:cs="Arial" w:eastAsia="Arial" w:hAnsi="Arial"/>
                <w:sz w:val="18"/>
                <w:szCs w:val="18"/>
                <w:color w:val="auto"/>
                <w:w w:val="91"/>
              </w:rPr>
              <w:t>Rule 13a-14(a)/15d-14(a) Certification of Thomas J. Felmer</w:t>
            </w:r>
          </w:p>
        </w:tc>
      </w:tr>
      <w:tr>
        <w:trPr>
          <w:trHeight w:val="216"/>
        </w:trPr>
        <w:tc>
          <w:tcPr>
            <w:tcW w:w="1100" w:type="dxa"/>
            <w:vAlign w:val="bottom"/>
          </w:tcPr>
          <w:p>
            <w:pPr>
              <w:jc w:val="right"/>
              <w:ind w:right="290"/>
              <w:spacing w:after="0"/>
              <w:rPr>
                <w:sz w:val="20"/>
                <w:szCs w:val="20"/>
                <w:color w:val="auto"/>
              </w:rPr>
            </w:pPr>
            <w:r>
              <w:rPr>
                <w:rFonts w:ascii="Arial" w:cs="Arial" w:eastAsia="Arial" w:hAnsi="Arial"/>
                <w:sz w:val="18"/>
                <w:szCs w:val="18"/>
                <w:color w:val="auto"/>
              </w:rPr>
              <w:t>32.1*</w:t>
            </w:r>
          </w:p>
        </w:tc>
        <w:tc>
          <w:tcPr>
            <w:tcW w:w="1080" w:type="dxa"/>
            <w:vAlign w:val="bottom"/>
          </w:tcPr>
          <w:p>
            <w:pPr>
              <w:ind w:left="120"/>
              <w:spacing w:after="0"/>
              <w:rPr>
                <w:sz w:val="20"/>
                <w:szCs w:val="20"/>
                <w:color w:val="auto"/>
              </w:rPr>
            </w:pPr>
            <w:r>
              <w:rPr>
                <w:rFonts w:ascii="Arial" w:cs="Arial" w:eastAsia="Arial" w:hAnsi="Arial"/>
                <w:sz w:val="18"/>
                <w:szCs w:val="18"/>
                <w:color w:val="auto"/>
                <w:w w:val="89"/>
              </w:rPr>
              <w:t>Section 1350</w:t>
            </w:r>
          </w:p>
        </w:tc>
        <w:tc>
          <w:tcPr>
            <w:tcW w:w="3400" w:type="dxa"/>
            <w:vAlign w:val="bottom"/>
          </w:tcPr>
          <w:p>
            <w:pPr>
              <w:ind w:left="40"/>
              <w:spacing w:after="0"/>
              <w:rPr>
                <w:sz w:val="20"/>
                <w:szCs w:val="20"/>
                <w:color w:val="auto"/>
              </w:rPr>
            </w:pPr>
            <w:r>
              <w:rPr>
                <w:rFonts w:ascii="Arial" w:cs="Arial" w:eastAsia="Arial" w:hAnsi="Arial"/>
                <w:sz w:val="18"/>
                <w:szCs w:val="18"/>
                <w:color w:val="auto"/>
              </w:rPr>
              <w:t>Certification of Frank M. Jaehnert</w:t>
            </w:r>
          </w:p>
        </w:tc>
      </w:tr>
      <w:tr>
        <w:trPr>
          <w:trHeight w:val="216"/>
        </w:trPr>
        <w:tc>
          <w:tcPr>
            <w:tcW w:w="1100" w:type="dxa"/>
            <w:vAlign w:val="bottom"/>
          </w:tcPr>
          <w:p>
            <w:pPr>
              <w:jc w:val="right"/>
              <w:ind w:right="290"/>
              <w:spacing w:after="0"/>
              <w:rPr>
                <w:sz w:val="20"/>
                <w:szCs w:val="20"/>
                <w:color w:val="auto"/>
              </w:rPr>
            </w:pPr>
            <w:r>
              <w:rPr>
                <w:rFonts w:ascii="Arial" w:cs="Arial" w:eastAsia="Arial" w:hAnsi="Arial"/>
                <w:sz w:val="18"/>
                <w:szCs w:val="18"/>
                <w:color w:val="auto"/>
              </w:rPr>
              <w:t>32.2*</w:t>
            </w:r>
          </w:p>
        </w:tc>
        <w:tc>
          <w:tcPr>
            <w:tcW w:w="1080" w:type="dxa"/>
            <w:vAlign w:val="bottom"/>
          </w:tcPr>
          <w:p>
            <w:pPr>
              <w:ind w:left="120"/>
              <w:spacing w:after="0"/>
              <w:rPr>
                <w:sz w:val="20"/>
                <w:szCs w:val="20"/>
                <w:color w:val="auto"/>
              </w:rPr>
            </w:pPr>
            <w:r>
              <w:rPr>
                <w:rFonts w:ascii="Arial" w:cs="Arial" w:eastAsia="Arial" w:hAnsi="Arial"/>
                <w:sz w:val="18"/>
                <w:szCs w:val="18"/>
                <w:color w:val="auto"/>
                <w:w w:val="89"/>
              </w:rPr>
              <w:t>Section 1350</w:t>
            </w:r>
          </w:p>
        </w:tc>
        <w:tc>
          <w:tcPr>
            <w:tcW w:w="3400" w:type="dxa"/>
            <w:vAlign w:val="bottom"/>
          </w:tcPr>
          <w:p>
            <w:pPr>
              <w:ind w:left="40"/>
              <w:spacing w:after="0"/>
              <w:rPr>
                <w:sz w:val="20"/>
                <w:szCs w:val="20"/>
                <w:color w:val="auto"/>
              </w:rPr>
            </w:pPr>
            <w:r>
              <w:rPr>
                <w:rFonts w:ascii="Arial" w:cs="Arial" w:eastAsia="Arial" w:hAnsi="Arial"/>
                <w:sz w:val="18"/>
                <w:szCs w:val="18"/>
                <w:color w:val="auto"/>
              </w:rPr>
              <w:t>Certification of Thomas J. Felmer</w:t>
            </w:r>
          </w:p>
        </w:tc>
      </w:tr>
      <w:tr>
        <w:trPr>
          <w:trHeight w:val="230"/>
        </w:trPr>
        <w:tc>
          <w:tcPr>
            <w:tcW w:w="1100" w:type="dxa"/>
            <w:vAlign w:val="bottom"/>
          </w:tcPr>
          <w:p>
            <w:pPr>
              <w:jc w:val="right"/>
              <w:ind w:right="210"/>
              <w:spacing w:after="0"/>
              <w:rPr>
                <w:sz w:val="20"/>
                <w:szCs w:val="20"/>
                <w:color w:val="auto"/>
              </w:rPr>
            </w:pPr>
            <w:r>
              <w:rPr>
                <w:rFonts w:ascii="Arial" w:cs="Arial" w:eastAsia="Arial" w:hAnsi="Arial"/>
                <w:sz w:val="18"/>
                <w:szCs w:val="18"/>
                <w:color w:val="auto"/>
              </w:rPr>
              <w:t>101**</w:t>
            </w:r>
          </w:p>
        </w:tc>
        <w:tc>
          <w:tcPr>
            <w:tcW w:w="4480" w:type="dxa"/>
            <w:vAlign w:val="bottom"/>
            <w:gridSpan w:val="2"/>
          </w:tcPr>
          <w:p>
            <w:pPr>
              <w:ind w:left="120"/>
              <w:spacing w:after="0"/>
              <w:rPr>
                <w:sz w:val="20"/>
                <w:szCs w:val="20"/>
                <w:color w:val="auto"/>
              </w:rPr>
            </w:pPr>
            <w:r>
              <w:rPr>
                <w:rFonts w:ascii="Arial" w:cs="Arial" w:eastAsia="Arial" w:hAnsi="Arial"/>
                <w:sz w:val="18"/>
                <w:szCs w:val="18"/>
                <w:color w:val="auto"/>
              </w:rPr>
              <w:t>Interactive Data Files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11150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344" w:lineRule="exact"/>
        <w:rPr>
          <w:sz w:val="20"/>
          <w:szCs w:val="20"/>
          <w:color w:val="auto"/>
        </w:rPr>
      </w:pPr>
    </w:p>
    <w:p>
      <w:pPr>
        <w:ind w:left="388" w:right="159" w:hanging="388"/>
        <w:spacing w:after="0" w:line="277" w:lineRule="auto"/>
        <w:tabs>
          <w:tab w:leader="none" w:pos="388"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Previously filed on December 7, 2010, as exhibits to the Company’s Quarterly Report on Form 10-Q for the quarter ended October 31, 2010.</w:t>
      </w:r>
    </w:p>
    <w:p>
      <w:pPr>
        <w:spacing w:after="0" w:line="22" w:lineRule="exact"/>
        <w:rPr>
          <w:sz w:val="20"/>
          <w:szCs w:val="20"/>
          <w:color w:val="auto"/>
        </w:rPr>
      </w:pPr>
    </w:p>
    <w:p>
      <w:pPr>
        <w:ind w:left="388" w:hanging="388"/>
        <w:spacing w:after="0"/>
        <w:tabs>
          <w:tab w:leader="none" w:pos="388" w:val="left"/>
        </w:tabs>
        <w:numPr>
          <w:ilvl w:val="0"/>
          <w:numId w:val="4"/>
        </w:numPr>
        <w:rPr>
          <w:rFonts w:ascii="Arial" w:cs="Arial" w:eastAsia="Arial" w:hAnsi="Arial"/>
          <w:sz w:val="18"/>
          <w:szCs w:val="18"/>
          <w:color w:val="auto"/>
        </w:rPr>
      </w:pPr>
      <w:r>
        <w:rPr>
          <w:rFonts w:ascii="Arial" w:cs="Arial" w:eastAsia="Arial" w:hAnsi="Arial"/>
          <w:sz w:val="18"/>
          <w:szCs w:val="18"/>
          <w:color w:val="auto"/>
        </w:rPr>
        <w:t>Furnished with this report.</w:t>
      </w:r>
    </w:p>
    <w:p>
      <w:pPr>
        <w:spacing w:after="0" w:line="200" w:lineRule="exact"/>
        <w:rPr>
          <w:sz w:val="20"/>
          <w:szCs w:val="20"/>
          <w:color w:val="auto"/>
        </w:rPr>
      </w:pPr>
    </w:p>
    <w:p>
      <w:pPr>
        <w:spacing w:after="0" w:line="390"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ind w:right="179" w:firstLine="38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BRADY CORPORATION</w:t>
      </w:r>
    </w:p>
    <w:p>
      <w:pPr>
        <w:spacing w:after="0" w:line="225" w:lineRule="exact"/>
        <w:rPr>
          <w:sz w:val="20"/>
          <w:szCs w:val="20"/>
          <w:color w:val="auto"/>
        </w:rPr>
      </w:pPr>
    </w:p>
    <w:p>
      <w:pPr>
        <w:spacing w:after="0"/>
        <w:tabs>
          <w:tab w:leader="none" w:pos="4800" w:val="left"/>
        </w:tabs>
        <w:rPr>
          <w:sz w:val="20"/>
          <w:szCs w:val="20"/>
          <w:color w:val="auto"/>
        </w:rPr>
      </w:pPr>
      <w:r>
        <w:rPr>
          <w:rFonts w:ascii="Arial" w:cs="Arial" w:eastAsia="Arial" w:hAnsi="Arial"/>
          <w:sz w:val="18"/>
          <w:szCs w:val="18"/>
          <w:color w:val="auto"/>
        </w:rPr>
        <w:t>Date: December 13, 2010</w:t>
      </w:r>
      <w:r>
        <w:rPr>
          <w:sz w:val="20"/>
          <w:szCs w:val="20"/>
          <w:color w:val="auto"/>
        </w:rPr>
        <w:tab/>
      </w:r>
      <w:r>
        <w:rPr>
          <w:rFonts w:ascii="Arial" w:cs="Arial" w:eastAsia="Arial" w:hAnsi="Arial"/>
          <w:sz w:val="17"/>
          <w:szCs w:val="17"/>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2769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Thomas J. Felmer</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Senior Vice President &amp; Chief Financial Officer</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3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879"/>
          </w:cols>
          <w:pgMar w:left="580" w:top="935" w:right="1440" w:bottom="1440" w:gutter="0" w:footer="0" w:header="0"/>
        </w:sectPr>
      </w:pPr>
    </w:p>
    <w:bookmarkStart w:id="3" w:name="page4"/>
    <w:bookmarkEnd w:id="3"/>
    <w:p>
      <w:pPr>
        <w:jc w:val="right"/>
        <w:ind w:right="1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RULE 13a-14(a)/15d-14(a) 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Frank M. Jaehnert, certify that:</w:t>
      </w:r>
    </w:p>
    <w:p>
      <w:pPr>
        <w:spacing w:after="0" w:line="185" w:lineRule="exact"/>
        <w:rPr>
          <w:sz w:val="20"/>
          <w:szCs w:val="20"/>
          <w:color w:val="auto"/>
        </w:rPr>
      </w:pPr>
    </w:p>
    <w:p>
      <w:pPr>
        <w:ind w:left="640" w:hanging="259"/>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Brady Corporation; and</w:t>
      </w:r>
    </w:p>
    <w:p>
      <w:pPr>
        <w:spacing w:after="0" w:line="184" w:lineRule="exact"/>
        <w:rPr>
          <w:rFonts w:ascii="Arial" w:cs="Arial" w:eastAsia="Arial" w:hAnsi="Arial"/>
          <w:sz w:val="18"/>
          <w:szCs w:val="18"/>
          <w:color w:val="auto"/>
        </w:rPr>
      </w:pPr>
    </w:p>
    <w:p>
      <w:pPr>
        <w:jc w:val="both"/>
        <w:ind w:right="159" w:firstLine="381"/>
        <w:spacing w:after="0" w:line="264" w:lineRule="auto"/>
        <w:tabs>
          <w:tab w:leader="none" w:pos="654"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13,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924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9879"/>
          </w:cols>
          <w:pgMar w:left="580" w:top="121" w:right="1440" w:bottom="1440" w:gutter="0" w:footer="0" w:header="0"/>
        </w:sectPr>
      </w:pPr>
    </w:p>
    <w:bookmarkStart w:id="4" w:name="page5"/>
    <w:bookmarkEnd w:id="4"/>
    <w:p>
      <w:pPr>
        <w:jc w:val="right"/>
        <w:ind w:right="1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RULE 13a-14(a)/15d-14(a) 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Thomas J. Felmer, certify that:</w:t>
      </w:r>
    </w:p>
    <w:p>
      <w:pPr>
        <w:spacing w:after="0" w:line="185" w:lineRule="exact"/>
        <w:rPr>
          <w:sz w:val="20"/>
          <w:szCs w:val="20"/>
          <w:color w:val="auto"/>
        </w:rPr>
      </w:pPr>
    </w:p>
    <w:p>
      <w:pPr>
        <w:ind w:left="640" w:hanging="259"/>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Brady Corporation; and</w:t>
      </w:r>
    </w:p>
    <w:p>
      <w:pPr>
        <w:spacing w:after="0" w:line="184" w:lineRule="exact"/>
        <w:rPr>
          <w:rFonts w:ascii="Arial" w:cs="Arial" w:eastAsia="Arial" w:hAnsi="Arial"/>
          <w:sz w:val="18"/>
          <w:szCs w:val="18"/>
          <w:color w:val="auto"/>
        </w:rPr>
      </w:pPr>
    </w:p>
    <w:p>
      <w:pPr>
        <w:jc w:val="both"/>
        <w:ind w:right="159" w:firstLine="381"/>
        <w:spacing w:after="0" w:line="264" w:lineRule="auto"/>
        <w:tabs>
          <w:tab w:leader="none" w:pos="657"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13,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924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Thomas J. Felmer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2019-12-10T04:39:42Z</dcterms:created>
  <dcterms:modified xsi:type="dcterms:W3CDTF">2019-12-10T04:39:42Z</dcterms:modified>
</cp:coreProperties>
</file>