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Date of Report (Date of earliest event reported): March 17,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Wisconsin</w:t>
            </w:r>
          </w:p>
        </w:tc>
        <w:tc>
          <w:tcPr>
            <w:tcW w:w="26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3"/>
          </w:tcPr>
          <w:p>
            <w:pPr>
              <w:jc w:val="center"/>
              <w:ind w:right="42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Incorporation)</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5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9"/>
              </w:rPr>
              <w:t>6555 West Good Hope Road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53223</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89"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198" w:lineRule="exact"/>
        <w:rPr>
          <w:sz w:val="20"/>
          <w:szCs w:val="20"/>
          <w:color w:val="auto"/>
        </w:rPr>
      </w:pPr>
    </w:p>
    <w:p>
      <w:pPr>
        <w:ind w:right="599"/>
        <w:spacing w:after="0" w:line="312" w:lineRule="auto"/>
        <w:rPr>
          <w:sz w:val="20"/>
          <w:szCs w:val="20"/>
          <w:color w:val="auto"/>
        </w:rPr>
      </w:pPr>
      <w:r>
        <w:rPr>
          <w:rFonts w:ascii="Arial" w:cs="Arial" w:eastAsia="Arial" w:hAnsi="Arial"/>
          <w:sz w:val="16"/>
          <w:szCs w:val="16"/>
          <w:color w:val="auto"/>
        </w:rPr>
        <w:t>As of March 17, 2010, Brady Corporation is currently contemplating raising capital through the issuance of senior debt instruments. If completed, Brady Corporation intends to use the net proceeds of the capital raised to refinance existing debt, to fund future acquisitions, and for general corporate purposes. Further details of the transaction will be disclosed upon completion.</w:t>
      </w:r>
    </w:p>
    <w:p>
      <w:pPr>
        <w:spacing w:after="0" w:line="10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Date: March 18, 2010</w:t>
      </w:r>
      <w:r>
        <w:rPr>
          <w:sz w:val="20"/>
          <w:szCs w:val="20"/>
          <w:color w:val="auto"/>
        </w:rPr>
        <w:tab/>
      </w:r>
      <w:r>
        <w:rPr>
          <w:rFonts w:ascii="Arial" w:cs="Arial" w:eastAsia="Arial" w:hAnsi="Arial"/>
          <w:sz w:val="17"/>
          <w:szCs w:val="17"/>
          <w:color w:val="auto"/>
        </w:rPr>
        <w:t>BRADY CORPORATION</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958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Senior Vice President &amp; Chief Financial Officer</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2019-12-10T05:32:07Z</dcterms:created>
  <dcterms:modified xsi:type="dcterms:W3CDTF">2019-12-10T05:32:07Z</dcterms:modified>
</cp:coreProperties>
</file>