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4"/>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64"/>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24"/>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2813050</wp:posOffset>
            </wp:positionH>
            <wp:positionV relativeFrom="paragraph">
              <wp:posOffset>210185</wp:posOffset>
            </wp:positionV>
            <wp:extent cx="15951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78" w:lineRule="exact"/>
        <w:rPr>
          <w:sz w:val="24"/>
          <w:szCs w:val="24"/>
          <w:color w:val="auto"/>
        </w:rPr>
      </w:pPr>
    </w:p>
    <w:p>
      <w:pPr>
        <w:jc w:val="center"/>
        <w:ind w:right="-264"/>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2813050</wp:posOffset>
            </wp:positionH>
            <wp:positionV relativeFrom="paragraph">
              <wp:posOffset>186690</wp:posOffset>
            </wp:positionV>
            <wp:extent cx="15951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46" w:lineRule="exact"/>
        <w:rPr>
          <w:sz w:val="24"/>
          <w:szCs w:val="24"/>
          <w:color w:val="auto"/>
        </w:rPr>
      </w:pPr>
    </w:p>
    <w:p>
      <w:pPr>
        <w:jc w:val="center"/>
        <w:ind w:right="-264"/>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264"/>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264"/>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264"/>
        <w:spacing w:after="0"/>
        <w:rPr>
          <w:sz w:val="20"/>
          <w:szCs w:val="20"/>
          <w:color w:val="auto"/>
        </w:rPr>
      </w:pPr>
      <w:r>
        <w:rPr>
          <w:rFonts w:ascii="Arial" w:cs="Arial" w:eastAsia="Arial" w:hAnsi="Arial"/>
          <w:sz w:val="22"/>
          <w:szCs w:val="22"/>
          <w:b w:val="1"/>
          <w:bCs w:val="1"/>
          <w:color w:val="auto"/>
        </w:rPr>
        <w:t>Date of Report (Date of earliest event reported): May 1,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2813050</wp:posOffset>
            </wp:positionH>
            <wp:positionV relativeFrom="paragraph">
              <wp:posOffset>217170</wp:posOffset>
            </wp:positionV>
            <wp:extent cx="15951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86" w:lineRule="exact"/>
        <w:rPr>
          <w:sz w:val="24"/>
          <w:szCs w:val="24"/>
          <w:color w:val="auto"/>
        </w:rPr>
      </w:pPr>
    </w:p>
    <w:p>
      <w:pPr>
        <w:jc w:val="center"/>
        <w:ind w:right="-264"/>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4"/>
          <w:szCs w:val="24"/>
          <w:color w:val="auto"/>
        </w:rPr>
      </w:pPr>
    </w:p>
    <w:p>
      <w:pPr>
        <w:jc w:val="center"/>
        <w:ind w:right="-264"/>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2813050</wp:posOffset>
            </wp:positionH>
            <wp:positionV relativeFrom="paragraph">
              <wp:posOffset>167640</wp:posOffset>
            </wp:positionV>
            <wp:extent cx="15951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20" w:lineRule="exact"/>
        <w:rPr>
          <w:sz w:val="24"/>
          <w:szCs w:val="24"/>
          <w:color w:val="auto"/>
        </w:rPr>
      </w:pPr>
    </w:p>
    <w:p>
      <w:pPr>
        <w:jc w:val="center"/>
        <w:ind w:right="-264"/>
        <w:spacing w:after="0"/>
        <w:rPr>
          <w:sz w:val="20"/>
          <w:szCs w:val="20"/>
          <w:color w:val="auto"/>
        </w:rPr>
      </w:pPr>
      <w:r>
        <w:rPr>
          <w:rFonts w:ascii="Arial" w:cs="Arial" w:eastAsia="Arial" w:hAnsi="Arial"/>
          <w:sz w:val="18"/>
          <w:szCs w:val="18"/>
          <w:b w:val="1"/>
          <w:bCs w:val="1"/>
          <w:color w:val="auto"/>
        </w:rPr>
        <w:t>Commission File Number 1-14959</w:t>
      </w:r>
    </w:p>
    <w:p>
      <w:pPr>
        <w:sectPr>
          <w:pgSz w:w="11900" w:h="16838" w:orient="portrait"/>
          <w:cols w:equalWidth="0" w:num="1">
            <w:col w:w="11085"/>
          </w:cols>
          <w:pgMar w:left="275" w:top="733" w:right="539" w:bottom="1440" w:gutter="0" w:footer="0" w:header="0"/>
        </w:sectPr>
      </w:pPr>
    </w:p>
    <w:p>
      <w:pPr>
        <w:spacing w:after="0" w:line="200" w:lineRule="exact"/>
        <w:rPr>
          <w:sz w:val="24"/>
          <w:szCs w:val="24"/>
          <w:color w:val="auto"/>
        </w:rPr>
      </w:pPr>
    </w:p>
    <w:p>
      <w:pPr>
        <w:spacing w:after="0" w:line="295" w:lineRule="exact"/>
        <w:rPr>
          <w:sz w:val="24"/>
          <w:szCs w:val="24"/>
          <w:color w:val="auto"/>
        </w:rPr>
      </w:pPr>
    </w:p>
    <w:p>
      <w:pPr>
        <w:ind w:left="2385"/>
        <w:spacing w:after="0"/>
        <w:rPr>
          <w:sz w:val="20"/>
          <w:szCs w:val="20"/>
          <w:color w:val="auto"/>
        </w:rPr>
      </w:pPr>
      <w:r>
        <w:rPr>
          <w:rFonts w:ascii="Arial" w:cs="Arial" w:eastAsia="Arial" w:hAnsi="Arial"/>
          <w:sz w:val="15"/>
          <w:szCs w:val="15"/>
          <w:b w:val="1"/>
          <w:bCs w:val="1"/>
          <w:color w:val="auto"/>
        </w:rPr>
        <w:t>Wisconsin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39-0971239</w:t>
      </w:r>
    </w:p>
    <w:p>
      <w:pPr>
        <w:spacing w:after="0" w:line="82" w:lineRule="exact"/>
        <w:rPr>
          <w:sz w:val="24"/>
          <w:szCs w:val="24"/>
          <w:color w:val="auto"/>
        </w:rPr>
      </w:pPr>
    </w:p>
    <w:p>
      <w:pPr>
        <w:sectPr>
          <w:pgSz w:w="11900" w:h="16838" w:orient="portrait"/>
          <w:cols w:equalWidth="0" w:num="2">
            <w:col w:w="7505" w:space="720"/>
            <w:col w:w="2860"/>
          </w:cols>
          <w:pgMar w:left="275" w:top="733" w:right="539" w:bottom="1440" w:gutter="0" w:footer="0" w:header="0"/>
          <w:type w:val="continuous"/>
        </w:sectPr>
      </w:pPr>
    </w:p>
    <w:p>
      <w:pPr>
        <w:jc w:val="center"/>
        <w:ind w:right="1815"/>
        <w:spacing w:after="0"/>
        <w:rPr>
          <w:sz w:val="20"/>
          <w:szCs w:val="20"/>
          <w:color w:val="auto"/>
        </w:rPr>
      </w:pPr>
      <w:r>
        <w:rPr>
          <w:rFonts w:ascii="Arial" w:cs="Arial" w:eastAsia="Arial" w:hAnsi="Arial"/>
          <w:sz w:val="14"/>
          <w:szCs w:val="14"/>
          <w:b w:val="1"/>
          <w:bCs w:val="1"/>
          <w:color w:val="auto"/>
        </w:rPr>
        <w:t>(State of</w:t>
      </w:r>
    </w:p>
    <w:p>
      <w:pPr>
        <w:spacing w:after="0" w:line="4" w:lineRule="exact"/>
        <w:rPr>
          <w:sz w:val="24"/>
          <w:szCs w:val="24"/>
          <w:color w:val="auto"/>
        </w:rPr>
      </w:pPr>
    </w:p>
    <w:p>
      <w:pPr>
        <w:jc w:val="center"/>
        <w:ind w:right="1815"/>
        <w:spacing w:after="0"/>
        <w:rPr>
          <w:sz w:val="20"/>
          <w:szCs w:val="20"/>
          <w:color w:val="auto"/>
        </w:rPr>
      </w:pPr>
      <w:r>
        <w:rPr>
          <w:rFonts w:ascii="Arial" w:cs="Arial" w:eastAsia="Arial" w:hAnsi="Arial"/>
          <w:sz w:val="13"/>
          <w:szCs w:val="13"/>
          <w:b w:val="1"/>
          <w:bCs w:val="1"/>
          <w:color w:val="auto"/>
        </w:rPr>
        <w:t>Incorporation)</w:t>
      </w:r>
    </w:p>
    <w:p>
      <w:pPr>
        <w:spacing w:after="0" w:line="20" w:lineRule="exact"/>
        <w:rPr>
          <w:sz w:val="24"/>
          <w:szCs w:val="24"/>
          <w:color w:val="auto"/>
        </w:rPr>
      </w:pPr>
      <w:r>
        <w:rPr>
          <w:sz w:val="24"/>
          <w:szCs w:val="24"/>
          <w:color w:val="auto"/>
        </w:rPr>
        <w:br w:type="column"/>
      </w:r>
    </w:p>
    <w:p>
      <w:pPr>
        <w:jc w:val="center"/>
        <w:ind w:right="188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1880"/>
        <w:spacing w:after="0"/>
        <w:rPr>
          <w:sz w:val="20"/>
          <w:szCs w:val="20"/>
          <w:color w:val="auto"/>
        </w:rPr>
      </w:pPr>
      <w:r>
        <w:rPr>
          <w:rFonts w:ascii="Arial" w:cs="Arial" w:eastAsia="Arial" w:hAnsi="Arial"/>
          <w:sz w:val="13"/>
          <w:szCs w:val="13"/>
          <w:b w:val="1"/>
          <w:bCs w:val="1"/>
          <w:color w:val="auto"/>
        </w:rPr>
        <w:t>Identification No.)</w:t>
      </w:r>
    </w:p>
    <w:p>
      <w:pPr>
        <w:spacing w:after="0" w:line="21" w:lineRule="exact"/>
        <w:rPr>
          <w:sz w:val="24"/>
          <w:szCs w:val="24"/>
          <w:color w:val="auto"/>
        </w:rPr>
      </w:pPr>
    </w:p>
    <w:p>
      <w:pPr>
        <w:sectPr>
          <w:pgSz w:w="11900" w:h="16838" w:orient="portrait"/>
          <w:cols w:equalWidth="0" w:num="2">
            <w:col w:w="7365" w:space="720"/>
            <w:col w:w="3000"/>
          </w:cols>
          <w:pgMar w:left="275" w:top="733" w:right="539" w:bottom="1440" w:gutter="0" w:footer="0" w:header="0"/>
          <w:type w:val="continuous"/>
        </w:sectPr>
      </w:pPr>
    </w:p>
    <w:p>
      <w:pPr>
        <w:ind w:left="4605"/>
        <w:spacing w:after="0"/>
        <w:rPr>
          <w:sz w:val="20"/>
          <w:szCs w:val="20"/>
          <w:color w:val="auto"/>
        </w:rPr>
      </w:pPr>
      <w:r>
        <w:rPr>
          <w:rFonts w:ascii="Arial" w:cs="Arial" w:eastAsia="Arial" w:hAnsi="Arial"/>
          <w:sz w:val="18"/>
          <w:szCs w:val="18"/>
          <w:b w:val="1"/>
          <w:bCs w:val="1"/>
          <w:color w:val="auto"/>
        </w:rPr>
        <w:t>6555 West Good Hope Road</w:t>
      </w:r>
    </w:p>
    <w:p>
      <w:pPr>
        <w:spacing w:after="0" w:line="21" w:lineRule="exact"/>
        <w:rPr>
          <w:sz w:val="24"/>
          <w:szCs w:val="24"/>
          <w:color w:val="auto"/>
        </w:rPr>
      </w:pPr>
    </w:p>
    <w:p>
      <w:pPr>
        <w:ind w:left="4565"/>
        <w:spacing w:after="0"/>
        <w:rPr>
          <w:sz w:val="20"/>
          <w:szCs w:val="20"/>
          <w:color w:val="auto"/>
        </w:rPr>
      </w:pPr>
      <w:r>
        <w:rPr>
          <w:rFonts w:ascii="Arial" w:cs="Arial" w:eastAsia="Arial" w:hAnsi="Arial"/>
          <w:sz w:val="18"/>
          <w:szCs w:val="18"/>
          <w:b w:val="1"/>
          <w:bCs w:val="1"/>
          <w:color w:val="auto"/>
        </w:rPr>
        <w:t>Milwaukee, Wisconsin 53223</w:t>
      </w:r>
    </w:p>
    <w:p>
      <w:pPr>
        <w:spacing w:after="0" w:line="2" w:lineRule="exact"/>
        <w:rPr>
          <w:sz w:val="24"/>
          <w:szCs w:val="24"/>
          <w:color w:val="auto"/>
        </w:rPr>
      </w:pPr>
    </w:p>
    <w:p>
      <w:pPr>
        <w:jc w:val="center"/>
        <w:ind w:right="-264"/>
        <w:spacing w:after="0"/>
        <w:rPr>
          <w:sz w:val="20"/>
          <w:szCs w:val="20"/>
          <w:color w:val="auto"/>
        </w:rPr>
      </w:pPr>
      <w:r>
        <w:rPr>
          <w:rFonts w:ascii="Arial" w:cs="Arial" w:eastAsia="Arial" w:hAnsi="Arial"/>
          <w:sz w:val="13"/>
          <w:szCs w:val="13"/>
          <w:b w:val="1"/>
          <w:bCs w:val="1"/>
          <w:color w:val="auto"/>
        </w:rPr>
        <w:t>(Address of Principal Executive Offices and Zip Code)</w:t>
      </w:r>
    </w:p>
    <w:p>
      <w:pPr>
        <w:spacing w:after="0" w:line="163" w:lineRule="exact"/>
        <w:rPr>
          <w:sz w:val="24"/>
          <w:szCs w:val="24"/>
          <w:color w:val="auto"/>
        </w:rPr>
      </w:pPr>
    </w:p>
    <w:p>
      <w:pPr>
        <w:jc w:val="center"/>
        <w:ind w:right="-264"/>
        <w:spacing w:after="0"/>
        <w:rPr>
          <w:sz w:val="20"/>
          <w:szCs w:val="20"/>
          <w:color w:val="auto"/>
        </w:rPr>
      </w:pPr>
      <w:r>
        <w:rPr>
          <w:rFonts w:ascii="Arial" w:cs="Arial" w:eastAsia="Arial" w:hAnsi="Arial"/>
          <w:sz w:val="18"/>
          <w:szCs w:val="18"/>
          <w:b w:val="1"/>
          <w:bCs w:val="1"/>
          <w:color w:val="auto"/>
        </w:rPr>
        <w:t>(414) 358-6600</w:t>
      </w:r>
    </w:p>
    <w:p>
      <w:pPr>
        <w:spacing w:after="0" w:line="32" w:lineRule="exact"/>
        <w:rPr>
          <w:sz w:val="24"/>
          <w:szCs w:val="24"/>
          <w:color w:val="auto"/>
        </w:rPr>
      </w:pPr>
    </w:p>
    <w:p>
      <w:pPr>
        <w:jc w:val="center"/>
        <w:ind w:right="-264"/>
        <w:spacing w:after="0"/>
        <w:rPr>
          <w:sz w:val="20"/>
          <w:szCs w:val="20"/>
          <w:color w:val="auto"/>
        </w:rPr>
      </w:pPr>
      <w:r>
        <w:rPr>
          <w:rFonts w:ascii="Arial" w:cs="Arial" w:eastAsia="Arial" w:hAnsi="Arial"/>
          <w:sz w:val="14"/>
          <w:szCs w:val="14"/>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2813050</wp:posOffset>
            </wp:positionH>
            <wp:positionV relativeFrom="paragraph">
              <wp:posOffset>194945</wp:posOffset>
            </wp:positionV>
            <wp:extent cx="15951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ectPr>
          <w:pgSz w:w="11900" w:h="16838" w:orient="portrait"/>
          <w:cols w:equalWidth="0" w:num="1">
            <w:col w:w="11085"/>
          </w:cols>
          <w:pgMar w:left="275" w:top="733" w:right="539" w:bottom="1440" w:gutter="0" w:footer="0" w:header="0"/>
          <w:type w:val="continuous"/>
        </w:sectPr>
      </w:pPr>
    </w:p>
    <w:p>
      <w:pPr>
        <w:spacing w:after="0" w:line="388" w:lineRule="exact"/>
        <w:rPr>
          <w:sz w:val="24"/>
          <w:szCs w:val="24"/>
          <w:color w:val="auto"/>
        </w:rPr>
      </w:pPr>
    </w:p>
    <w:p>
      <w:pPr>
        <w:ind w:left="545"/>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685" w:hanging="685"/>
        <w:spacing w:after="0"/>
        <w:tabs>
          <w:tab w:leader="none" w:pos="68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685" w:hanging="685"/>
        <w:spacing w:after="0"/>
        <w:tabs>
          <w:tab w:leader="none" w:pos="68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685" w:hanging="685"/>
        <w:spacing w:after="0"/>
        <w:tabs>
          <w:tab w:leader="none" w:pos="68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685" w:hanging="685"/>
        <w:spacing w:after="0"/>
        <w:tabs>
          <w:tab w:leader="none" w:pos="68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085"/>
          </w:cols>
          <w:pgMar w:left="275" w:top="733" w:right="539" w:bottom="1440" w:gutter="0" w:footer="0" w:header="0"/>
          <w:type w:val="continuous"/>
        </w:sectPr>
      </w:pPr>
    </w:p>
    <w:bookmarkStart w:id="1" w:name="page2"/>
    <w:bookmarkEnd w:id="1"/>
    <w:p>
      <w:pPr>
        <w:ind w:left="40"/>
        <w:spacing w:after="0"/>
        <w:tabs>
          <w:tab w:leader="none" w:pos="1060" w:val="left"/>
        </w:tabs>
        <w:rPr>
          <w:sz w:val="20"/>
          <w:szCs w:val="20"/>
          <w:color w:val="auto"/>
        </w:rPr>
      </w:pPr>
      <w:r>
        <w:rPr>
          <w:rFonts w:ascii="Arial" w:cs="Arial" w:eastAsia="Arial" w:hAnsi="Arial"/>
          <w:sz w:val="18"/>
          <w:szCs w:val="18"/>
          <w:color w:val="auto"/>
        </w:rPr>
        <w:t>Item 8.01</w:t>
      </w:r>
      <w:r>
        <w:rPr>
          <w:sz w:val="20"/>
          <w:szCs w:val="20"/>
          <w:color w:val="auto"/>
        </w:rPr>
        <w:tab/>
      </w:r>
      <w:r>
        <w:rPr>
          <w:rFonts w:ascii="Arial" w:cs="Arial" w:eastAsia="Arial" w:hAnsi="Arial"/>
          <w:sz w:val="17"/>
          <w:szCs w:val="17"/>
          <w:color w:val="auto"/>
        </w:rPr>
        <w:t>OTHER EVENTS</w:t>
      </w:r>
    </w:p>
    <w:p>
      <w:pPr>
        <w:spacing w:after="0" w:line="11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May 1, 2014, Brady Corporation (the “Company”) completed the first phase of the previously announced two-phase divestiture of its European and Asian Die-Cut businesses to LTI Flexible Products, Inc. (d/b/a Boyd Corporation), a portfolio company of Snow Phipps Group, LLC pursuant to the terms of the Share and Asset Purchase Agreement, dated as of February 24, 2014 (the “Purchase Agreement”). The first phase closing involved the Company’s European Die-Cut business and the portions of the Asia Die-Cut business operated in Korea, Thailand and Malaysia, together with the transfer of certain of the Company’s employees in the United States supporting those operations. The cash proceeds received by the Company on May 1, 2014 in connection with the completion of the first phase of this divestiture were approximately $53 million, which amount remains subject to customary final working capital and net cash adjustments in accordance with the terms of the Purchase Agreement. The execution of the Purchase Agreement was previously reported by the Company on its Current Report on Form 8-K filed with the Securities and Exchange Commission on February 25, 2014, and the Purchase Agreement was filed as Exhibit 2.1 thereto. Attached as Exhibit 99.1 is the press release issued by the Company announcing the phase one closing.</w:t>
      </w:r>
    </w:p>
    <w:p>
      <w:pPr>
        <w:spacing w:after="0" w:line="200" w:lineRule="exact"/>
        <w:rPr>
          <w:sz w:val="20"/>
          <w:szCs w:val="20"/>
          <w:color w:val="auto"/>
        </w:rPr>
      </w:pPr>
    </w:p>
    <w:p>
      <w:pPr>
        <w:spacing w:after="0" w:line="372"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color w:val="auto"/>
        </w:rPr>
        <w:t>Item 9.01</w:t>
      </w:r>
      <w:r>
        <w:rPr>
          <w:sz w:val="20"/>
          <w:szCs w:val="20"/>
          <w:color w:val="auto"/>
        </w:rPr>
        <w:tab/>
      </w:r>
      <w:r>
        <w:rPr>
          <w:rFonts w:ascii="Arial" w:cs="Arial" w:eastAsia="Arial" w:hAnsi="Arial"/>
          <w:sz w:val="17"/>
          <w:szCs w:val="17"/>
          <w:color w:val="auto"/>
        </w:rPr>
        <w:t>FINANCIAL STATEMENTS AND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filed as Exhibits to this Report.</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Exhibit No. 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61747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99.1</w:t>
            </w:r>
          </w:p>
        </w:tc>
        <w:tc>
          <w:tcPr>
            <w:tcW w:w="8940" w:type="dxa"/>
            <w:vAlign w:val="bottom"/>
          </w:tcPr>
          <w:p>
            <w:pPr>
              <w:ind w:left="320"/>
              <w:spacing w:after="0"/>
              <w:rPr>
                <w:sz w:val="20"/>
                <w:szCs w:val="20"/>
                <w:color w:val="auto"/>
              </w:rPr>
            </w:pPr>
            <w:r>
              <w:rPr>
                <w:rFonts w:ascii="Arial" w:cs="Arial" w:eastAsia="Arial" w:hAnsi="Arial"/>
                <w:sz w:val="18"/>
                <w:szCs w:val="18"/>
                <w:color w:val="auto"/>
                <w:w w:val="90"/>
              </w:rPr>
              <w:t>Press Release of Brady Corporation, dated May 2, 2014, announcing Brady Corporation has closed on the first phase of</w:t>
            </w:r>
          </w:p>
        </w:tc>
      </w:tr>
      <w:tr>
        <w:trPr>
          <w:trHeight w:val="230"/>
        </w:trPr>
        <w:tc>
          <w:tcPr>
            <w:tcW w:w="620" w:type="dxa"/>
            <w:vAlign w:val="bottom"/>
          </w:tcPr>
          <w:p>
            <w:pPr>
              <w:spacing w:after="0"/>
              <w:rPr>
                <w:sz w:val="20"/>
                <w:szCs w:val="20"/>
                <w:color w:val="auto"/>
              </w:rPr>
            </w:pPr>
          </w:p>
        </w:tc>
        <w:tc>
          <w:tcPr>
            <w:tcW w:w="8940" w:type="dxa"/>
            <w:vAlign w:val="bottom"/>
          </w:tcPr>
          <w:p>
            <w:pPr>
              <w:ind w:left="320"/>
              <w:spacing w:after="0"/>
              <w:rPr>
                <w:sz w:val="20"/>
                <w:szCs w:val="20"/>
                <w:color w:val="auto"/>
              </w:rPr>
            </w:pPr>
            <w:r>
              <w:rPr>
                <w:rFonts w:ascii="Arial" w:cs="Arial" w:eastAsia="Arial" w:hAnsi="Arial"/>
                <w:sz w:val="18"/>
                <w:szCs w:val="18"/>
                <w:color w:val="auto"/>
              </w:rPr>
              <w:t>the sale of its Die-Cut business.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BRADY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tabs>
          <w:tab w:leader="none" w:pos="5960" w:val="left"/>
        </w:tabs>
        <w:rPr>
          <w:sz w:val="20"/>
          <w:szCs w:val="20"/>
          <w:color w:val="auto"/>
        </w:rPr>
      </w:pPr>
      <w:r>
        <w:rPr>
          <w:rFonts w:ascii="Arial" w:cs="Arial" w:eastAsia="Arial" w:hAnsi="Arial"/>
          <w:sz w:val="18"/>
          <w:szCs w:val="18"/>
          <w:color w:val="auto"/>
        </w:rPr>
        <w:t>Date: May 2, 2014</w:t>
      </w:r>
      <w:r>
        <w:rPr>
          <w:sz w:val="20"/>
          <w:szCs w:val="20"/>
          <w:color w:val="auto"/>
        </w:rPr>
        <w:tab/>
      </w:r>
      <w:r>
        <w:rPr>
          <w:rFonts w:ascii="Arial" w:cs="Arial" w:eastAsia="Arial" w:hAnsi="Arial"/>
          <w:sz w:val="15"/>
          <w:szCs w:val="15"/>
          <w:color w:val="auto"/>
        </w:rPr>
        <w:t>/s/ 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Thomas J. Felmer</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Interim President &amp; Chief Executive Officer and Chief Financial Officer</w:t>
      </w:r>
    </w:p>
    <w:p>
      <w:pPr>
        <w:sectPr>
          <w:pgSz w:w="11900" w:h="16838" w:orient="portrait"/>
          <w:cols w:equalWidth="0" w:num="1">
            <w:col w:w="11420"/>
          </w:cols>
          <w:pgMar w:left="240" w:top="746"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p>
        </w:tc>
        <w:tc>
          <w:tcPr>
            <w:tcW w:w="8800" w:type="dxa"/>
            <w:vAlign w:val="bottom"/>
          </w:tcPr>
          <w:p>
            <w:pPr>
              <w:ind w:left="4120"/>
              <w:spacing w:after="0"/>
              <w:rPr>
                <w:sz w:val="20"/>
                <w:szCs w:val="20"/>
                <w:color w:val="auto"/>
              </w:rPr>
            </w:pPr>
            <w:r>
              <w:rPr>
                <w:rFonts w:ascii="Arial" w:cs="Arial" w:eastAsia="Arial" w:hAnsi="Arial"/>
                <w:sz w:val="18"/>
                <w:szCs w:val="18"/>
                <w:color w:val="auto"/>
              </w:rPr>
              <w:t>EXHIBIT INDEX</w:t>
            </w:r>
          </w:p>
        </w:tc>
        <w:tc>
          <w:tcPr>
            <w:tcW w:w="0" w:type="dxa"/>
            <w:vAlign w:val="bottom"/>
          </w:tcPr>
          <w:p>
            <w:pPr>
              <w:spacing w:after="0"/>
              <w:rPr>
                <w:sz w:val="1"/>
                <w:szCs w:val="1"/>
                <w:color w:val="auto"/>
              </w:rPr>
            </w:pPr>
          </w:p>
        </w:tc>
      </w:tr>
      <w:tr>
        <w:trPr>
          <w:trHeight w:val="571"/>
        </w:trPr>
        <w:tc>
          <w:tcPr>
            <w:tcW w:w="940" w:type="dxa"/>
            <w:vAlign w:val="bottom"/>
          </w:tcPr>
          <w:p>
            <w:pPr>
              <w:ind w:left="40"/>
              <w:spacing w:after="0"/>
              <w:rPr>
                <w:sz w:val="20"/>
                <w:szCs w:val="20"/>
                <w:color w:val="auto"/>
              </w:rPr>
            </w:pPr>
            <w:r>
              <w:rPr>
                <w:rFonts w:ascii="Arial" w:cs="Arial" w:eastAsia="Arial" w:hAnsi="Arial"/>
                <w:sz w:val="16"/>
                <w:szCs w:val="16"/>
                <w:color w:val="auto"/>
              </w:rPr>
              <w:t>EXHIBIT</w:t>
            </w:r>
          </w:p>
        </w:tc>
        <w:tc>
          <w:tcPr>
            <w:tcW w:w="8800" w:type="dxa"/>
            <w:vAlign w:val="bottom"/>
            <w:vMerge w:val="restart"/>
          </w:tcPr>
          <w:p>
            <w:pPr>
              <w:ind w:left="220"/>
              <w:spacing w:after="0"/>
              <w:rPr>
                <w:sz w:val="20"/>
                <w:szCs w:val="20"/>
                <w:color w:val="auto"/>
              </w:rPr>
            </w:pPr>
            <w:r>
              <w:rPr>
                <w:rFonts w:ascii="Arial" w:cs="Arial" w:eastAsia="Arial" w:hAnsi="Arial"/>
                <w:sz w:val="18"/>
                <w:szCs w:val="18"/>
                <w:color w:val="auto"/>
              </w:rPr>
              <w:t>DESCRIPTION</w:t>
            </w:r>
          </w:p>
        </w:tc>
        <w:tc>
          <w:tcPr>
            <w:tcW w:w="0" w:type="dxa"/>
            <w:vAlign w:val="bottom"/>
          </w:tcPr>
          <w:p>
            <w:pPr>
              <w:spacing w:after="0"/>
              <w:rPr>
                <w:sz w:val="1"/>
                <w:szCs w:val="1"/>
                <w:color w:val="auto"/>
              </w:rPr>
            </w:pPr>
          </w:p>
        </w:tc>
      </w:tr>
      <w:tr>
        <w:trPr>
          <w:trHeight w:val="212"/>
        </w:trPr>
        <w:tc>
          <w:tcPr>
            <w:tcW w:w="940" w:type="dxa"/>
            <w:vAlign w:val="bottom"/>
          </w:tcPr>
          <w:p>
            <w:pPr>
              <w:ind w:left="40"/>
              <w:spacing w:after="0"/>
              <w:rPr>
                <w:sz w:val="20"/>
                <w:szCs w:val="20"/>
                <w:color w:val="auto"/>
              </w:rPr>
            </w:pPr>
            <w:r>
              <w:rPr>
                <w:rFonts w:ascii="Arial" w:cs="Arial" w:eastAsia="Arial" w:hAnsi="Arial"/>
                <w:sz w:val="16"/>
                <w:szCs w:val="16"/>
                <w:color w:val="auto"/>
              </w:rPr>
              <w:t>NUMBER</w:t>
            </w:r>
          </w:p>
        </w:tc>
        <w:tc>
          <w:tcPr>
            <w:tcW w:w="8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40" w:type="dxa"/>
            <w:vAlign w:val="bottom"/>
            <w:tcBorders>
              <w:bottom w:val="single" w:sz="8" w:color="auto"/>
            </w:tcBorders>
          </w:tcPr>
          <w:p>
            <w:pPr>
              <w:spacing w:after="0"/>
              <w:rPr>
                <w:sz w:val="2"/>
                <w:szCs w:val="2"/>
                <w:color w:val="auto"/>
              </w:rPr>
            </w:pPr>
          </w:p>
        </w:tc>
        <w:tc>
          <w:tcPr>
            <w:tcW w:w="8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940" w:type="dxa"/>
            <w:vAlign w:val="bottom"/>
          </w:tcPr>
          <w:p>
            <w:pPr>
              <w:ind w:left="40"/>
              <w:spacing w:after="0"/>
              <w:rPr>
                <w:sz w:val="20"/>
                <w:szCs w:val="20"/>
                <w:color w:val="auto"/>
              </w:rPr>
            </w:pPr>
            <w:r>
              <w:rPr>
                <w:rFonts w:ascii="Arial" w:cs="Arial" w:eastAsia="Arial" w:hAnsi="Arial"/>
                <w:sz w:val="18"/>
                <w:szCs w:val="18"/>
                <w:color w:val="auto"/>
              </w:rPr>
              <w:t>99.1</w:t>
            </w:r>
          </w:p>
        </w:tc>
        <w:tc>
          <w:tcPr>
            <w:tcW w:w="8800" w:type="dxa"/>
            <w:vAlign w:val="bottom"/>
          </w:tcPr>
          <w:p>
            <w:pPr>
              <w:ind w:left="220"/>
              <w:spacing w:after="0"/>
              <w:rPr>
                <w:sz w:val="20"/>
                <w:szCs w:val="20"/>
                <w:color w:val="auto"/>
              </w:rPr>
            </w:pPr>
            <w:r>
              <w:rPr>
                <w:rFonts w:ascii="Arial" w:cs="Arial" w:eastAsia="Arial" w:hAnsi="Arial"/>
                <w:sz w:val="18"/>
                <w:szCs w:val="18"/>
                <w:color w:val="auto"/>
                <w:w w:val="91"/>
              </w:rPr>
              <w:t>Press Release of Brady Corporation, dated May 2, 2014, announcing Brady Corporation has closed on the first phase</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8800" w:type="dxa"/>
            <w:vAlign w:val="bottom"/>
          </w:tcPr>
          <w:p>
            <w:pPr>
              <w:ind w:left="220"/>
              <w:spacing w:after="0"/>
              <w:rPr>
                <w:sz w:val="20"/>
                <w:szCs w:val="20"/>
                <w:color w:val="auto"/>
              </w:rPr>
            </w:pPr>
            <w:r>
              <w:rPr>
                <w:rFonts w:ascii="Arial" w:cs="Arial" w:eastAsia="Arial" w:hAnsi="Arial"/>
                <w:sz w:val="18"/>
                <w:szCs w:val="18"/>
                <w:color w:val="auto"/>
              </w:rPr>
              <w:t>of the sale of its Die-Cut business.</w:t>
            </w:r>
          </w:p>
        </w:tc>
        <w:tc>
          <w:tcPr>
            <w:tcW w:w="0" w:type="dxa"/>
            <w:vAlign w:val="bottom"/>
          </w:tcPr>
          <w:p>
            <w:pPr>
              <w:spacing w:after="0"/>
              <w:rPr>
                <w:sz w:val="1"/>
                <w:szCs w:val="1"/>
                <w:color w:val="auto"/>
              </w:rPr>
            </w:pPr>
          </w:p>
        </w:tc>
      </w:tr>
    </w:tbl>
    <w:p>
      <w:pPr>
        <w:sectPr>
          <w:pgSz w:w="11900" w:h="16838" w:orient="portrait"/>
          <w:cols w:equalWidth="0" w:num="1">
            <w:col w:w="10219"/>
          </w:cols>
          <w:pgMar w:left="240" w:top="800"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More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 Aaron Pearce 414-438-6895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 contact: Carole Herbstreit 414-438-6882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Immediate Release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Brady Corporation closes the first phase of the sale of its Die-Cut Business</w:t>
      </w:r>
    </w:p>
    <w:p>
      <w:pPr>
        <w:spacing w:after="0" w:line="283" w:lineRule="exact"/>
        <w:rPr>
          <w:sz w:val="20"/>
          <w:szCs w:val="20"/>
          <w:color w:val="auto"/>
        </w:rPr>
      </w:pPr>
    </w:p>
    <w:p>
      <w:pPr>
        <w:jc w:val="both"/>
        <w:spacing w:after="0" w:line="360" w:lineRule="auto"/>
        <w:rPr>
          <w:sz w:val="20"/>
          <w:szCs w:val="20"/>
          <w:color w:val="auto"/>
        </w:rPr>
      </w:pPr>
      <w:r>
        <w:rPr>
          <w:rFonts w:ascii="Arial" w:cs="Arial" w:eastAsia="Arial" w:hAnsi="Arial"/>
          <w:sz w:val="18"/>
          <w:szCs w:val="18"/>
          <w:color w:val="auto"/>
        </w:rPr>
        <w:t>MILWAUKEE (May 2, 2014)--Brady Corporation (NYSE: BRC) (“Brady”), a world leader in identification solutions, today announced that it has completed the first phase of the previously announced two-step divestiture of its European and Asian Die-Cut businesses to Boyd Corporation, a leading global provider of highly engineered, specialty material-based environmental and energy management solutions.</w:t>
      </w:r>
    </w:p>
    <w:p>
      <w:pPr>
        <w:jc w:val="both"/>
        <w:ind w:firstLine="648"/>
        <w:spacing w:after="0" w:line="365" w:lineRule="auto"/>
        <w:rPr>
          <w:sz w:val="20"/>
          <w:szCs w:val="20"/>
          <w:color w:val="auto"/>
        </w:rPr>
      </w:pPr>
      <w:r>
        <w:rPr>
          <w:rFonts w:ascii="Arial" w:cs="Arial" w:eastAsia="Arial" w:hAnsi="Arial"/>
          <w:sz w:val="18"/>
          <w:szCs w:val="18"/>
          <w:color w:val="auto"/>
        </w:rPr>
        <w:t>On February 24, 2014, Brady announced that it reached an agreement to sell its Die-Cut business to Boyd Corporation in a two-step process. The first step, which closed on May 1, 2014, involved the sale of the Die-Cut business with operations in Germany, Thailand, Korea, and Malaysia. Cash proceeds received on May 1, 2014 from the completion of the first phase of this divestiture were approximately $53 million and are subject to customary final working capital and net cash adjustments. The second step, which is anticipated to close in the fourth quarter of our fiscal year ending July 31, 2014, involves the sale of the Die-Cut business with operations in the People’s Republic of China and associated global sales support and is subject to various customary closing conditions.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Brady Corporation</w:t>
      </w:r>
    </w:p>
    <w:p>
      <w:pPr>
        <w:spacing w:after="0" w:line="108" w:lineRule="exact"/>
        <w:rPr>
          <w:sz w:val="20"/>
          <w:szCs w:val="20"/>
          <w:color w:val="auto"/>
        </w:rPr>
      </w:pPr>
    </w:p>
    <w:p>
      <w:pPr>
        <w:jc w:val="both"/>
        <w:ind w:firstLine="648"/>
        <w:spacing w:after="0" w:line="389" w:lineRule="auto"/>
        <w:rPr>
          <w:sz w:val="20"/>
          <w:szCs w:val="20"/>
          <w:color w:val="auto"/>
        </w:rPr>
      </w:pPr>
      <w:r>
        <w:rPr>
          <w:rFonts w:ascii="Arial" w:cs="Arial" w:eastAsia="Arial" w:hAnsi="Arial"/>
          <w:sz w:val="17"/>
          <w:szCs w:val="17"/>
          <w:color w:val="auto"/>
        </w:rPr>
        <w:t>Brady Corporation is an international manufacturer and marketer of complete solutions that identify and protect premises, products and people. Brady’s products help customers increase safety, security, productivity and performance and include high-performance labels, signs, safety devices, printing systems and software, and precision die-cut materials. Founded in 1914, the company has a diverse customer base in electronics, telecommunications, manufacturing, electrical, construction, medical and a variety of other industries. Brady is headquartered in Milwaukee, Wisconsin and as of July 31, 2013, employed approximately 7,400 people in its worldwide businesses. Brady’s fiscal 2013 sales were approximately $1.15 billion. Brady stock trades on the New York Stock Exchange under the symbol BRC. More information is available on the Internet at www.bradycorp.com.</w:t>
      </w:r>
    </w:p>
    <w:p>
      <w:pPr>
        <w:sectPr>
          <w:pgSz w:w="11900" w:h="16838" w:orient="portrait"/>
          <w:cols w:equalWidth="0" w:num="1">
            <w:col w:w="11420"/>
          </w:cols>
          <w:pgMar w:left="240" w:top="81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information in this news release constitutes "forward-looking statements." These forward-looking statements relate to, among other things, statements concerning the consummation of the sale of the Die-Cut business and the Company's future financial position, business strategy, targets, projected sales, costs, earnings, capital expenditures, debt levels and cash flows, and plans and objectives of management for future operations, all of which are based on current expectations and assumptions that are subject to risks and uncertainties.</w:t>
      </w:r>
    </w:p>
    <w:p>
      <w:pPr>
        <w:spacing w:after="0" w:line="18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Implementation of the Workplace Safety strategy; the length or severity of the current worldwide economic downturn or timing or strength of a subsequent recovery; future financial performance of major markets Brady serves, which include, without limitation, telecommunications, hard disk drive, manufacturing, electrical, construction, laboratory, education, governmental, public utility, computer, healthcare and transportation; future competition; changes in the supply of, or price for, parts and components; increased price pressure from suppliers and customers; Brady's ability to retain significant contracts and customers; fluctuations in currency rates versus the U.S. dollar; risks associated with international operations; difficulties associated with exports; risks associated with obtaining governmental approvals and maintaining regulatory compliance; Brady's ability to develop and successfully market new products; risks associated with identifying, completing, and integrating acquisitions; risks associated with divestitures and businesses held for sale; risks associated with restructuring plans; environmental, health and safety compliance costs and liabilities; risk associated with loss of key talent; risk associated with product liability claims; technology changes and potential security violations to the Company's information technology systems; Brady's ability to maintain compliance with its debt covenants; increase in our level of debt; potential write-offs of Brady's substantial intangible assets; unforeseen tax consequences; risk, associated with our ownership structure; and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within Item 1A of Part I of Brady’s Form 10-K for the year ended July 31, 2013.</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These uncertainties may cause Brady's actual future results to be materially different than those expressed in its forward-looking statements. Brady does not undertake to update its forward-looking statements except as required by law.</w:t>
      </w:r>
    </w:p>
    <w:sectPr>
      <w:pgSz w:w="11900" w:h="16838" w:orient="portrait"/>
      <w:cols w:equalWidth="0" w:num="1">
        <w:col w:w="11420"/>
      </w:cols>
      <w:pgMar w:left="240" w:top="63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2019-12-05T20:53:55Z</dcterms:created>
  <dcterms:modified xsi:type="dcterms:W3CDTF">2019-12-05T20:53:55Z</dcterms:modified>
</cp:coreProperties>
</file>