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No.30)*</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05/31/2015</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 Limited Liability Company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3"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4,276,672</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4,804,827</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4,804,827</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4,804,827/47,778,684=10.1%</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4" w:lineRule="exact"/>
        <w:rPr>
          <w:sz w:val="20"/>
          <w:szCs w:val="20"/>
          <w:color w:val="auto"/>
        </w:rPr>
      </w:pP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Street,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73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3" w:lineRule="exact"/>
        <w:rPr>
          <w:sz w:val="20"/>
          <w:szCs w:val="20"/>
          <w:color w:val="auto"/>
        </w:rPr>
      </w:pP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 w:lineRule="exact"/>
        <w:rPr>
          <w:sz w:val="20"/>
          <w:szCs w:val="20"/>
          <w:color w:val="auto"/>
        </w:rPr>
      </w:pPr>
    </w:p>
    <w:p>
      <w:pPr>
        <w:ind w:left="1700" w:right="577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Page 1, No. 9)</w:t>
      </w:r>
    </w:p>
    <w:p>
      <w:pPr>
        <w:ind w:left="1700" w:right="641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Page 2, No. 11)</w:t>
      </w:r>
    </w:p>
    <w:p>
      <w:pPr>
        <w:ind w:left="1700" w:hanging="84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5" w:lineRule="exact"/>
        <w:rPr>
          <w:sz w:val="20"/>
          <w:szCs w:val="20"/>
          <w:color w:val="auto"/>
        </w:rPr>
      </w:pPr>
    </w:p>
    <w:p>
      <w:pPr>
        <w:ind w:left="1700" w:right="431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Page 1, No. 5)</w:t>
      </w:r>
    </w:p>
    <w:p>
      <w:pPr>
        <w:spacing w:after="0" w:line="5" w:lineRule="exact"/>
        <w:rPr>
          <w:rFonts w:ascii="Courier New" w:cs="Courier New" w:eastAsia="Courier New" w:hAnsi="Courier New"/>
          <w:sz w:val="18"/>
          <w:szCs w:val="18"/>
          <w:color w:val="auto"/>
        </w:rPr>
      </w:pPr>
    </w:p>
    <w:p>
      <w:pPr>
        <w:ind w:left="1700" w:right="409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Page 1, No. 6)</w:t>
      </w:r>
    </w:p>
    <w:p>
      <w:pPr>
        <w:spacing w:after="0" w:line="5" w:lineRule="exact"/>
        <w:rPr>
          <w:rFonts w:ascii="Courier New" w:cs="Courier New" w:eastAsia="Courier New" w:hAnsi="Courier New"/>
          <w:sz w:val="18"/>
          <w:szCs w:val="18"/>
          <w:color w:val="auto"/>
        </w:rPr>
      </w:pPr>
    </w:p>
    <w:p>
      <w:pPr>
        <w:ind w:left="1700" w:right="29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Page 1, No. 7)</w:t>
      </w:r>
    </w:p>
    <w:p>
      <w:pPr>
        <w:spacing w:after="0" w:line="5" w:lineRule="exact"/>
        <w:rPr>
          <w:rFonts w:ascii="Courier New" w:cs="Courier New" w:eastAsia="Courier New" w:hAnsi="Courier New"/>
          <w:sz w:val="18"/>
          <w:szCs w:val="18"/>
          <w:color w:val="auto"/>
        </w:rPr>
      </w:pPr>
    </w:p>
    <w:p>
      <w:pPr>
        <w:ind w:left="1700" w:right="27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Page 1, No. 8)</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w:t>
      </w:r>
    </w:p>
    <w:tbl>
      <w:tblPr>
        <w:tblLayout w:type="fixed"/>
        <w:tblInd w:w="0" w:type="dxa"/>
        <w:tblCellMar>
          <w:top w:w="0" w:type="dxa"/>
          <w:left w:w="0" w:type="dxa"/>
          <w:bottom w:w="0" w:type="dxa"/>
          <w:right w:w="0" w:type="dxa"/>
        </w:tblCellMar>
      </w:tblPr>
      <w:tr>
        <w:trPr>
          <w:trHeight w:val="203"/>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date hereof the reporting</w:t>
            </w:r>
          </w:p>
        </w:tc>
        <w:tc>
          <w:tcPr>
            <w:tcW w:w="1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person has ceased</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w w:val="98"/>
              </w:rPr>
              <w:t>to be the beneficial</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owner of more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than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class</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of securities check the following</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 Ownership</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on Behalf of Another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w:t>
            </w:r>
          </w:p>
        </w:tc>
      </w:tr>
    </w:tbl>
    <w:p>
      <w:pPr>
        <w:ind w:left="860"/>
        <w:spacing w:after="0" w:line="238" w:lineRule="auto"/>
        <w:rPr>
          <w:sz w:val="20"/>
          <w:szCs w:val="20"/>
          <w:color w:val="auto"/>
        </w:rPr>
      </w:pPr>
      <w:r>
        <w:rPr>
          <w:rFonts w:ascii="Courier New" w:cs="Courier New" w:eastAsia="Courier New" w:hAnsi="Courier New"/>
          <w:sz w:val="18"/>
          <w:szCs w:val="18"/>
          <w:color w:val="auto"/>
        </w:rPr>
        <w:t>Ariel Investments, LLC's adviser clients have the right to receive</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Ariel Fund, a series of Ariel Investment Trust, an open-end management investment company, has an economic interest in more than 5% of the subject securities reported upon this Schedule.</w:t>
      </w: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ind w:left="860"/>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rPr>
          <w:sz w:val="20"/>
          <w:szCs w:val="20"/>
          <w:color w:val="auto"/>
        </w:rPr>
      </w:pPr>
      <w:r>
        <w:rPr>
          <w:rFonts w:ascii="Courier New" w:cs="Courier New" w:eastAsia="Courier New" w:hAnsi="Courier New"/>
          <w:sz w:val="18"/>
          <w:szCs w:val="18"/>
          <w:color w:val="auto"/>
        </w:rPr>
        <w:t>the securities referred to above were acquired and are held in the ordinary</w:t>
      </w:r>
    </w:p>
    <w:p>
      <w:pPr>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w:t>
      </w:r>
    </w:p>
    <w:p>
      <w:pPr>
        <w:spacing w:after="0"/>
        <w:rPr>
          <w:sz w:val="20"/>
          <w:szCs w:val="20"/>
          <w:color w:val="auto"/>
        </w:rPr>
      </w:pPr>
      <w:r>
        <w:rPr>
          <w:rFonts w:ascii="Courier New" w:cs="Courier New" w:eastAsia="Courier New" w:hAnsi="Courier New"/>
          <w:sz w:val="18"/>
          <w:szCs w:val="18"/>
          <w:color w:val="auto"/>
        </w:rPr>
        <w:t>of or with the effect of changing or influencing the control of the issuer of</w:t>
      </w:r>
    </w:p>
    <w:p>
      <w:pPr>
        <w:spacing w:after="0" w:line="237" w:lineRule="auto"/>
        <w:rPr>
          <w:sz w:val="20"/>
          <w:szCs w:val="20"/>
          <w:color w:val="auto"/>
        </w:rPr>
      </w:pPr>
      <w:r>
        <w:rPr>
          <w:rFonts w:ascii="Courier New" w:cs="Courier New" w:eastAsia="Courier New" w:hAnsi="Courier New"/>
          <w:sz w:val="18"/>
          <w:szCs w:val="18"/>
          <w:color w:val="auto"/>
        </w:rPr>
        <w:t>the securities and were not acquired and are not held in connection with or</w:t>
      </w:r>
    </w:p>
    <w:p>
      <w:pPr>
        <w:spacing w:after="0" w:line="238" w:lineRule="auto"/>
        <w:rPr>
          <w:sz w:val="20"/>
          <w:szCs w:val="20"/>
          <w:color w:val="auto"/>
        </w:rPr>
      </w:pPr>
      <w:r>
        <w:rPr>
          <w:rFonts w:ascii="Courier New" w:cs="Courier New" w:eastAsia="Courier New" w:hAnsi="Courier New"/>
          <w:sz w:val="18"/>
          <w:szCs w:val="18"/>
          <w:color w:val="auto"/>
        </w:rPr>
        <w:t>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999" w:firstLine="843"/>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correct.</w:t>
      </w:r>
    </w:p>
    <w:p>
      <w:pPr>
        <w:spacing w:after="0" w:line="238" w:lineRule="auto"/>
        <w:rPr>
          <w:sz w:val="20"/>
          <w:szCs w:val="20"/>
          <w:color w:val="auto"/>
        </w:rPr>
      </w:pPr>
      <w:r>
        <w:rPr>
          <w:rFonts w:ascii="Courier New" w:cs="Courier New" w:eastAsia="Courier New" w:hAnsi="Courier New"/>
          <w:sz w:val="18"/>
          <w:szCs w:val="18"/>
          <w:color w:val="auto"/>
        </w:rPr>
        <w:t>ARIEL INVESTMENTS, LLC</w:t>
      </w: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line="237" w:lineRule="auto"/>
        <w:rPr>
          <w:sz w:val="20"/>
          <w:szCs w:val="20"/>
          <w:color w:val="auto"/>
        </w:rPr>
      </w:pPr>
      <w:r>
        <w:rPr>
          <w:rFonts w:ascii="Courier New" w:cs="Courier New" w:eastAsia="Courier New" w:hAnsi="Courier New"/>
          <w:sz w:val="18"/>
          <w:szCs w:val="18"/>
          <w:color w:val="auto"/>
        </w:rPr>
        <w:t>________________________________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Wendy D. Fox</w:t>
      </w:r>
    </w:p>
    <w:p>
      <w:pPr>
        <w:ind w:left="860"/>
        <w:spacing w:after="0"/>
        <w:rPr>
          <w:sz w:val="20"/>
          <w:szCs w:val="20"/>
          <w:color w:val="auto"/>
        </w:rPr>
      </w:pPr>
      <w:r>
        <w:rPr>
          <w:rFonts w:ascii="Courier New" w:cs="Courier New" w:eastAsia="Courier New" w:hAnsi="Courier New"/>
          <w:sz w:val="18"/>
          <w:szCs w:val="18"/>
          <w:color w:val="auto"/>
        </w:rPr>
        <w:t>Vice President/Chief Compliance Officer</w:t>
      </w:r>
    </w:p>
    <w:p>
      <w:pPr>
        <w:spacing w:after="0" w:line="20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2019-12-05T22:07:29Z</dcterms:created>
  <dcterms:modified xsi:type="dcterms:W3CDTF">2019-12-05T22:07:29Z</dcterms:modified>
</cp:coreProperties>
</file>