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 1745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(12-02)Persons who respond to the collection of information contained in this</w:t>
      </w:r>
    </w:p>
    <w:p>
      <w:pPr>
        <w:spacing w:after="0"/>
        <w:rPr>
          <w:sz w:val="20"/>
          <w:szCs w:val="20"/>
          <w:color w:val="auto"/>
        </w:rPr>
      </w:pPr>
      <w:r>
        <w:rPr>
          <w:rFonts w:ascii="Courier New" w:cs="Courier New" w:eastAsia="Courier New" w:hAnsi="Courier New"/>
          <w:sz w:val="16"/>
          <w:szCs w:val="16"/>
          <w:color w:val="auto"/>
        </w:rPr>
        <w:t>form are not required to respond unless the form displays a currently valid OMB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control number</w:t>
      </w:r>
    </w:p>
    <w:p>
      <w:pPr>
        <w:spacing w:after="0" w:line="169"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OMB APPROVALOMB NUMBER:</w:t>
      </w:r>
      <w:r>
        <w:rPr>
          <w:sz w:val="20"/>
          <w:szCs w:val="20"/>
          <w:color w:val="auto"/>
        </w:rPr>
        <w:tab/>
      </w:r>
      <w:r>
        <w:rPr>
          <w:rFonts w:ascii="Courier New" w:cs="Courier New" w:eastAsia="Courier New" w:hAnsi="Courier New"/>
          <w:sz w:val="16"/>
          <w:szCs w:val="16"/>
          <w:color w:val="auto"/>
        </w:rPr>
        <w:t>3235-0145Expires: 12/31/2007Estimated average burden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Hours per response...11</w:t>
      </w:r>
    </w:p>
    <w:p>
      <w:pPr>
        <w:spacing w:after="0" w:line="238" w:lineRule="auto"/>
        <w:rPr>
          <w:sz w:val="20"/>
          <w:szCs w:val="20"/>
          <w:color w:val="auto"/>
        </w:rPr>
      </w:pPr>
      <w:r>
        <w:rPr>
          <w:rFonts w:ascii="Courier New" w:cs="Courier New" w:eastAsia="Courier New" w:hAnsi="Courier New"/>
          <w:sz w:val="18"/>
          <w:szCs w:val="18"/>
          <w:color w:val="auto"/>
        </w:rPr>
        <w:t>UNITED STATES</w:t>
      </w: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No.21)*</w:t>
      </w:r>
    </w:p>
    <w:p>
      <w:pPr>
        <w:spacing w:after="0" w:line="238"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104674106</w:t>
      </w: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12/31/2007</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169" w:lineRule="exact"/>
        <w:rPr>
          <w:sz w:val="24"/>
          <w:szCs w:val="24"/>
          <w:color w:val="auto"/>
        </w:rPr>
      </w:pPr>
    </w:p>
    <w:p>
      <w:pPr>
        <w:jc w:val="both"/>
        <w:ind w:right="2099"/>
        <w:spacing w:after="0" w:line="24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 w:lineRule="exact"/>
        <w:rPr>
          <w:sz w:val="24"/>
          <w:szCs w:val="24"/>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29"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CAPITAL MANAGEMENT,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02-07124182.</w:t>
      </w:r>
    </w:p>
    <w:p>
      <w:pPr>
        <w:ind w:left="860" w:right="3779"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right="5579" w:hanging="852"/>
        <w:spacing w:after="0" w:line="515"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 Limited Liability Company</w:t>
      </w:r>
    </w:p>
    <w:p>
      <w:pPr>
        <w:spacing w:after="0"/>
        <w:rPr>
          <w:sz w:val="20"/>
          <w:szCs w:val="20"/>
          <w:color w:val="auto"/>
        </w:rPr>
      </w:pPr>
      <w:r>
        <w:rPr>
          <w:rFonts w:ascii="Courier New" w:cs="Courier New" w:eastAsia="Courier New" w:hAnsi="Courier New"/>
          <w:sz w:val="18"/>
          <w:szCs w:val="18"/>
          <w:color w:val="auto"/>
        </w:rPr>
        <w:t>Number of</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Beneficially Owned By</w:t>
      </w:r>
    </w:p>
    <w:p>
      <w:pPr>
        <w:spacing w:after="0" w:line="238" w:lineRule="auto"/>
        <w:rPr>
          <w:sz w:val="20"/>
          <w:szCs w:val="20"/>
          <w:color w:val="auto"/>
        </w:rPr>
      </w:pPr>
      <w:r>
        <w:rPr>
          <w:rFonts w:ascii="Courier New" w:cs="Courier New" w:eastAsia="Courier New" w:hAnsi="Courier New"/>
          <w:sz w:val="18"/>
          <w:szCs w:val="18"/>
          <w:color w:val="auto"/>
        </w:rPr>
        <w:t>Each Reporting Person With</w:t>
      </w: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7,091,068</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9,105,868</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9,110,603</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ind w:left="860" w:right="4199" w:hanging="852"/>
        <w:spacing w:after="0" w:line="376"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9,110,603/50,867,054=17.9%</w:t>
      </w:r>
    </w:p>
    <w:p>
      <w:pPr>
        <w:ind w:left="860" w:right="6319" w:hanging="852"/>
        <w:spacing w:after="0" w:line="309"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ectPr>
          <w:pgSz w:w="11900" w:h="16838" w:orient="portrait"/>
          <w:cols w:equalWidth="0" w:num="1">
            <w:col w:w="10219"/>
          </w:cols>
          <w:pgMar w:left="240" w:top="218"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 IA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169"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Ariel Capital Management, LLC</w:t>
      </w:r>
    </w:p>
    <w:p>
      <w:pPr>
        <w:spacing w:after="0" w:line="30" w:lineRule="exact"/>
        <w:rPr>
          <w:rFonts w:ascii="Courier New" w:cs="Courier New" w:eastAsia="Courier New" w:hAnsi="Courier New"/>
          <w:sz w:val="18"/>
          <w:szCs w:val="18"/>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Drive, Suite 2900, Chicago, IL 60601</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69"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30" w:lineRule="exact"/>
        <w:rPr>
          <w:rFonts w:ascii="Courier New" w:cs="Courier New" w:eastAsia="Courier New" w:hAnsi="Courier New"/>
          <w:sz w:val="18"/>
          <w:szCs w:val="18"/>
          <w:color w:val="auto"/>
        </w:rPr>
      </w:pPr>
    </w:p>
    <w:p>
      <w:pPr>
        <w:ind w:left="860" w:right="641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1700" w:right="2319" w:hanging="1692"/>
        <w:spacing w:after="0" w:line="257"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w:t>
      </w:r>
    </w:p>
    <w:p>
      <w:pPr>
        <w:ind w:left="1700" w:right="1579"/>
        <w:spacing w:after="0" w:line="268" w:lineRule="auto"/>
        <w:rPr>
          <w:sz w:val="20"/>
          <w:szCs w:val="20"/>
          <w:color w:val="auto"/>
        </w:rPr>
      </w:pPr>
      <w:r>
        <w:rPr>
          <w:rFonts w:ascii="Courier New" w:cs="Courier New" w:eastAsia="Courier New" w:hAnsi="Courier New"/>
          <w:sz w:val="16"/>
          <w:szCs w:val="16"/>
          <w:color w:val="auto"/>
        </w:rPr>
        <w:t>Act(15 U.S.C. 78c).(d) [_] Investment company registered under section 8 of the Investment Company Act of 1940 (15 U.S.C. 80a-8).</w:t>
      </w:r>
    </w:p>
    <w:p>
      <w:pPr>
        <w:ind w:left="1700" w:right="345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ind w:left="1700" w:right="209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?240.13d-1(b)(1)(ii)(F);</w:t>
      </w:r>
    </w:p>
    <w:p>
      <w:pPr>
        <w:ind w:left="1700" w:right="209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?240.13d-1(b)(1)(ii)(G);</w:t>
      </w:r>
    </w:p>
    <w:p>
      <w:pPr>
        <w:ind w:left="1700" w:right="177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ind w:left="1700" w:right="1359" w:hanging="1692"/>
        <w:spacing w:after="0" w:line="238"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ind w:right="1359" w:firstLine="1686"/>
        <w:spacing w:after="0" w:line="238"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700" w:right="577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2, No. 9)</w:t>
      </w:r>
    </w:p>
    <w:p>
      <w:pPr>
        <w:ind w:left="1700" w:right="641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right="4319" w:hanging="849"/>
        <w:spacing w:after="0" w:line="238"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Page 2, No. 5)</w:t>
      </w:r>
    </w:p>
    <w:p>
      <w:pPr>
        <w:ind w:left="1700" w:right="4099" w:hanging="849"/>
        <w:spacing w:after="0" w:line="238"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Page 2, No. 6)</w:t>
      </w:r>
    </w:p>
    <w:p>
      <w:pPr>
        <w:ind w:left="1700" w:right="2939" w:hanging="849"/>
        <w:spacing w:after="0" w:line="238"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Page 2, No. 7)</w:t>
      </w:r>
    </w:p>
    <w:p>
      <w:pPr>
        <w:ind w:left="1700" w:right="2739" w:hanging="849"/>
        <w:spacing w:after="0" w:line="238"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Page 2,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w:t>
      </w:r>
    </w:p>
    <w:tbl>
      <w:tblPr>
        <w:tblLayout w:type="fixed"/>
        <w:tblInd w:w="0" w:type="dxa"/>
        <w:tblCellMar>
          <w:top w:w="0" w:type="dxa"/>
          <w:left w:w="0" w:type="dxa"/>
          <w:bottom w:w="0" w:type="dxa"/>
          <w:right w:w="0" w:type="dxa"/>
        </w:tblCellMar>
      </w:tblPr>
      <w:tr>
        <w:trPr>
          <w:trHeight w:val="171"/>
        </w:trPr>
        <w:tc>
          <w:tcPr>
            <w:tcW w:w="2700" w:type="dxa"/>
            <w:vAlign w:val="bottom"/>
            <w:gridSpan w:val="4"/>
          </w:tcPr>
          <w:p>
            <w:pPr>
              <w:spacing w:after="0" w:line="171" w:lineRule="exact"/>
              <w:rPr>
                <w:sz w:val="20"/>
                <w:szCs w:val="20"/>
                <w:color w:val="auto"/>
              </w:rPr>
            </w:pPr>
            <w:r>
              <w:rPr>
                <w:rFonts w:ascii="Courier New" w:cs="Courier New" w:eastAsia="Courier New" w:hAnsi="Courier New"/>
                <w:sz w:val="18"/>
                <w:szCs w:val="18"/>
                <w:color w:val="auto"/>
                <w:w w:val="99"/>
              </w:rPr>
              <w:t>date hereof the reporting</w:t>
            </w:r>
          </w:p>
        </w:tc>
        <w:tc>
          <w:tcPr>
            <w:tcW w:w="1900" w:type="dxa"/>
            <w:vAlign w:val="bottom"/>
            <w:gridSpan w:val="2"/>
          </w:tcPr>
          <w:p>
            <w:pPr>
              <w:ind w:left="40"/>
              <w:spacing w:after="0" w:line="171" w:lineRule="exact"/>
              <w:rPr>
                <w:sz w:val="20"/>
                <w:szCs w:val="20"/>
                <w:color w:val="auto"/>
              </w:rPr>
            </w:pPr>
            <w:r>
              <w:rPr>
                <w:rFonts w:ascii="Courier New" w:cs="Courier New" w:eastAsia="Courier New" w:hAnsi="Courier New"/>
                <w:sz w:val="18"/>
                <w:szCs w:val="18"/>
                <w:color w:val="auto"/>
              </w:rPr>
              <w:t>person has ceased</w:t>
            </w:r>
          </w:p>
        </w:tc>
        <w:tc>
          <w:tcPr>
            <w:tcW w:w="22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8"/>
              </w:rPr>
              <w:t>to be the beneficial</w:t>
            </w:r>
          </w:p>
        </w:tc>
        <w:tc>
          <w:tcPr>
            <w:tcW w:w="142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95"/>
              </w:rPr>
              <w:t>owner of more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class</w:t>
            </w: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 securities check the following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[_].</w:t>
            </w:r>
          </w:p>
        </w:tc>
      </w:tr>
      <w:tr>
        <w:trPr>
          <w:trHeight w:val="23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6. Ownership</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More</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than</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Five Percent</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w w:val="98"/>
              </w:rPr>
              <w:t>on Behalf of Another</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Person.</w:t>
            </w:r>
          </w:p>
        </w:tc>
      </w:tr>
    </w:tbl>
    <w:p>
      <w:pPr>
        <w:ind w:right="1679" w:firstLine="843"/>
        <w:spacing w:after="0" w:line="238" w:lineRule="auto"/>
        <w:rPr>
          <w:sz w:val="20"/>
          <w:szCs w:val="20"/>
          <w:color w:val="auto"/>
        </w:rPr>
      </w:pPr>
      <w:r>
        <w:rPr>
          <w:rFonts w:ascii="Courier New" w:cs="Courier New" w:eastAsia="Courier New" w:hAnsi="Courier New"/>
          <w:sz w:val="18"/>
          <w:szCs w:val="18"/>
          <w:color w:val="auto"/>
        </w:rPr>
        <w:t>Ariel Capital Management, LLC's adviser clients have the right to receive or the power to direct the receipt of dividends from, or the proceeds from the sale of, all securities reported upon this Schedule. Ariel Fund, a series of Ariel Investment Trust, an open-end management investment company, has an economic interest in more than 5% of the subject securities reported upon this Schedule.</w:t>
      </w:r>
    </w:p>
    <w:p>
      <w:pPr>
        <w:spacing w:after="0" w:line="2"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4680" w:type="dxa"/>
            <w:vAlign w:val="bottom"/>
          </w:tcPr>
          <w:p>
            <w:pPr>
              <w:ind w:left="840"/>
              <w:spacing w:after="0" w:line="171"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of the Group.</w:t>
            </w: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8. Identification and Classification of Members</w:t>
            </w: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Item 10.</w:t>
            </w: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4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Certifications.</w:t>
            </w:r>
          </w:p>
        </w:tc>
        <w:tc>
          <w:tcPr>
            <w:tcW w:w="29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of my knowledge and belief,</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 best</w:t>
            </w: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securities referred to above were acquired and are held in the ordinary</w:t>
            </w: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course of business and were not acquired and are not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held for the purpose</w:t>
            </w:r>
          </w:p>
        </w:tc>
        <w:tc>
          <w:tcPr>
            <w:tcW w:w="0" w:type="dxa"/>
            <w:vAlign w:val="bottom"/>
          </w:tcPr>
          <w:p>
            <w:pPr>
              <w:spacing w:after="0"/>
              <w:rPr>
                <w:sz w:val="1"/>
                <w:szCs w:val="1"/>
                <w:color w:val="auto"/>
              </w:rPr>
            </w:pPr>
          </w:p>
        </w:tc>
      </w:tr>
      <w:tr>
        <w:trPr>
          <w:trHeight w:val="296"/>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w w:val="98"/>
              </w:rPr>
              <w:t>of or with the effect of changing or influencing the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control of the issuer of</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2" w:name="page3"/>
    <w:bookmarkEnd w:id="2"/>
    <w:p>
      <w:pPr>
        <w:ind w:right="2319"/>
        <w:spacing w:after="0" w:line="347" w:lineRule="auto"/>
        <w:rPr>
          <w:sz w:val="20"/>
          <w:szCs w:val="20"/>
          <w:color w:val="auto"/>
        </w:rPr>
      </w:pPr>
      <w:r>
        <w:rPr>
          <w:rFonts w:ascii="Courier New" w:cs="Courier New" w:eastAsia="Courier New" w:hAnsi="Courier New"/>
          <w:sz w:val="18"/>
          <w:szCs w:val="18"/>
          <w:color w:val="auto"/>
        </w:rPr>
        <w:t>the securities and were not acquired and are not held in connection with or as a participant in any transaction having that purpose or effect.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jc w:val="both"/>
        <w:ind w:right="1999" w:firstLine="843"/>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rPr>
          <w:sz w:val="20"/>
          <w:szCs w:val="20"/>
          <w:color w:val="auto"/>
        </w:rPr>
      </w:pPr>
      <w:r>
        <w:rPr>
          <w:rFonts w:ascii="Courier New" w:cs="Courier New" w:eastAsia="Courier New" w:hAnsi="Courier New"/>
          <w:sz w:val="18"/>
          <w:szCs w:val="18"/>
          <w:color w:val="auto"/>
        </w:rPr>
        <w:t>ARIEL CAPITAL MANAGEMENT,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Wendy D. Fox</w:t>
      </w:r>
    </w:p>
    <w:p>
      <w:pPr>
        <w:ind w:left="860"/>
        <w:spacing w:after="0"/>
        <w:rPr>
          <w:sz w:val="20"/>
          <w:szCs w:val="20"/>
          <w:color w:val="auto"/>
        </w:rPr>
      </w:pPr>
      <w:r>
        <w:rPr>
          <w:rFonts w:ascii="Courier New" w:cs="Courier New" w:eastAsia="Courier New" w:hAnsi="Courier New"/>
          <w:sz w:val="18"/>
          <w:szCs w:val="18"/>
          <w:color w:val="auto"/>
        </w:rPr>
        <w:t>Vice President/Chief Compliance Officer</w:t>
      </w:r>
    </w:p>
    <w:p>
      <w:pPr>
        <w:spacing w:after="0" w:line="169"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5"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2019-12-13T14:04:53Z</dcterms:created>
  <dcterms:modified xsi:type="dcterms:W3CDTF">2019-12-13T14:04:53Z</dcterms:modified>
</cp:coreProperties>
</file>