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254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5411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PUNGELLO ELIZABETH P</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02/03/2010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0"/>
        <w:spacing w:after="0"/>
        <w:tabs>
          <w:tab w:leader="none" w:pos="529" w:val="left"/>
          <w:tab w:leader="none" w:pos="214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0"/>
        <w:spacing w:after="0"/>
        <w:tabs>
          <w:tab w:leader="none" w:pos="214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7"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CHAPEL HILL</w:t>
            </w:r>
          </w:p>
        </w:tc>
        <w:tc>
          <w:tcPr>
            <w:tcW w:w="920" w:type="dxa"/>
            <w:vAlign w:val="bottom"/>
          </w:tcPr>
          <w:p>
            <w:pPr>
              <w:ind w:left="80"/>
              <w:spacing w:after="0"/>
              <w:rPr>
                <w:sz w:val="20"/>
                <w:szCs w:val="20"/>
                <w:color w:val="auto"/>
              </w:rPr>
            </w:pPr>
            <w:r>
              <w:rPr>
                <w:rFonts w:ascii="Arial" w:cs="Arial" w:eastAsia="Arial" w:hAnsi="Arial"/>
                <w:sz w:val="17"/>
                <w:szCs w:val="17"/>
                <w:color w:val="0000FF"/>
              </w:rPr>
              <w:t>NC</w:t>
            </w:r>
          </w:p>
        </w:tc>
        <w:tc>
          <w:tcPr>
            <w:tcW w:w="1660" w:type="dxa"/>
            <w:vAlign w:val="bottom"/>
          </w:tcPr>
          <w:p>
            <w:pPr>
              <w:ind w:left="440"/>
              <w:spacing w:after="0"/>
              <w:rPr>
                <w:sz w:val="20"/>
                <w:szCs w:val="20"/>
                <w:color w:val="auto"/>
              </w:rPr>
            </w:pPr>
            <w:r>
              <w:rPr>
                <w:rFonts w:ascii="Arial" w:cs="Arial" w:eastAsia="Arial" w:hAnsi="Arial"/>
                <w:sz w:val="17"/>
                <w:szCs w:val="17"/>
                <w:color w:val="0000FF"/>
              </w:rPr>
              <w:t>27514</w:t>
            </w:r>
          </w:p>
        </w:tc>
      </w:tr>
      <w:tr>
        <w:trPr>
          <w:trHeight w:val="154"/>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6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2"/>
              </w:rPr>
              <w:t>Class A Common Stock (Robert and</w:t>
            </w: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7"/>
                <w:szCs w:val="17"/>
                <w:color w:val="0000FF"/>
                <w:w w:val="88"/>
              </w:rPr>
              <w:t>435,706</w:t>
            </w:r>
            <w:r>
              <w:rPr>
                <w:rFonts w:ascii="Arial" w:cs="Arial" w:eastAsia="Arial" w:hAnsi="Arial"/>
                <w:sz w:val="22"/>
                <w:szCs w:val="22"/>
                <w:color w:val="008000"/>
                <w:w w:val="88"/>
                <w:vertAlign w:val="superscript"/>
              </w:rPr>
              <w:t>(1)</w:t>
            </w:r>
          </w:p>
        </w:tc>
        <w:tc>
          <w:tcPr>
            <w:tcW w:w="580" w:type="dxa"/>
            <w:vAlign w:val="bottom"/>
            <w:vMerge w:val="restart"/>
          </w:tcPr>
          <w:p>
            <w:pPr>
              <w:jc w:val="center"/>
              <w:ind w:right="34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20" w:type="dxa"/>
            <w:vAlign w:val="bottom"/>
            <w:gridSpan w:val="3"/>
            <w:vMerge w:val="restart"/>
          </w:tcPr>
          <w:p>
            <w:pPr>
              <w:ind w:left="60"/>
              <w:spacing w:after="0"/>
              <w:rPr>
                <w:sz w:val="20"/>
                <w:szCs w:val="20"/>
                <w:color w:val="auto"/>
              </w:rPr>
            </w:pPr>
            <w:r>
              <w:rPr>
                <w:rFonts w:ascii="Arial" w:cs="Arial" w:eastAsia="Arial" w:hAnsi="Arial"/>
                <w:sz w:val="17"/>
                <w:szCs w:val="17"/>
                <w:color w:val="0000FF"/>
              </w:rPr>
              <w:t>Elizabeth Pungello JTWROS)</w:t>
            </w: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2"/>
              </w:rPr>
              <w:t>Class A Common Stock (Robert and</w:t>
            </w: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7"/>
                <w:szCs w:val="17"/>
                <w:color w:val="0000FF"/>
                <w:w w:val="88"/>
              </w:rPr>
              <w:t>430,706</w:t>
            </w:r>
            <w:r>
              <w:rPr>
                <w:rFonts w:ascii="Arial" w:cs="Arial" w:eastAsia="Arial" w:hAnsi="Arial"/>
                <w:sz w:val="22"/>
                <w:szCs w:val="22"/>
                <w:color w:val="008000"/>
                <w:w w:val="88"/>
                <w:vertAlign w:val="superscript"/>
              </w:rPr>
              <w:t>(1)</w:t>
            </w:r>
          </w:p>
        </w:tc>
        <w:tc>
          <w:tcPr>
            <w:tcW w:w="580" w:type="dxa"/>
            <w:vAlign w:val="bottom"/>
            <w:vMerge w:val="restart"/>
          </w:tcPr>
          <w:p>
            <w:pPr>
              <w:jc w:val="center"/>
              <w:ind w:right="34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20" w:type="dxa"/>
            <w:vAlign w:val="bottom"/>
            <w:gridSpan w:val="3"/>
            <w:vMerge w:val="restart"/>
          </w:tcPr>
          <w:p>
            <w:pPr>
              <w:ind w:left="60"/>
              <w:spacing w:after="0"/>
              <w:rPr>
                <w:sz w:val="20"/>
                <w:szCs w:val="20"/>
                <w:color w:val="auto"/>
              </w:rPr>
            </w:pPr>
            <w:r>
              <w:rPr>
                <w:rFonts w:ascii="Arial" w:cs="Arial" w:eastAsia="Arial" w:hAnsi="Arial"/>
                <w:sz w:val="17"/>
                <w:szCs w:val="17"/>
                <w:color w:val="0000FF"/>
              </w:rPr>
              <w:t>Elizabeth Pungello JTWROS)</w:t>
            </w: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gridSpan w:val="4"/>
          </w:tcPr>
          <w:p>
            <w:pPr>
              <w:ind w:left="60"/>
              <w:spacing w:after="0"/>
              <w:rPr>
                <w:sz w:val="20"/>
                <w:szCs w:val="20"/>
                <w:color w:val="auto"/>
              </w:rPr>
            </w:pPr>
            <w:r>
              <w:rPr>
                <w:rFonts w:ascii="Arial" w:cs="Arial" w:eastAsia="Arial" w:hAnsi="Arial"/>
                <w:sz w:val="17"/>
                <w:szCs w:val="17"/>
                <w:color w:val="0000FF"/>
              </w:rPr>
              <w:t>Class B Common Stock (Brady Corporation</w:t>
            </w: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7"/>
                <w:szCs w:val="17"/>
                <w:color w:val="0000FF"/>
                <w:w w:val="87"/>
              </w:rPr>
              <w:t>1,769,304</w:t>
            </w:r>
            <w:r>
              <w:rPr>
                <w:rFonts w:ascii="Arial" w:cs="Arial" w:eastAsia="Arial" w:hAnsi="Arial"/>
                <w:sz w:val="22"/>
                <w:szCs w:val="22"/>
                <w:color w:val="008000"/>
                <w:w w:val="87"/>
                <w:vertAlign w:val="superscript"/>
              </w:rPr>
              <w:t>(2)</w:t>
            </w:r>
          </w:p>
        </w:tc>
        <w:tc>
          <w:tcPr>
            <w:tcW w:w="580" w:type="dxa"/>
            <w:vAlign w:val="bottom"/>
            <w:vMerge w:val="restart"/>
          </w:tcPr>
          <w:p>
            <w:pPr>
              <w:jc w:val="center"/>
              <w:ind w:right="329"/>
              <w:spacing w:after="0"/>
              <w:rPr>
                <w:sz w:val="20"/>
                <w:szCs w:val="20"/>
                <w:color w:val="auto"/>
              </w:rPr>
            </w:pPr>
            <w:r>
              <w:rPr>
                <w:rFonts w:ascii="Arial" w:cs="Arial" w:eastAsia="Arial" w:hAnsi="Arial"/>
                <w:sz w:val="17"/>
                <w:szCs w:val="17"/>
                <w:color w:val="0000FF"/>
              </w:rPr>
              <w:t>I</w:t>
            </w: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Class B Stock Trust)</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(EBL Inheritance</w:t>
            </w: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gridSpan w:val="2"/>
            <w:vMerge w:val="restart"/>
          </w:tcPr>
          <w:p>
            <w:pPr>
              <w:jc w:val="center"/>
              <w:ind w:left="303"/>
              <w:spacing w:after="0"/>
              <w:rPr>
                <w:sz w:val="20"/>
                <w:szCs w:val="20"/>
                <w:color w:val="auto"/>
              </w:rPr>
            </w:pPr>
            <w:r>
              <w:rPr>
                <w:rFonts w:ascii="Arial" w:cs="Arial" w:eastAsia="Arial" w:hAnsi="Arial"/>
                <w:sz w:val="34"/>
                <w:szCs w:val="34"/>
                <w:color w:val="0000FF"/>
                <w:w w:val="77"/>
                <w:vertAlign w:val="subscript"/>
              </w:rPr>
              <w:t>30</w:t>
            </w:r>
            <w:r>
              <w:rPr>
                <w:rFonts w:ascii="Arial" w:cs="Arial" w:eastAsia="Arial" w:hAnsi="Arial"/>
                <w:sz w:val="11"/>
                <w:szCs w:val="11"/>
                <w:color w:val="008000"/>
                <w:w w:val="77"/>
              </w:rPr>
              <w:t>(2)</w:t>
            </w:r>
          </w:p>
        </w:tc>
        <w:tc>
          <w:tcPr>
            <w:tcW w:w="780" w:type="dxa"/>
            <w:vAlign w:val="bottom"/>
          </w:tcPr>
          <w:p>
            <w:pPr>
              <w:spacing w:after="0"/>
              <w:rPr>
                <w:sz w:val="22"/>
                <w:szCs w:val="22"/>
                <w:color w:val="auto"/>
              </w:rPr>
            </w:pPr>
          </w:p>
        </w:tc>
        <w:tc>
          <w:tcPr>
            <w:tcW w:w="580" w:type="dxa"/>
            <w:vAlign w:val="bottom"/>
            <w:vMerge w:val="restart"/>
          </w:tcPr>
          <w:p>
            <w:pPr>
              <w:jc w:val="center"/>
              <w:ind w:right="329"/>
              <w:spacing w:after="0"/>
              <w:rPr>
                <w:sz w:val="20"/>
                <w:szCs w:val="20"/>
                <w:color w:val="auto"/>
              </w:rPr>
            </w:pPr>
            <w:r>
              <w:rPr>
                <w:rFonts w:ascii="Arial" w:cs="Arial" w:eastAsia="Arial" w:hAnsi="Arial"/>
                <w:sz w:val="17"/>
                <w:szCs w:val="17"/>
                <w:color w:val="0000FF"/>
              </w:rPr>
              <w:t>I</w:t>
            </w: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Trust)</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(Elizabeth B. Lurie</w:t>
            </w: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80" w:type="dxa"/>
            <w:vAlign w:val="bottom"/>
            <w:gridSpan w:val="3"/>
            <w:vMerge w:val="restart"/>
          </w:tcPr>
          <w:p>
            <w:pPr>
              <w:jc w:val="center"/>
              <w:ind w:right="360"/>
              <w:spacing w:after="0"/>
              <w:rPr>
                <w:sz w:val="20"/>
                <w:szCs w:val="20"/>
                <w:color w:val="auto"/>
              </w:rPr>
            </w:pPr>
            <w:r>
              <w:rPr>
                <w:rFonts w:ascii="Arial" w:cs="Arial" w:eastAsia="Arial" w:hAnsi="Arial"/>
                <w:sz w:val="17"/>
                <w:szCs w:val="17"/>
                <w:color w:val="0000FF"/>
                <w:w w:val="91"/>
              </w:rPr>
              <w:t>876,796</w:t>
            </w:r>
          </w:p>
        </w:tc>
        <w:tc>
          <w:tcPr>
            <w:tcW w:w="580" w:type="dxa"/>
            <w:vAlign w:val="bottom"/>
            <w:vMerge w:val="restart"/>
          </w:tcPr>
          <w:p>
            <w:pPr>
              <w:jc w:val="center"/>
              <w:ind w:right="329"/>
              <w:spacing w:after="0"/>
              <w:rPr>
                <w:sz w:val="20"/>
                <w:szCs w:val="20"/>
                <w:color w:val="auto"/>
              </w:rPr>
            </w:pPr>
            <w:r>
              <w:rPr>
                <w:rFonts w:ascii="Arial" w:cs="Arial" w:eastAsia="Arial" w:hAnsi="Arial"/>
                <w:sz w:val="17"/>
                <w:szCs w:val="17"/>
                <w:color w:val="0000FF"/>
              </w:rPr>
              <w:t>I</w:t>
            </w: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7"/>
                <w:szCs w:val="17"/>
                <w:color w:val="0000FF"/>
              </w:rPr>
              <w:t>Living Trust)</w:t>
            </w: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jc w:val="right"/>
              <w:ind w:righ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 Derivative</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 (Instr. 3 and</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0000FF"/>
                <w:w w:val="91"/>
              </w:rPr>
              <w:t>0.0071</w:t>
            </w:r>
            <w:r>
              <w:rPr>
                <w:rFonts w:ascii="Arial" w:cs="Arial" w:eastAsia="Arial" w:hAnsi="Arial"/>
                <w:sz w:val="22"/>
                <w:szCs w:val="22"/>
                <w:color w:val="008000"/>
                <w:w w:val="91"/>
                <w:vertAlign w:val="superscript"/>
              </w:rPr>
              <w:t>(3)</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vMerge w:val="restart"/>
          </w:tcPr>
          <w:p>
            <w:pPr>
              <w:ind w:left="40"/>
              <w:spacing w:after="0"/>
              <w:rPr>
                <w:sz w:val="20"/>
                <w:szCs w:val="20"/>
                <w:color w:val="auto"/>
              </w:rPr>
            </w:pPr>
            <w:r>
              <w:rPr>
                <w:rFonts w:ascii="Arial" w:cs="Arial" w:eastAsia="Arial" w:hAnsi="Arial"/>
                <w:sz w:val="13"/>
                <w:szCs w:val="13"/>
                <w:color w:val="0000FF"/>
                <w:w w:val="86"/>
              </w:rPr>
              <w:t>2,092.9608</w:t>
            </w:r>
            <w:r>
              <w:rPr>
                <w:rFonts w:ascii="Arial" w:cs="Arial" w:eastAsia="Arial" w:hAnsi="Arial"/>
                <w:sz w:val="22"/>
                <w:szCs w:val="22"/>
                <w:color w:val="008000"/>
                <w:w w:val="86"/>
                <w:vertAlign w:val="superscript"/>
              </w:rPr>
              <w:t>(4)</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Comp</w:t>
            </w:r>
          </w:p>
        </w:tc>
        <w:tc>
          <w:tcPr>
            <w:tcW w:w="840" w:type="dxa"/>
            <w:vAlign w:val="bottom"/>
            <w:vMerge w:val="continue"/>
          </w:tcPr>
          <w:p>
            <w:pPr>
              <w:spacing w:after="0"/>
              <w:rPr>
                <w:sz w:val="12"/>
                <w:szCs w:val="12"/>
                <w:color w:val="auto"/>
              </w:rPr>
            </w:pPr>
          </w:p>
        </w:tc>
        <w:tc>
          <w:tcPr>
            <w:tcW w:w="1080" w:type="dxa"/>
            <w:vAlign w:val="bottom"/>
          </w:tcPr>
          <w:p>
            <w:pPr>
              <w:jc w:val="right"/>
              <w:ind w:right="179"/>
              <w:spacing w:after="0" w:line="146" w:lineRule="exact"/>
              <w:rPr>
                <w:sz w:val="20"/>
                <w:szCs w:val="20"/>
                <w:color w:val="auto"/>
              </w:rPr>
            </w:pPr>
            <w:r>
              <w:rPr>
                <w:rFonts w:ascii="Arial" w:cs="Arial" w:eastAsia="Arial" w:hAnsi="Arial"/>
                <w:sz w:val="13"/>
                <w:szCs w:val="13"/>
                <w:color w:val="0000FF"/>
              </w:rPr>
              <w:t>02/26/2010</w:t>
            </w:r>
          </w:p>
        </w:tc>
        <w:tc>
          <w:tcPr>
            <w:tcW w:w="1120" w:type="dxa"/>
            <w:vAlign w:val="bottom"/>
          </w:tcPr>
          <w:p>
            <w:pPr>
              <w:spacing w:after="0"/>
              <w:rPr>
                <w:sz w:val="12"/>
                <w:szCs w:val="12"/>
                <w:color w:val="auto"/>
              </w:rPr>
            </w:pPr>
          </w:p>
        </w:tc>
        <w:tc>
          <w:tcPr>
            <w:tcW w:w="740" w:type="dxa"/>
            <w:vAlign w:val="bottom"/>
          </w:tcPr>
          <w:p>
            <w:pPr>
              <w:ind w:left="180"/>
              <w:spacing w:after="0" w:line="146"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6" w:lineRule="exact"/>
              <w:rPr>
                <w:sz w:val="20"/>
                <w:szCs w:val="20"/>
                <w:color w:val="auto"/>
              </w:rPr>
            </w:pPr>
            <w:r>
              <w:rPr>
                <w:rFonts w:ascii="Arial" w:cs="Arial" w:eastAsia="Arial" w:hAnsi="Arial"/>
                <w:sz w:val="13"/>
                <w:szCs w:val="13"/>
                <w:color w:val="0000FF"/>
              </w:rPr>
              <w:t>0.0071</w:t>
            </w:r>
          </w:p>
        </w:tc>
        <w:tc>
          <w:tcPr>
            <w:tcW w:w="3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12"/>
                <w:szCs w:val="12"/>
                <w:color w:val="auto"/>
              </w:rPr>
            </w:pPr>
          </w:p>
        </w:tc>
        <w:tc>
          <w:tcPr>
            <w:tcW w:w="800" w:type="dxa"/>
            <w:vAlign w:val="bottom"/>
            <w:gridSpan w:val="2"/>
          </w:tcPr>
          <w:p>
            <w:pPr>
              <w:jc w:val="right"/>
              <w:ind w:right="2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28.14</w:t>
            </w:r>
          </w:p>
        </w:tc>
        <w:tc>
          <w:tcPr>
            <w:tcW w:w="780" w:type="dxa"/>
            <w:vAlign w:val="bottom"/>
            <w:vMerge w:val="continue"/>
          </w:tcPr>
          <w:p>
            <w:pPr>
              <w:spacing w:after="0"/>
              <w:rPr>
                <w:sz w:val="12"/>
                <w:szCs w:val="12"/>
                <w:color w:val="auto"/>
              </w:rPr>
            </w:pPr>
          </w:p>
        </w:tc>
        <w:tc>
          <w:tcPr>
            <w:tcW w:w="580" w:type="dxa"/>
            <w:vAlign w:val="bottom"/>
          </w:tcPr>
          <w:p>
            <w:pPr>
              <w:ind w:left="440"/>
              <w:spacing w:after="0" w:line="146"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for Section 16 or any other purpose.</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non-derivative security is held by the filer as a beneficiary of the Trust.</w:t>
      </w:r>
    </w:p>
    <w:p>
      <w:pPr>
        <w:spacing w:after="0" w:line="49" w:lineRule="exact"/>
        <w:rPr>
          <w:rFonts w:ascii="Arial" w:cs="Arial" w:eastAsia="Arial" w:hAnsi="Arial"/>
          <w:sz w:val="13"/>
          <w:szCs w:val="13"/>
          <w:color w:val="008000"/>
        </w:rPr>
      </w:pPr>
    </w:p>
    <w:p>
      <w:pPr>
        <w:ind w:left="40" w:right="4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12.8170 shares acquired on February 3rd, 2010 under the company's deferred compensation dividend reinvestment plan.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Krista Ebbens, as Attoney-In-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03/02/2010</w:t>
            </w:r>
          </w:p>
        </w:tc>
        <w:tc>
          <w:tcPr>
            <w:tcW w:w="0" w:type="dxa"/>
            <w:vAlign w:val="bottom"/>
          </w:tcPr>
          <w:p>
            <w:pPr>
              <w:spacing w:after="0"/>
              <w:rPr>
                <w:sz w:val="1"/>
                <w:szCs w:val="1"/>
                <w:color w:val="auto"/>
              </w:rPr>
            </w:pPr>
          </w:p>
        </w:tc>
      </w:tr>
      <w:tr>
        <w:trPr>
          <w:trHeight w:val="91"/>
        </w:trPr>
        <w:tc>
          <w:tcPr>
            <w:tcW w:w="206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2019-12-18T12:20:59Z</dcterms:created>
  <dcterms:modified xsi:type="dcterms:W3CDTF">2019-12-18T12:20:59Z</dcterms:modified>
</cp:coreProperties>
</file>