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-220345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190500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700" w:right="420" w:hanging="665"/>
        <w:spacing w:after="0" w:line="262"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2014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00" w:right="420" w:hanging="665"/>
        <w:spacing w:after="0" w:line="262"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5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-297815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9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6900" w:type="dxa"/>
            <w:vAlign w:val="bottom"/>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78"/>
        </w:trPr>
        <w:tc>
          <w:tcPr>
            <w:tcW w:w="6900" w:type="dxa"/>
            <w:vAlign w:val="bottom"/>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900" w:type="dxa"/>
            <w:vAlign w:val="bottom"/>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6900" w:type="dxa"/>
            <w:vAlign w:val="bottom"/>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6555 West Good Hope Road, Milwaukee, Wisconsin</w:t>
            </w:r>
          </w:p>
        </w:tc>
        <w:tc>
          <w:tcPr>
            <w:tcW w:w="1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220"/>
        </w:trPr>
        <w:tc>
          <w:tcPr>
            <w:tcW w:w="6900" w:type="dxa"/>
            <w:vAlign w:val="bottom"/>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900" w:type="dxa"/>
            <w:vAlign w:val="bottom"/>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(414) 358-6600</w:t>
            </w:r>
          </w:p>
        </w:tc>
        <w:tc>
          <w:tcPr>
            <w:tcW w:w="1340" w:type="dxa"/>
            <w:vAlign w:val="bottom"/>
          </w:tcPr>
          <w:p>
            <w:pPr>
              <w:spacing w:after="0"/>
              <w:rPr>
                <w:sz w:val="24"/>
                <w:szCs w:val="24"/>
                <w:color w:val="auto"/>
              </w:rPr>
            </w:pPr>
          </w:p>
        </w:tc>
      </w:tr>
      <w:tr>
        <w:trPr>
          <w:trHeight w:val="193"/>
        </w:trPr>
        <w:tc>
          <w:tcPr>
            <w:tcW w:w="6900" w:type="dxa"/>
            <w:vAlign w:val="bottom"/>
          </w:tcPr>
          <w:p>
            <w:pPr>
              <w:jc w:val="center"/>
              <w:ind w:left="3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177800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660"/>
            <w:col w:w="6020" w:space="720"/>
            <w:col w:w="1660" w:space="720"/>
            <w:col w:w="320"/>
          </w:cols>
          <w:pgMar w:left="240" w:top="225" w:right="239" w:bottom="144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0" w:lineRule="exact"/>
        <w:rPr>
          <w:sz w:val="24"/>
          <w:szCs w:val="24"/>
          <w:color w:val="auto"/>
        </w:rPr>
      </w:pPr>
    </w:p>
    <w:p>
      <w:pPr>
        <w:sectPr>
          <w:pgSz w:w="11900" w:h="16838" w:orient="portrait"/>
          <w:cols w:equalWidth="0" w:num="4">
            <w:col w:w="1260" w:space="720"/>
            <w:col w:w="6020" w:space="720"/>
            <w:col w:w="1660" w:space="720"/>
            <w:col w:w="320"/>
          </w:cols>
          <w:pgMar w:left="240" w:top="225" w:right="2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7" w:lineRule="exact"/>
        <w:rPr>
          <w:sz w:val="24"/>
          <w:szCs w:val="24"/>
          <w:color w:val="auto"/>
        </w:rPr>
      </w:pPr>
    </w:p>
    <w:p>
      <w:pPr>
        <w:sectPr>
          <w:pgSz w:w="11900" w:h="16838" w:orient="portrait"/>
          <w:cols w:equalWidth="0" w:num="5">
            <w:col w:w="6540" w:space="140"/>
            <w:col w:w="220" w:space="60"/>
            <w:col w:w="140" w:space="140"/>
            <w:col w:w="180" w:space="80"/>
            <w:col w:w="3920"/>
          </w:cols>
          <w:pgMar w:left="240" w:top="225" w:right="23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As of March 3, 2014, there were 48,609,923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Times New Roman" w:cs="Times New Roman" w:eastAsia="Times New Roman" w:hAnsi="Times New Roman"/>
                <w:sz w:val="18"/>
                <w:szCs w:val="18"/>
                <w:color w:val="auto"/>
                <w:w w:val="99"/>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color w:val="auto"/>
              </w:rPr>
              <w:t>Page</w:t>
            </w:r>
          </w:p>
        </w:tc>
      </w:tr>
      <w:tr>
        <w:trPr>
          <w:trHeight w:val="196"/>
        </w:trPr>
        <w:tc>
          <w:tcPr>
            <w:tcW w:w="2460" w:type="dxa"/>
            <w:vAlign w:val="bottom"/>
            <w:tcBorders>
              <w:bottom w:val="single" w:sz="8" w:color="0000FF"/>
            </w:tcBorders>
            <w:gridSpan w:val="8"/>
          </w:tcPr>
          <w:p>
            <w:pPr>
              <w:spacing w:after="0" w:line="170" w:lineRule="exact"/>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color w:val="0000FF"/>
                <w:w w:val="88"/>
              </w:rPr>
            </w:pPr>
            <w:hyperlink w:anchor="page2">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 Financial Statements (Unaudited)</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Condensed Consolidated Balance Sheets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Cash Flows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FF"/>
                <w:w w:val="97"/>
              </w:rPr>
            </w:pPr>
            <w:hyperlink w:anchor="page22">
              <w:r>
                <w:rPr>
                  <w:rFonts w:ascii="Times New Roman" w:cs="Times New Roman" w:eastAsia="Times New Roman" w:hAnsi="Times New Roman"/>
                  <w:sz w:val="18"/>
                  <w:szCs w:val="18"/>
                  <w:color w:val="0000FF"/>
                  <w:w w:val="97"/>
                </w:rPr>
                <w:t>Item 2.</w:t>
              </w:r>
            </w:hyperlink>
          </w:p>
        </w:tc>
        <w:tc>
          <w:tcPr>
            <w:tcW w:w="9240" w:type="dxa"/>
            <w:vAlign w:val="bottom"/>
            <w:gridSpan w:val="14"/>
          </w:tcPr>
          <w:p>
            <w:pPr>
              <w:ind w:lef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Management’s Discussion and Analysis of Results of Operations and Financial Condition</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22</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FF"/>
                <w:w w:val="97"/>
              </w:rPr>
            </w:pPr>
            <w:hyperlink w:anchor="page33">
              <w:r>
                <w:rPr>
                  <w:rFonts w:ascii="Times New Roman" w:cs="Times New Roman" w:eastAsia="Times New Roman" w:hAnsi="Times New Roman"/>
                  <w:sz w:val="18"/>
                  <w:szCs w:val="18"/>
                  <w:color w:val="0000FF"/>
                  <w:w w:val="97"/>
                </w:rPr>
                <w:t>Item 3.</w:t>
              </w:r>
            </w:hyperlink>
          </w:p>
        </w:tc>
        <w:tc>
          <w:tcPr>
            <w:tcW w:w="6480" w:type="dxa"/>
            <w:vAlign w:val="bottom"/>
            <w:gridSpan w:val="13"/>
          </w:tcPr>
          <w:p>
            <w:pPr>
              <w:ind w:lef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FF"/>
                <w:w w:val="97"/>
              </w:rPr>
            </w:pPr>
            <w:hyperlink w:anchor="page34">
              <w:r>
                <w:rPr>
                  <w:rFonts w:ascii="Times New Roman" w:cs="Times New Roman" w:eastAsia="Times New Roman" w:hAnsi="Times New Roman"/>
                  <w:sz w:val="18"/>
                  <w:szCs w:val="18"/>
                  <w:color w:val="0000FF"/>
                  <w:w w:val="97"/>
                </w:rPr>
                <w:t>Item 4.</w:t>
              </w:r>
            </w:hyperlink>
          </w:p>
        </w:tc>
        <w:tc>
          <w:tcPr>
            <w:tcW w:w="1800" w:type="dxa"/>
            <w:vAlign w:val="bottom"/>
            <w:gridSpan w:val="5"/>
          </w:tcPr>
          <w:p>
            <w:pPr>
              <w:ind w:left="20"/>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Times New Roman" w:cs="Times New Roman" w:eastAsia="Times New Roman" w:hAnsi="Times New Roman"/>
                <w:sz w:val="18"/>
                <w:szCs w:val="18"/>
                <w:color w:val="0000FF"/>
                <w:w w:val="97"/>
              </w:rPr>
            </w:pPr>
            <w:hyperlink w:anchor="page34">
              <w:r>
                <w:rPr>
                  <w:rFonts w:ascii="Times New Roman" w:cs="Times New Roman" w:eastAsia="Times New Roman" w:hAnsi="Times New Roman"/>
                  <w:sz w:val="18"/>
                  <w:szCs w:val="18"/>
                  <w:color w:val="0000FF"/>
                  <w:w w:val="97"/>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FF"/>
                <w:w w:val="97"/>
              </w:rPr>
            </w:pPr>
            <w:hyperlink w:anchor="page35">
              <w:r>
                <w:rPr>
                  <w:rFonts w:ascii="Times New Roman" w:cs="Times New Roman" w:eastAsia="Times New Roman" w:hAnsi="Times New Roman"/>
                  <w:sz w:val="18"/>
                  <w:szCs w:val="18"/>
                  <w:color w:val="0000FF"/>
                  <w:w w:val="97"/>
                </w:rPr>
                <w:t>Item 6.</w:t>
              </w:r>
            </w:hyperlink>
          </w:p>
        </w:tc>
        <w:tc>
          <w:tcPr>
            <w:tcW w:w="1340" w:type="dxa"/>
            <w:vAlign w:val="bottom"/>
            <w:gridSpan w:val="3"/>
          </w:tcPr>
          <w:p>
            <w:pPr>
              <w:ind w:lef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35</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 FINANCIAL STATEMENTS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January 31, 2014</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91,058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168,037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169,261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64,544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14,776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15,387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104,116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94,707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Assets held for sale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124,508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119,864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44,120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37,600</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519,897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512,490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615,404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617,236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156,851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8,623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21,325</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Land</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91,471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266,787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11,842</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388,683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377,961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255,803</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Property, plant and equipment—net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124,516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122,158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1,438,040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1,438,683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LIABILITIES AND STOCKHOLDERS’ INVESTMENT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Notes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82,519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Wages and amounts withheld from employees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42,413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34,583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8,243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7,056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36,806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61,264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289,651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323,497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201,150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81,896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83,239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574,610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607,886</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investment: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Class A nonvoting common stock—Issued 51,261,487 and 51,261,487 shares, respectively and outstanding</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48,828,416 and 48,408,544 shares,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306,191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Earnings retained in the business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558,494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538,512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stock—2,353,071 and 2,626,276 shares, respectively of Class A nonvoting</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at cost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(69,797)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56,063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863,430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830,797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1,438,040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1,438,683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4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31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291,194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272,702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598,724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544,717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130,811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298,341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252,641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142,536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141,891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300,383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292,076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16,100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111,426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109,948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224,159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209,010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4,324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21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124,190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120,094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252,349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227,043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65,033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income and (expense):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14,925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41,654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57,758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42,138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10,517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28,652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15,620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net of income taxes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18,504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per Class A Nonvoting Common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earnings (loss)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earnings (loss) per Class B 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52,208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51,108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52,457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51,507</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2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71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16,424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18,504</w:t>
            </w:r>
          </w:p>
        </w:tc>
      </w:tr>
      <w:tr>
        <w:trPr>
          <w:trHeight w:val="224"/>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28,071</w:t>
            </w:r>
          </w:p>
        </w:tc>
      </w:tr>
      <w:tr>
        <w:trPr>
          <w:trHeight w:val="237"/>
        </w:trPr>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investment hedge translation adjustments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intercompany loan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1,590</w:t>
            </w:r>
          </w:p>
        </w:tc>
      </w:tr>
      <w:tr>
        <w:trPr>
          <w:trHeight w:val="224"/>
        </w:trPr>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Cash flow hedges: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gain (loss) recognized in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r>
      <w:tr>
        <w:trPr>
          <w:trHeight w:val="237"/>
        </w:trPr>
        <w:tc>
          <w:tcPr>
            <w:tcW w:w="56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Reclassification adjustment for gains included in net earnings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r>
      <w:tr>
        <w:trPr>
          <w:trHeight w:val="224"/>
        </w:trPr>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Actuarial gain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56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Prior service credit amortization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18,249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3,815</w:t>
            </w:r>
          </w:p>
        </w:tc>
      </w:tr>
      <w:tr>
        <w:trPr>
          <w:trHeight w:val="21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9,298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22,064</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40,568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3"/>
        </w:trPr>
        <w:tc>
          <w:tcPr>
            <w:tcW w:w="8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8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40,353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18,504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22,046</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Non-cash portion of 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6,868</w:t>
            </w: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Non-cash portion of restructuring charges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Loss on sales of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3,138</w:t>
            </w: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26,050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 acquisitions/divestitures):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(13,629)</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41,777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44,194</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(300,757)</w:t>
            </w: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Sales of businesses, net of cash retained</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10,178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(306,795)</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7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Payment of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(19,499)</w:t>
            </w: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4,409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w:t>
            </w: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Proceeds from borrowing on notes payable</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220,000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Repayment of borrowing on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(112,472)</w:t>
            </w: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Proceeds from borrowings on line of credit</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Income tax on the exercise of stock options and deferred compensation distributions,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1,273</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(37,273)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88,590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7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9,422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7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(164,589)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91,058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305,900</w:t>
            </w:r>
          </w:p>
        </w:tc>
      </w:tr>
      <w:tr>
        <w:trPr>
          <w:trHeight w:val="264"/>
        </w:trPr>
        <w:tc>
          <w:tcPr>
            <w:tcW w:w="102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62"/>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79,116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141,311</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102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4"/>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Interest, net of capitalized interest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7,866</w:t>
            </w:r>
          </w:p>
        </w:tc>
      </w:tr>
      <w:tr>
        <w:trPr>
          <w:trHeight w:val="237"/>
        </w:trPr>
        <w:tc>
          <w:tcPr>
            <w:tcW w:w="8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14,083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19,964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Fair value of assets acquired, net of cash</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168,674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Liabilities assumed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(57,859)</w:t>
            </w:r>
          </w:p>
        </w:tc>
      </w:tr>
      <w:tr>
        <w:trPr>
          <w:trHeight w:val="237"/>
        </w:trPr>
        <w:tc>
          <w:tcPr>
            <w:tcW w:w="83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189,942</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300,757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420"/>
          </w:cols>
          <w:pgMar w:left="240" w:top="114" w:right="239" w:bottom="9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4" w:right="239" w:bottom="9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January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2014 and July 31, 2013, its results of operations and comprehensive income for the three and six months ended January 31, 2014 and 2013, and cash flows for the six months ended January 31, 2014 and 2013. The condensed consolidated balance sheet as of July 31, 2013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2013.</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announced its plan to divest its Asia Die-Cut business in the third quarter of fiscal 2013, and incorporated its Balkhausen business into that plan during the fourth quarter of fiscal 2013 (collectively referred to as "Die-Cut"). As a result, the assets and liabilities have been reclassified in accordance with the authoritative literature on assets held for sale in the condensed consolidated balance sheets as of January 31, 2014 and July 31, 2013. The results of operations of the Company's Die-Cut business have been reported as discontinued operations within the condensed consolidated statements of earnings for all periods presented. In addition, the Brady Medical and Varitronics businesses that were divested in fiscal 2013 are included within discontinued operations. In accordance with the authoritative literature, the Company has elected to not separately disclose the cash flows or other comprehensive income related to the Die-Cut business discontinued operations. Refer to Note K, "Discontinued Operations" for further discussion regarding the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the carrying amount of goodwill for the six months ended January 31, 2014,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WPS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31, 2013</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517,030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617,236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Translation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7"/>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January 31, 2014</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514,148</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101,256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615,404</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Goodwill decreased by $1,832 during the six months ended January 31, 2014. The decrease was due to purchase accounting adjustments of $2,168 for the deferred tax impact related to the release of escrow from the fiscal 2013 acquisition of Precision Dynamics Corporation ("PDC"), partially offset by the positive effects of foreign translation of $336.</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Goodwill at January 31, 2014 included $18,225 and $172,280 of accumulated impairment losses within the IDS and WPS segments, respectively, for a total of $190,505.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31, 2014</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July 31, 2013</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1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Patents</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11,299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(9,883)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1,416</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11,053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73"/>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5,965</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6,891</w:t>
            </w:r>
          </w:p>
        </w:tc>
        <w:tc>
          <w:tcPr>
            <w:tcW w:w="0" w:type="dxa"/>
            <w:vAlign w:val="bottom"/>
          </w:tcPr>
          <w:p>
            <w:pPr>
              <w:spacing w:after="0"/>
              <w:rPr>
                <w:sz w:val="1"/>
                <w:szCs w:val="1"/>
                <w:color w:val="auto"/>
              </w:rPr>
            </w:pPr>
          </w:p>
        </w:tc>
      </w:tr>
      <w:tr>
        <w:trPr>
          <w:trHeight w:val="78"/>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261,245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(153,496)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107,749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261,076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116,456</w:t>
            </w:r>
          </w:p>
        </w:tc>
        <w:tc>
          <w:tcPr>
            <w:tcW w:w="0" w:type="dxa"/>
            <w:vAlign w:val="bottom"/>
          </w:tcPr>
          <w:p>
            <w:pPr>
              <w:spacing w:after="0"/>
              <w:rPr>
                <w:sz w:val="1"/>
                <w:szCs w:val="1"/>
                <w:color w:val="auto"/>
              </w:rPr>
            </w:pPr>
          </w:p>
        </w:tc>
      </w:tr>
      <w:tr>
        <w:trPr>
          <w:trHeight w:val="73"/>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Non-compete agreements and</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14,415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654</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31,075</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31,321</w:t>
            </w:r>
          </w:p>
        </w:tc>
        <w:tc>
          <w:tcPr>
            <w:tcW w:w="0" w:type="dxa"/>
            <w:vAlign w:val="bottom"/>
          </w:tcPr>
          <w:p>
            <w:pPr>
              <w:spacing w:after="0"/>
              <w:rPr>
                <w:sz w:val="1"/>
                <w:szCs w:val="1"/>
                <w:color w:val="auto"/>
              </w:rPr>
            </w:pPr>
          </w:p>
        </w:tc>
      </w:tr>
      <w:tr>
        <w:trPr>
          <w:trHeight w:val="78"/>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333,760</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(186,901)</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146,859</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333,681</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(176,830)</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156,851</w:t>
            </w:r>
          </w:p>
        </w:tc>
        <w:tc>
          <w:tcPr>
            <w:tcW w:w="0" w:type="dxa"/>
            <w:vAlign w:val="bottom"/>
          </w:tcPr>
          <w:p>
            <w:pPr>
              <w:spacing w:after="0"/>
              <w:rPr>
                <w:sz w:val="1"/>
                <w:szCs w:val="1"/>
                <w:color w:val="auto"/>
              </w:rPr>
            </w:pPr>
          </w:p>
        </w:tc>
      </w:tr>
      <w:tr>
        <w:trPr>
          <w:trHeight w:val="64"/>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gross carrying amount of goodwill and other intangible assets in the condensed consolidated balance sheets at January 31, 2014, differs from the value assigned to them in the original allocation of purchase price due to the effect of currency fluctuations between the date of acquisition and January 31, 2014.</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Amortization expense on intangible assets was $5,047 and $5,015 for the three months ended January 31, 2014 and 2013, respectively, and $10,124 and $9,162 for the six months ended January 31, 2014 and 2013, respectively. The amortization over each of the next five fiscal years is projected to be $19,376, $18,555, $16,364, $13,253 and $11,969 for the fiscal years ending July 31, 2014, 2015, 2016, 2017 and 2018,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Comprehensive Income</w:t>
      </w:r>
    </w:p>
    <w:p>
      <w:pPr>
        <w:spacing w:after="0" w:line="17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Comprehensive income consists of foreign currency translation adjustments, unrealized gains and losses from cash flow hedges and net investment hedges, and the unamortized gain on post-retirement plans net of their related tax effects.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income for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unrealized gain on cash flow hedges and the unamortized gain on postretirement plans are presented net of tax:</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Beginning balance, July 31, 2013</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p>
      <w:pPr>
        <w:spacing w:after="0" w:line="73" w:lineRule="exact"/>
        <w:rPr>
          <w:sz w:val="20"/>
          <w:szCs w:val="20"/>
          <w:color w:val="auto"/>
        </w:rPr>
      </w:pPr>
    </w:p>
    <w:p>
      <w:pPr>
        <w:ind w:left="40"/>
        <w:spacing w:after="0" w:line="298" w:lineRule="auto"/>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Ending balance, January 31, 2014</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Unamortized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Foreign</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Accumulated</w:t>
            </w:r>
          </w:p>
        </w:tc>
      </w:tr>
      <w:tr>
        <w:trPr>
          <w:trHeight w:val="203"/>
        </w:trPr>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Unrealized gain</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gain on</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currency</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7"/>
              </w:rPr>
              <w:t>other</w:t>
            </w:r>
          </w:p>
        </w:tc>
      </w:tr>
      <w:tr>
        <w:trPr>
          <w:trHeight w:val="203"/>
        </w:trPr>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on cash flow</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postretirement</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translation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comprehensive</w:t>
            </w:r>
          </w:p>
        </w:tc>
      </w:tr>
      <w:tr>
        <w:trPr>
          <w:trHeight w:val="210"/>
        </w:trPr>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hedges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plans</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adjustments</w:t>
            </w: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income</w:t>
            </w:r>
          </w:p>
        </w:tc>
      </w:tr>
      <w:tr>
        <w:trPr>
          <w:trHeight w:val="33"/>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56,063</w:t>
            </w:r>
          </w:p>
        </w:tc>
      </w:tr>
      <w:tr>
        <w:trPr>
          <w:trHeight w:val="33"/>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459"/>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33"/>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54,427</w:t>
            </w:r>
          </w:p>
        </w:tc>
      </w:tr>
      <w:tr>
        <w:trPr>
          <w:trHeight w:val="33"/>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-848360</wp:posOffset>
            </wp:positionV>
            <wp:extent cx="58661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18034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-488315</wp:posOffset>
            </wp:positionV>
            <wp:extent cx="586613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29146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4020" w:space="400"/>
            <w:col w:w="7000"/>
          </w:cols>
          <w:pgMar w:left="240" w:top="118" w:right="239" w:bottom="1440" w:gutter="0" w:footer="0" w:header="0"/>
          <w:type w:val="continuous"/>
        </w:sect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decrease in accumulated other comprehensive income for the six months ended January 31, 2014 compared to July 31, 2013, was primarily due to the depreciation of the U.S. dollar against other currencies. The foreign currency translation adjustments column in the table above includes the impact of foreign currency translation on intercompany notes and net investment hedges, net of tax. Of the total $291 in amounts reclassified from accumulated other comprehensive income, the $57 gain on cash flow hedges was reclassified into cost of products sold and the $234 gain on postretirement plans was reclassified into SG&amp;A on the condensed consolidated statement of earnings for the six months ended January 31, 2014.</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income tax (expense) benefit on the components of other comprehensive income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2014 and 2013: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spacing w:after="0"/>
              <w:rPr>
                <w:sz w:val="18"/>
                <w:szCs w:val="18"/>
                <w:color w:val="auto"/>
              </w:rPr>
            </w:pPr>
          </w:p>
        </w:tc>
        <w:tc>
          <w:tcPr>
            <w:tcW w:w="262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80" w:type="dxa"/>
            <w:vAlign w:val="bottom"/>
          </w:tcPr>
          <w:p>
            <w:pPr>
              <w:spacing w:after="0"/>
              <w:rPr>
                <w:sz w:val="18"/>
                <w:szCs w:val="18"/>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 related to items of other</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8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investment hedge translation adjustments</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intercompany loan settlements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37"/>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flow hedges</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 tax adjustments</w:t>
            </w: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96"/>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 related to items of other</w:t>
            </w:r>
          </w:p>
        </w:tc>
        <w:tc>
          <w:tcPr>
            <w:tcW w:w="800" w:type="dxa"/>
            <w:vAlign w:val="bottom"/>
            <w:tcBorders>
              <w:top w:val="single" w:sz="8" w:color="auto"/>
            </w:tcBorders>
            <w:vMerge w:val="restart"/>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0" w:type="dxa"/>
            <w:vAlign w:val="bottom"/>
          </w:tcPr>
          <w:p>
            <w:pPr>
              <w:spacing w:after="0"/>
              <w:rPr>
                <w:sz w:val="1"/>
                <w:szCs w:val="1"/>
                <w:color w:val="auto"/>
              </w:rPr>
            </w:pPr>
          </w:p>
        </w:tc>
      </w:tr>
      <w:tr>
        <w:trPr>
          <w:trHeight w:val="228"/>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8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Net Earnings per Common Share</w:t>
      </w:r>
    </w:p>
    <w:p>
      <w:pPr>
        <w:spacing w:after="0" w:line="9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Numerator: (in thousands)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Earnings (loss)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10,517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28,652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15,620</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5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47"/>
        </w:trPr>
        <w:tc>
          <w:tcPr>
            <w:tcW w:w="51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118" w:right="239" w:bottom="1440" w:gutter="0" w:footer="0" w:header="0"/>
        </w:sectPr>
      </w:pPr>
    </w:p>
    <w:tbl>
      <w:tblPr>
        <w:tblLayout w:type="fixed"/>
        <w:tblInd w:w="40" w:type="dxa"/>
        <w:tblCellMar>
          <w:top w:w="0" w:type="dxa"/>
          <w:left w:w="0" w:type="dxa"/>
          <w:bottom w:w="0" w:type="dxa"/>
          <w:right w:w="0" w:type="dxa"/>
        </w:tblCellMar>
      </w:tblPr>
      <w:tr>
        <w:trPr>
          <w:trHeight w:val="210"/>
        </w:trPr>
        <w:tc>
          <w:tcPr>
            <w:tcW w:w="5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Restricted stock dividends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Numerator for basic and diluted earnings (loss) from continuing</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operations per Class A Nonvoting Common Share</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Numerator for basic and diluted earnings (loss) from continuing</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operations per Class B Voting Common Share</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Denominator: (in thousands)</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basic earnings (loss) from continuing operations per</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 for both Class A and Class B</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Plus: Effect of dilutive stock options</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diluted earnings (loss) from continuing operations per</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 for both Class A and Class B</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Earnings (loss) from continuing operations per Class A Nonvoting Common</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93"/>
        </w:trPr>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10,501</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28,591</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15,501</w:t>
            </w: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88"/>
        </w:trPr>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70"/>
        </w:trPr>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93"/>
        </w:trPr>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10,501</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27,772</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14,700</w:t>
            </w: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77"/>
        </w:trPr>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52,208</w:t>
            </w:r>
          </w:p>
        </w:tc>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51,177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52,140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51,108</w:t>
            </w:r>
          </w:p>
        </w:tc>
      </w:tr>
      <w:tr>
        <w:trPr>
          <w:trHeight w:val="270"/>
        </w:trPr>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286</w:t>
            </w:r>
          </w:p>
        </w:tc>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93"/>
        </w:trPr>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52,494</w:t>
            </w:r>
          </w:p>
        </w:tc>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51,177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52,457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51,507</w:t>
            </w: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-1594485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-770890</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-307975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-1251585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-2074545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5360" w:space="720"/>
            <w:col w:w="534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(0.21)</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0.55</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(0.21)</w:t>
            </w:r>
          </w:p>
        </w:tc>
        <w:tc>
          <w:tcPr>
            <w:tcW w:w="6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0.55</w:t>
            </w:r>
          </w:p>
        </w:tc>
        <w:tc>
          <w:tcPr>
            <w:tcW w:w="6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per Class B Voting Common</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7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(0.21)</w:t>
            </w:r>
          </w:p>
        </w:tc>
        <w:tc>
          <w:tcPr>
            <w:tcW w:w="6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0.53</w:t>
            </w:r>
          </w:p>
        </w:tc>
        <w:tc>
          <w:tcPr>
            <w:tcW w:w="6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0.29</w:t>
            </w: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(0.21)</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0.53</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0.29</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per Class A Nonvoting Common</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0.04</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0.04</w:t>
            </w:r>
          </w:p>
        </w:tc>
        <w:tc>
          <w:tcPr>
            <w:tcW w:w="6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c>
          <w:tcPr>
            <w:tcW w:w="6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per Class B Voting Common Share:</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0.04</w:t>
            </w:r>
          </w:p>
        </w:tc>
        <w:tc>
          <w:tcPr>
            <w:tcW w:w="6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0.23</w:t>
            </w:r>
          </w:p>
        </w:tc>
        <w:tc>
          <w:tcPr>
            <w:tcW w:w="6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0.04</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(loss) per Class A Nonvoting Common Share:</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(0.17)</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0.77</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(0.17)</w:t>
            </w:r>
          </w:p>
        </w:tc>
        <w:tc>
          <w:tcPr>
            <w:tcW w:w="6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0.77</w:t>
            </w:r>
          </w:p>
        </w:tc>
        <w:tc>
          <w:tcPr>
            <w:tcW w:w="6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 per Class B Voting Common Share:</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(0.17)</w:t>
            </w:r>
          </w:p>
        </w:tc>
        <w:tc>
          <w:tcPr>
            <w:tcW w:w="6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0.76</w:t>
            </w:r>
          </w:p>
        </w:tc>
        <w:tc>
          <w:tcPr>
            <w:tcW w:w="6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0.34</w:t>
            </w:r>
          </w:p>
        </w:tc>
      </w:tr>
      <w:tr>
        <w:trPr>
          <w:trHeight w:val="33"/>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6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(0.17)</w:t>
            </w:r>
          </w:p>
        </w:tc>
        <w:tc>
          <w:tcPr>
            <w:tcW w:w="6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0.75</w:t>
            </w:r>
          </w:p>
        </w:tc>
        <w:tc>
          <w:tcPr>
            <w:tcW w:w="6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0.34</w:t>
            </w:r>
          </w:p>
        </w:tc>
      </w:tr>
      <w:tr>
        <w:trPr>
          <w:trHeight w:val="33"/>
        </w:trPr>
        <w:tc>
          <w:tcPr>
            <w:tcW w:w="5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ASC 260, "Earnings per share," dilutive options were not included in the computation of diluted loss per share for the three months ended January 31, 2013, since to do so would reduce the calculated loss per share.</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Options to purchase approximately 2,537,000 and 3,539,000 shares of Class A Nonvoting Common Stock for the three months ended January 31, 2014 and 2013, respectively, were not included in the computation of diluted net earnings or loss per share because the option exercise price was greater than the average market price of the common shares and, therefore, the effect would have been anti-dilutive. Options to purchase approximately 2,521,000 and 4,044,000 shares of Class A Nonvoting Common Stock for the six months ended January 31, 2014 and 2013, respectively, were not included in the computation of diluted net earnings per share because the option exercise price was greater than the average market price of the common shares and, therefore, the effect would have been anti-dilutive.</w:t>
      </w:r>
    </w:p>
    <w:p>
      <w:pPr>
        <w:sectPr>
          <w:pgSz w:w="11900" w:h="16838" w:orient="portrait"/>
          <w:cols w:equalWidth="0" w:num="1">
            <w:col w:w="11420"/>
          </w:cols>
          <w:pgMar w:left="240" w:top="118"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Segment Information</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Effective May 1, 2013, the Company is organized and managed on a global basis within two business platforms: Identification Solutions and Workplace Safety, which are the reportable segments.</w:t>
      </w:r>
    </w:p>
    <w:p>
      <w:pPr>
        <w:spacing w:after="0" w:line="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 Intersegment sales and transfers are recorded at cost plus a markup that reasonably approximates fair value.</w:t>
      </w:r>
    </w:p>
    <w:p>
      <w:pPr>
        <w:spacing w:after="0" w:line="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Each business platform has a President that reports directly to the Company's chief operating decision maker, its Interim Chief Executive Officer and Chief Financial Officer. Each platform has its own distinct operations, maintains its own financial reports and is evaluated based on global segment profit. The Company has determined that these business platforms comprise its operating and reportable segments based on the information used by the Interim Chief Executive Officer and Chief Financial Officer to allocate resources and assess performance.</w:t>
      </w:r>
    </w:p>
    <w:p>
      <w:pPr>
        <w:spacing w:after="0" w:line="4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segment results have been adjusted to reflect continuing operations in all periods presented. The following is a summary of segment information for the three and six months ended January 31, 2014 and 2013: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54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 w:type="dxa"/>
            <w:vAlign w:val="bottom"/>
          </w:tcPr>
          <w:p>
            <w:pPr>
              <w:spacing w:after="0"/>
              <w:rPr>
                <w:sz w:val="18"/>
                <w:szCs w:val="18"/>
                <w:color w:val="auto"/>
              </w:rPr>
            </w:pPr>
          </w:p>
        </w:tc>
        <w:tc>
          <w:tcPr>
            <w:tcW w:w="23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4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194,732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404,278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330,627</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214,090</w:t>
            </w:r>
          </w:p>
        </w:tc>
      </w:tr>
      <w:tr>
        <w:trPr>
          <w:trHeight w:val="21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291,194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272,702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598,724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544,717</w:t>
            </w:r>
          </w:p>
        </w:tc>
      </w:tr>
      <w:tr>
        <w:trPr>
          <w:trHeight w:val="73"/>
        </w:trPr>
        <w:tc>
          <w:tcPr>
            <w:tcW w:w="42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Segment Profit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79,223</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51,429</w:t>
            </w:r>
          </w:p>
        </w:tc>
      </w:tr>
      <w:tr>
        <w:trPr>
          <w:trHeight w:val="21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52,194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121,535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130,652</w:t>
            </w: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earnings from continuing operations before income taxes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2014 and 2013: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58,243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121,535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130,652</w:t>
            </w:r>
          </w:p>
        </w:tc>
      </w:tr>
      <w:tr>
        <w:trPr>
          <w:trHeight w:val="22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Unallocated amounts: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Administrative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(63,686)</w:t>
            </w: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charges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1,294</w:t>
            </w: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57,758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Stock-Based Compensation</w:t>
      </w:r>
    </w:p>
    <w:p>
      <w:pPr>
        <w:spacing w:after="0" w:line="9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 awards ("RSUs"), or restricted shares of Class A Nonvoting Common Stock to employees and non-employee directors.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January 31, 2014, the Company has reserved 4,144,742 shares of Class A Nonvoting Common Stock for outstanding stock options, RSUs, and restricted shares. A total of 3,932,311 shares of Class A Nonvoting Common Stock remain for future issuance of stock options, RSUs, and restricted shares under the active plan. The Company uses treasury stock or will issue new Class A Nonvoting Common Stock to deliver shares under the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recognizes the compensation cost of all share-based awards on a straight-line basis over the vesting period of the award. Total stock-based compensation expense recognized by the Company during the three months ended January 31, 2014 and 2013, was $1,777 ($1,102 net of taxes) and $2,521 ($1,538 net of taxes), respectively. Expense recognized during the six months ended January 31, 2014 and 2013, was $4,377 ($2,714 net of taxes) and $6,868 ($4,190 net of taxes), respectively.</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January 31, 2014, total unrecognized compensation cost related to stock-based compensation awards was $9,403 pre-tax, net of estimated forfeitures, which the Company expects to recognize over a weighted-average period of 2.0 years.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estimated the fair value of its service-based option awards granted during the six months ended January 31, 2014 and 2013,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valuation model. The weighted-average assumptions used in the Black-Scholes valuation model are reflected in the following table: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736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(in years)</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5.95</w:t>
            </w: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dividend yield</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market value of underlying stock at grant date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30.36</w:t>
            </w:r>
          </w:p>
        </w:tc>
      </w:tr>
      <w:tr>
        <w:trPr>
          <w:trHeight w:val="23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Weighted-average exercise price</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30.36</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9.01</w:t>
            </w:r>
          </w:p>
        </w:tc>
      </w:tr>
      <w:tr>
        <w:trPr>
          <w:trHeight w:val="33"/>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Company’s share-based compensation plans for the six months ended January 31, 2014 is presented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July 31, 2013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5,106,585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grants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Forfeited or expired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January 31, 2014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4,529,280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2,059</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Exercisable at January 31, 2014</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3,274,218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31.14</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There were 3,274,218 and 4,049,293 options exercisable with a weighted average exercise price of $31.14 and $30.19 at January 31, 2014 and 2013, respectively. The cash received from the exercise of options during the three months ended January 31, 2014 and 2013, was $5,685 and $2,725, respectively. The cash received from the exercise of options during the six months ended January 31, 2014 and 2013, was $10,894 and $4,409, respectively. The tax benefit on options exercised during the three months ended January 31, 2014 and 2013 was $316 and $630, respectively. The tax benefit on options exercised during the six months ended January 31, 2014 and 2013 was $788 and $1,265, respectively.</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six months ended January 31, 2014 and 2013, based upon the average market price at the time of exercise during the period, was $2,020 and $4,216, respectively. The total fair value of stock options vested during the six months ended January 31, 2014 and 2013, was $6,338 and $10,832,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RSU and restricted share activity under the Company's share-based compensation plans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2014:</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Service-Based RSUs and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8572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Outstanding at July 31, 2013</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8572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85724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Outstanding at January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 RSUs and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8572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Outstanding at July 31, 2013</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8572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85724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Outstanding at January 31, 2014</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2"/>
        </w:trPr>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line="20" w:lineRule="exact"/>
              <w:rPr>
                <w:sz w:val="1"/>
                <w:szCs w:val="1"/>
                <w:color w:val="auto"/>
              </w:rPr>
            </w:pPr>
          </w:p>
        </w:tc>
      </w:tr>
      <w:tr>
        <w:trPr>
          <w:trHeight w:val="484"/>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2"/>
        </w:trPr>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231,667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4660"/>
          </w:cols>
          <w:pgMar w:left="240" w:top="118"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Fair Value Measurements</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Company’s assets and liabilities measured at fair market value are classified in one of the following categories: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Assets or liabilities for which fair value is based on quoted market prices in active markets for identical instruments as of the reporting date.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Assets or liabilities for which fair value is based on valuation models for which pricing inputs were either directly or indirectly observable.</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Assets or liabilities for which fair value is based on valuation models with significant unobservable pricing inputs and which result in the use of management estimates.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financial assets and liabilities that were accounted for at fair value on a recurring basis at January 31, 2014 and July 31, 2013, according to the valuation techniques the Company used to determine their fair values.</w:t>
      </w:r>
    </w:p>
    <w:p>
      <w:pPr>
        <w:spacing w:after="0" w:line="11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Inputs</w:t>
      </w:r>
    </w:p>
    <w:p>
      <w:pPr>
        <w:spacing w:after="0" w:line="28"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 2014</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Trading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15,043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15,043</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15,043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15,655</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July 31, 2013</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Trading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14,975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14,975</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14,975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15,269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88"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securities: </w:t>
      </w:r>
      <w:r>
        <w:rPr>
          <w:rFonts w:ascii="Times New Roman" w:cs="Times New Roman" w:eastAsia="Times New Roman" w:hAnsi="Times New Roman"/>
          <w:sz w:val="18"/>
          <w:szCs w:val="18"/>
          <w:color w:val="auto"/>
        </w:rPr>
        <w:t>The Company’s deferred compensation investments consist of investments in mutual funds. These investments were classified as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as the shares of these investments trade with sufficient frequency and volume to enable us to obtain pricing information on an ongoing basis.</w:t>
      </w:r>
    </w:p>
    <w:p>
      <w:pPr>
        <w:spacing w:after="0" w:line="104" w:lineRule="exact"/>
        <w:rPr>
          <w:sz w:val="20"/>
          <w:szCs w:val="20"/>
          <w:color w:val="auto"/>
        </w:rPr>
      </w:pPr>
    </w:p>
    <w:p>
      <w:pPr>
        <w:jc w:val="both"/>
        <w:ind w:firstLine="2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flows using external models that use observable inputs, such as interest rates, yield curves and foreign exchange rates. See Note I, “Derivatives and Hedging Activities,” for additional information.</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hierarchy levels outlined above during the three or six months ended January 31, 2014 and 2013. In addition, the Company had no significant measurements of assets or liabilities at fair value on a nonrecurring basis subsequent to their initial recognition during the three and six months ended January 31, 2014, except for the fair value measurement performed on the Die-Cut disposal group. The assets and liabilities of the disposal group were recorded at approximate fair value less costs to sell and classified as "Assets held for sale" and "Liabilities held for sale" on the condensed consolidated balance sheets as of January 31, 2014 and July 31, 2013. Fair value was determined utilizing a combination of external market factors and internal projections. A loss on the write-down of the disposal group of $15,658 was recorded within discontinued operations in the third quarter of fiscal 2013. There were no additional fair value adjustments recorded during the three or six months ended January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fiscal 2013, goodwill with a carrying amount of $183,146 in the WPS Americas reporting unit was written down to its estimated implied fair value of $10,866 and represented a Level 3 asset measured at fair value on a nonrecurring basis at July 31, 2013, which was subsequent to its original recognition. In order to arrive at the implied fair value of goodwill, the Company calculated the fair value of all of the assets and liabilities of the reporting unit as if the reporting unit had been acquired in a business combination. Intangible assets consisted of customer relationships and tradenames, which were valued using the income approach. As a result of the analysis, indefinite-lived tradenames with a carrying amount of $25,449 were written down to the estimated fair value of $14,881 and represented a Level 3 asset measured at fair value on a nonrecurring basis at July 31, 2013, which was subsequent to its original recognition.</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fiscal 2013, goodwill with a carrying amount of $18,225 in the IDS APAC reporting unit was written off in its entirety and represented a Level 3 asset measured at fair value on a nonrecurring basis at July 31, 2013, which was subsequent to its original recognition. In order to arrive at the implied fair value of goodwill, the Company completed a qualitative assessment because the amount by which the carrying value exceeded fair value was more than the balance of goodwill remaining.</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short-term and long-term debt obligations, excluding notes payable, based on the quoted market prices for similar issues and on the current rates offered for debt of similar maturities was $280,501 and $288,055 at January 31, 2014 and July 31, 2013, respectively, as compared to the carrying value of $264,327 and $262,414 at January 31, 2014 and July 31, 2013, respectively.</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was $9,000 outstanding on the Company's revolving loan agreement and $14,946 outstanding on the Company's USD-denominated line of credit facility with Bank of America in China at January 31, 2014. These outstanding balances are classified as "Notes Payable" in the amount of $23,946 on the condensed consolidated balance sheets, and the fair value approximates carrying value due to the short-term nature of the instruments. See Note L, "Notes Payable,"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Restructuring</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six months ended January 31, 2014, the Company’s Board of Directors approved a restructuring plan to consolidate facilities in North America, Europe and Asia. The Company implemented this restructuring plan to enhance customer service, improve efficiency of operations and reduce operating expenses. The Company expects to incur pre-tax charges of approximately $22 million in fiscal 2014 due primarily to facility consolidation activities. Facility consolidation activities will extend into fiscal 2015.</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these restructuring plans, the Company incurred restructuring charges of $4,324 and $11,163 in continuing operations during the three and six months ended January 31, 2014, respectively. The three month restructuring charges of $4,324 consisted of $1,274 of employee separation costs, $97 of fixed asset write-offs, $2,335 of facility closure related costs, and $618 of contract termination costs. Of the $4,324 of restructuring charges recorded during the quarter, $2,458 was incurred within IDS and $1,866 within WPS.</w:t>
      </w:r>
    </w:p>
    <w:p>
      <w:pPr>
        <w:spacing w:after="0" w:line="2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year-to date restructuring charges of $11,163 consisted of $7,765 of employee separation costs, $97 of fixed asset write-offs, $2,683 of facility closure related costs, and $618 of contract termination costs. Of the $11,163 of restructuring charges recorded year-to date, $6,434 was incurred within IDS and $4,729 within WPS.</w:t>
      </w:r>
    </w:p>
    <w:p>
      <w:pPr>
        <w:spacing w:after="0" w:line="2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fiscal 2013, the Company implemented a restructuring plan to reduce its global workforce to address its cost structure. During the three and six months ended January 31, 2013, the Company recorded restructuring charges of $1,933 in continuing operations which consisted of employee separation costs. Of the $1,933 of restructuring charges recorded during the three and six months ended January 31, 2013, $1,725 was incurred within IDS and $208 within WPS.</w:t>
      </w:r>
    </w:p>
    <w:p>
      <w:pPr>
        <w:spacing w:after="0" w:line="2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charges for employee separation costs in fiscal 2014 and 2013 consisted of severance pay, outplacement services, medical and other benefits. The costs related to these restructuring activities were recorded on the condensed consolidated statements of earnings as restructuring charges. The Company expects the majority of the remaining cash payments to be made during the next twelve months.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Company’s restructuring liability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Asset Write-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60" w:type="dxa"/>
            <w:vAlign w:val="bottom"/>
          </w:tcPr>
          <w:p>
            <w:pPr>
              <w:spacing w:after="0"/>
              <w:rPr>
                <w:sz w:val="18"/>
                <w:szCs w:val="18"/>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offs</w:t>
            </w:r>
          </w:p>
        </w:tc>
        <w:tc>
          <w:tcPr>
            <w:tcW w:w="22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July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14,206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Restructuring charges in continuing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charges in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write-offs</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January 31, 2014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9,054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Derivatives and Hedging Activities</w:t>
      </w:r>
    </w:p>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2014 and July 31, 2013, the notional amount of outstanding forward exchange contracts was $124,210 and $157,500, respectively.</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As of January 31, 2014, unrealized gains of $258 have been included in OCI. As of January 31, 2013, unrealized losses of $207 were included in OCI. Balances are reclassified from OCI to earnings during the next twelve months when the hedged transactions impact earnings. For the three months ended January 31, 2014 and 2013, the Company reclassified gains of $2 and $90 from OCI into earnings, respectively. For the six months ended January 31, 2014 and 2013, the Company reclassified gains of $92 and $557 from OCI into earnings. At January 31, 2014, the U.S. dollar equivalent of these outstanding forward foreign exchange contracts totaled $14,249, including contracts to sell Euros, Canadian Dollars, Australian Dollars, British Pounds and U.S. Dollars. There were no outstanding forward foreign exchange contracts designated as cash flow hedges as of July 31, 2013.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also designated intercompany and third party foreign currency denominated debt instruments as net investment hedges. At January 31, 2014, the Company designated £25,036 of intercompany loans as net investment hedges to hedge portions of its net investment in British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 At January 31, 2014 and July 31, 2013, the U.S dollar equivalent of these outstanding forward foreign exchange contracts totaled $5,500. As of January 31, 2014 and 2013, the Company recognized OCI losses of $280 and $367, respectively, on its outstanding net investment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Hedges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January 31, 2014, the Company recognized a loss of $26 and a gain of $1,421, respectively, in “Investment and other income” on the condensed consolidated statements of earnings related to non-designated hedges. For the three and six months ended January 31, 2013, the Company recognized gains of $42 and $228, respectively.</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January 31, 2014</w:t>
            </w: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July 31, 2013</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January 31, 2014</w:t>
            </w: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July 31, 2013</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2"/>
                <w:szCs w:val="12"/>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2"/>
                <w:szCs w:val="12"/>
                <w:color w:val="auto"/>
              </w:rPr>
            </w:pPr>
          </w:p>
        </w:tc>
        <w:tc>
          <w:tcPr>
            <w:tcW w:w="6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6"/>
        </w:trPr>
        <w:tc>
          <w:tcPr>
            <w:tcW w:w="196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Foreign exchange</w:t>
            </w:r>
          </w:p>
        </w:tc>
        <w:tc>
          <w:tcPr>
            <w:tcW w:w="138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investment hedges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9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Foreign exchange</w:t>
            </w:r>
          </w:p>
        </w:tc>
        <w:tc>
          <w:tcPr>
            <w:tcW w:w="138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380"/>
              <w:spacing w:after="0" w:line="133" w:lineRule="exact"/>
              <w:rPr>
                <w:sz w:val="20"/>
                <w:szCs w:val="20"/>
                <w:color w:val="auto"/>
              </w:rPr>
            </w:pPr>
            <w:r>
              <w:rPr>
                <w:rFonts w:ascii="Times New Roman" w:cs="Times New Roman" w:eastAsia="Times New Roman" w:hAnsi="Times New Roman"/>
                <w:sz w:val="14"/>
                <w:szCs w:val="14"/>
                <w:color w:val="auto"/>
              </w:rPr>
              <w:t>Foreign currency</w:t>
            </w:r>
          </w:p>
        </w:tc>
        <w:tc>
          <w:tcPr>
            <w:tcW w:w="13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Long term</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18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less</w:t>
            </w:r>
          </w:p>
        </w:tc>
        <w:tc>
          <w:tcPr>
            <w:tcW w:w="18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101,663</w:t>
            </w: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less</w:t>
            </w:r>
          </w:p>
        </w:tc>
        <w:tc>
          <w:tcPr>
            <w:tcW w:w="24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99,750</w:t>
            </w:r>
          </w:p>
        </w:tc>
        <w:tc>
          <w:tcPr>
            <w:tcW w:w="0" w:type="dxa"/>
            <w:vAlign w:val="bottom"/>
          </w:tcPr>
          <w:p>
            <w:pPr>
              <w:spacing w:after="0"/>
              <w:rPr>
                <w:sz w:val="1"/>
                <w:szCs w:val="1"/>
                <w:color w:val="auto"/>
              </w:rPr>
            </w:pPr>
          </w:p>
        </w:tc>
      </w:tr>
      <w:tr>
        <w:trPr>
          <w:trHeight w:val="193"/>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current maturities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Total derivatives designated as</w:t>
            </w: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101,677</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99,750</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hedging instruments</w:t>
            </w:r>
          </w:p>
        </w:tc>
        <w:tc>
          <w:tcPr>
            <w:tcW w:w="1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6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Foreign exchange</w:t>
            </w:r>
          </w:p>
        </w:tc>
        <w:tc>
          <w:tcPr>
            <w:tcW w:w="13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9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 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Acquisitions</w:t>
      </w:r>
    </w:p>
    <w:p>
      <w:pPr>
        <w:spacing w:after="0" w:line="17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December 28, 2012, the Company acquired all of the outstanding shares of Precision Dynamics Corporation ("PDC"), a manufacturer of identification products primarily for the healthcare sector headquartered in Valencia, California. PDC is reported within the Company's ID Solutions segment. Financing for this acquisition consisted of $220,000 from the Company's revolving loan agreement with a group of six banks and the balance from cash on hand. The Company has repaid a total of $211,000 of the borrowing, of which $30,000 was repaid during the six months ended January 31, 2014. The outstanding balance under the revolving loan agreement was $9,000 as of January 31, 2014.</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acquired PDC to create an anchor position in the healthcare sector, consistent with the Company's mission to identify and protect premises, products and people. PDC's large customer base, strong channels to market, and broad product offering provide a strong foundation to build upon PDC's market position.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details the final allocation of the PDC purchase price: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Fair values:</w:t>
            </w:r>
          </w:p>
        </w:tc>
        <w:tc>
          <w:tcPr>
            <w:tcW w:w="220" w:type="dxa"/>
            <w:vAlign w:val="bottom"/>
          </w:tcPr>
          <w:p>
            <w:pPr>
              <w:spacing w:after="0"/>
              <w:rPr>
                <w:sz w:val="18"/>
                <w:szCs w:val="18"/>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January 31, 2014</w:t>
            </w:r>
          </w:p>
        </w:tc>
      </w:tr>
      <w:tr>
        <w:trPr>
          <w:trHeight w:val="33"/>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12,904</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 net</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21,178</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16,788</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168,150</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intangible assets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109,300</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18,015</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(10,060)</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Wages and amounts withheld from employees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(16,858)</w:t>
            </w:r>
          </w:p>
        </w:tc>
      </w:tr>
      <w:tr>
        <w:trPr>
          <w:trHeight w:val="33"/>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314,061</w:t>
            </w:r>
          </w:p>
        </w:tc>
      </w:tr>
      <w:tr>
        <w:trPr>
          <w:trHeight w:val="237"/>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Less: cash acquired</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(12,904)</w:t>
            </w:r>
          </w:p>
        </w:tc>
      </w:tr>
      <w:tr>
        <w:trPr>
          <w:trHeight w:val="33"/>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of total consideration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301,157</w:t>
            </w: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final valuation was completed during the three months ended January 31, 2014. The intangible assets consist of a customer relationship of $102,500, which is being amortized over a life of 10 years, and a definite-lived trademark of $6,800, which is being amortized over a life of 3 years. Of the total $168,150 in acquired goodwill, $57,374 is tax deductible, and $51,672 of the total $109,300 in intangible assets is tax deductible.</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table reflects the unaudited pro-forma operating results of the Company for the six months ended January 31, 2014 and 2013, which give effect to the acquisition of PDC as if it had occurred at the beginning of fiscal 2012, after adjusting for the amortization of intangible assets, interest expense on acquisition debt, and income tax effects. The pro-forma results have been prepared for comparative purposes only and are not necessarily indicative of the results of operations which may occur in the future or that would have occurred had the acquisitions been effected on the date indicated, nor are they necessarily indicative of the Company's future results of operations.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 w:type="dxa"/>
            <w:vAlign w:val="bottom"/>
          </w:tcPr>
          <w:p>
            <w:pPr>
              <w:spacing w:after="0"/>
              <w:rPr>
                <w:sz w:val="18"/>
                <w:szCs w:val="18"/>
                <w:color w:val="auto"/>
              </w:rPr>
            </w:pPr>
          </w:p>
        </w:tc>
        <w:tc>
          <w:tcPr>
            <w:tcW w:w="23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4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 as reported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598,724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544,717</w:t>
            </w:r>
          </w:p>
        </w:tc>
      </w:tr>
      <w:tr>
        <w:trPr>
          <w:trHeight w:val="237"/>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 pro forma</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598,724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613,142</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as reported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15,620</w:t>
            </w:r>
          </w:p>
        </w:tc>
      </w:tr>
      <w:tr>
        <w:trPr>
          <w:trHeight w:val="237"/>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pro forma</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19,920</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earnings (loss) from continuing operations per Class A</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Share, as reported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6"/>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earnings (loss) from continuing operations per Class A</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 pro forma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earnings (loss) from continuing operations per Class A</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Share, as reported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6"/>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(loss) from continuing operations per Class A</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 pro forma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r>
    </w:tbl>
    <w:p>
      <w:pPr>
        <w:spacing w:after="0" w:line="1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Pro forma results for the three months ended January 31, 2013, were adjusted to exclude $3,600 of acquisition-related expenses and $1,530 of nonrecurring expense related to the fair value adjustment to acquisition-date inventory, and were adjusted to include $320 in interest expense on acquisition debt and $564 of income tax expense. Pro forma results for the six months ended January 31, 2013, were adjusted to exclude $3,600 of acquisition-related expenses and $1,530 of nonrecurring expense related to the fair value adjustment to acquisition-date inventory, and were adjusted to include $529 in interest expense on acquisition debt and $135 in income tax benefit.</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Pro forma results for each of the three and six months ended January 31, 2013 include $3,104 and $6,208 of pretax amortization expense related to intangible assets, respectively.</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Discontinued Operations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announced its plan to divest its Die-Cut business in fiscal 2013. As a result, the business has been classified as assets and liabilities held for sale in accordance with the authoritative literature as of January 31, 2014 and July 31, 2013. The disposal group has been recorded based on the estimated fair value less costs to sell, which resulted in a write down of $15,658, recorded in the third quarter of fiscal 2013. The operating results have been reported as discontinued operations for the three and six month comparative periods ended January 31, 2014 and 2013, including the operating results of the following two previously divested businesses: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Date Completed</w:t>
            </w:r>
          </w:p>
        </w:tc>
      </w:tr>
      <w:tr>
        <w:trPr>
          <w:trHeight w:val="33"/>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Precision Converting, LLC (“Brady Medical”)</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 Solutions</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2012</w:t>
            </w:r>
          </w:p>
        </w:tc>
      </w:tr>
      <w:tr>
        <w:trPr>
          <w:trHeight w:val="237"/>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Varitronics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ID Solutions</w:t>
            </w:r>
          </w:p>
        </w:tc>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2012</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discontinued operations for the three and six months ended January 31, 2014 and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25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60" w:type="dxa"/>
            <w:vAlign w:val="bottom"/>
          </w:tcPr>
          <w:p>
            <w:pPr>
              <w:spacing w:after="0"/>
              <w:rPr>
                <w:sz w:val="18"/>
                <w:szCs w:val="18"/>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4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119,839</w:t>
            </w:r>
          </w:p>
        </w:tc>
      </w:tr>
      <w:tr>
        <w:trPr>
          <w:trHeight w:val="237"/>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from operations of discontinued businesses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w:t>
            </w:r>
          </w:p>
        </w:tc>
      </w:tr>
      <w:tr>
        <w:trPr>
          <w:trHeight w:val="33"/>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r>
      <w:tr>
        <w:trPr>
          <w:trHeight w:val="244"/>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net of income tax</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w:t>
            </w: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assets and liabilities of the Die-Cut disposal group classified as held for sale as of January 31,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January 31, 2014</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51,266</w:t>
            </w:r>
          </w:p>
        </w:tc>
      </w:tr>
      <w:tr>
        <w:trPr>
          <w:trHeight w:val="224"/>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inventories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19,699</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17"/>
        </w:trPr>
        <w:tc>
          <w:tcPr>
            <w:tcW w:w="7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72,375</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37,826</w:t>
            </w:r>
          </w:p>
        </w:tc>
      </w:tr>
      <w:tr>
        <w:trPr>
          <w:trHeight w:val="224"/>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24"/>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28,125</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140,166</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25,332</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Wages and amounts withheld from employees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r>
      <w:tr>
        <w:trPr>
          <w:trHeight w:val="224"/>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30,721</w:t>
            </w:r>
          </w:p>
        </w:tc>
      </w:tr>
      <w:tr>
        <w:trPr>
          <w:trHeight w:val="284"/>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31,755</w:t>
            </w:r>
          </w:p>
        </w:tc>
      </w:tr>
      <w:tr>
        <w:trPr>
          <w:trHeight w:val="271"/>
        </w:trPr>
        <w:tc>
          <w:tcPr>
            <w:tcW w:w="7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4"/>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assets of disposal group</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108,411</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write-down on disposal group</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(15,658)</w:t>
            </w:r>
          </w:p>
        </w:tc>
      </w:tr>
      <w:tr>
        <w:trPr>
          <w:trHeight w:val="244"/>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assets of disposal group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92,753</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authoritative literature, accumulated other comprehensive income will be reclassified to the statement of earnings upon liquidation or substantial liquidation of the disposal group. As of January 31, 2014, the accumulated other comprehensive income attributable to the disposal group is approximately $30 million.</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Notes Payable</w:t>
      </w:r>
    </w:p>
    <w:p>
      <w:pPr>
        <w:spacing w:after="0" w:line="17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December 2012, the Company drew down $220,000 from its revolving loan agreement to fund a portion of the purchase price of the acquisition of PDC. As of July 31, 2013, there was $39,000 outstanding on this revolving loan agreement. During the six months ended January 31, 2014, the Company repaid $30,000 of the borrowing and the Company intends to repay the remainder of the borrowing within 12 months of the current period end. As such, the borrowing is classified as "Notes payable" within current liabilities on the condensed consolidated balance sheets. During the six months ended January 31, 2014, the maximum amount outstanding on the revolving loan agreement was $39,000. As of January 31, 2014, the outstanding balance on the credit facility was $9,000 and there was $291,000 available for future borrowing, which can be increased to $441,000 at the Company's option, subject to certain conditions.</w:t>
      </w:r>
    </w:p>
    <w:p>
      <w:pPr>
        <w:spacing w:after="0" w:line="35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February 2013, the Company entered into a USD-denominated line of credit facility in the People's Republic of China. The facility supports USD-denominated borrowing to fund working capital and operations for the Company's Chinese entities. During the six months ended January 31, 2014, the maximum amount outstanding was $14,946 which was the balance outstanding at January 31, 2014. As of January 31, 2014, there was $11,254 available for future borrowing under this credit facility.</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January 31, 2014, borrowings on the revolving loan agreement and China credit facility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January 31,</w:t>
            </w:r>
          </w:p>
        </w:tc>
      </w:tr>
      <w:tr>
        <w:trPr>
          <w:trHeight w:val="212"/>
        </w:trPr>
        <w:tc>
          <w:tcPr>
            <w:tcW w:w="652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4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USD-denominated borrowing on revolving loan agreement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USD-denominated borrowing on China line of credit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14,946</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payable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23,946</w:t>
            </w:r>
          </w:p>
        </w:tc>
      </w:tr>
      <w:tr>
        <w:trPr>
          <w:trHeight w:val="20"/>
        </w:trPr>
        <w:tc>
          <w:tcPr>
            <w:tcW w:w="6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New Accounting Pronouncements</w:t>
      </w:r>
    </w:p>
    <w:p>
      <w:pPr>
        <w:spacing w:after="0" w:line="17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February 2013, the FASB issued ASU 2013-02, "Reporting of Amounts Reclassified Out of Accumulated Other Comprehensive Income," which requires entities to disclose additional information for items reclassified out of accumulated other comprehensive income ("AOCI"). For items reclassified out of AOCI and into net earnings in their entirety, entities are required to disclose the effect of the reclassification in each affected line in the statement of earnings. For AOCI reclassification items that are not reclassified in their entirety into net earnings, a cross reference to other required U.S. GAAP disclosures is required. This information may be provided either in the notes or parenthetically on the face of the statement that reports net earnings as long as all the information is disclosed in a single location. However, an entity is prohibited from providing this information parenthetically on the face of the statement that reports net earnings if it has items that are not reclassified in their entirety into net earnings. The adoption of this update did not have a material impact on the Company's condensed consolidated financial statements; however, the Company provided additional disclosures as required by ASU 2013-02 in Note C, "Comprehensive Income," in the notes to the condensed consolidated financial statements.</w:t>
      </w:r>
    </w:p>
    <w:p>
      <w:pPr>
        <w:spacing w:after="0" w:line="13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March 2013, the FASB issued ASU 2013-05, "Parent's Accounting for the Cumulative Translation Adjustment upon Derecognition of Certain Subsidiaries or Groups of Assets within a Foreign Entity or of an Investment in a Foreign Entity," which applies to the release of the cumulative translation adjustment into net earnings when a parent either sells a part or all of its investment in a foreign entity, or no longer holds a controlling financial interest in a subsidiary or group of assets that is a business within a foreign entity. The guidance requires that a parent deconsolidate a subsidiary or derecognize a group of assets that is a business if the parent ceases to have a controlling financial interest in that group of assets, and resolves the diversity in practice for the treatment of business combinations achieved in stages involving a foreign entity. The guidance is effective for annual and interim reporting periods beginning after December 15, 2013. The adoption of this update did not have a material impact on the condensed consolidated financial statements of the Company.</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July 2013, the FASB issued ASU 2013-11, "Presentation of an Unrecognized Tax Benefit When a Net Operating Loss Carryforward, a Similar Tax Loss, or a Tax Credit Carryforward Exists," which requires entities to present an unrecognized tax benefit as a reduction of a deferred tax asset for a net operating loss (“NOL”) or tax credit carryforward whenever the NOL or tax credit carryforward would be available to reduce the additional taxable income or tax due if the tax position is disallowed. This accounting standard update requires entities to assess whether to net the unrecognized tax benefit with a deferred tax asset as of the reporting date. This guidance is effective for fiscal years beginning after December 15, 2013. The Company is not anticipating adoption of this update to have a material impact on the Company's consolidated financial statements.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Subsequent Events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February 19, 2014, the Board of Directors declared a quarterly cash dividend to shareholders of the Company’s Class A and Class B Common Stock of $0.195 per share payable on April 30, 2014 to shareholders of record at the close of business on April 10, 2014.</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24, 2014, Brady Corporation and LTI Flexible Products, Inc. (d/b/a Boyd Corporation), a portfolio company of Snow Phipps Group, LLC, entered into a Share and Asset Purchase Agreement for the sale of the Company’s Die-Cut Business, for a purchase price of $60 million in cash. The purchase price is subject to adjustments for cash and indebtedness of the Die-Cut Business as of the applicable closing and a post-closing working capital adjustment.</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Subsequent to January 31, 2014, the Company has purchased 184,726 shares of its Class A Nonvoting Common Stock under its share repurchase program for $4.9 million. As of February 28, 2014, there remained 1,962,047 shares authorized to purchase in connection with this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40"/>
        <w:spacing w:after="0" w:line="376" w:lineRule="auto"/>
        <w:rPr>
          <w:sz w:val="20"/>
          <w:szCs w:val="20"/>
          <w:color w:val="auto"/>
        </w:rPr>
      </w:pPr>
      <w:r>
        <w:rPr>
          <w:rFonts w:ascii="Times New Roman" w:cs="Times New Roman" w:eastAsia="Times New Roman" w:hAnsi="Times New Roman"/>
          <w:sz w:val="18"/>
          <w:szCs w:val="18"/>
          <w:color w:val="auto"/>
        </w:rPr>
        <w:t xml:space="preserve">ITEM 2. MANAGEMENT’S DISCUSSION AND ANALYSIS OF RESULTS OF OPERATIONS AND FINANCIAL CONDITION </w:t>
      </w:r>
      <w:r>
        <w:rPr>
          <w:rFonts w:ascii="Times New Roman" w:cs="Times New Roman" w:eastAsia="Times New Roman" w:hAnsi="Times New Roman"/>
          <w:sz w:val="18"/>
          <w:szCs w:val="18"/>
          <w:u w:val="single" w:color="auto"/>
          <w:color w:val="auto"/>
        </w:rPr>
        <w:t>Overview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made significant portfolio and management decisions during fiscal 2013 in order to better position the Company for growth in the future, including:</w:t>
      </w:r>
    </w:p>
    <w:p>
      <w:pPr>
        <w:spacing w:after="0" w:line="162" w:lineRule="exact"/>
        <w:rPr>
          <w:sz w:val="20"/>
          <w:szCs w:val="20"/>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 of non-strategic businesses and the announcement of management’s intent to divest its Die-Cut business in order to reduce its reliance on the consumer electronics industry.</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Precision Dynamics Corporation (“PDC”), a leader in healthcare identification, providing Brady with an entrance into the healthcare industry.</w:t>
      </w: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Realignment of business structure from regional to two global product-based platforms: Identification Solutions (“IDS”) and Workplace Safety (“WPS”).</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Refer to Part I, Item 1, "Business," of the Company’s fiscal 2013 Form 10-K for additional information regarding fiscal 2013 activities impacting the business.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these structural changes in place, the Company is targeting the following key initiatives:</w:t>
      </w:r>
    </w:p>
    <w:p>
      <w:pPr>
        <w:spacing w:after="0" w:line="225" w:lineRule="exact"/>
        <w:rPr>
          <w:sz w:val="20"/>
          <w:szCs w:val="20"/>
          <w:color w:val="auto"/>
        </w:rPr>
      </w:pPr>
    </w:p>
    <w:p>
      <w:pPr>
        <w:ind w:left="660" w:right="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the Workplace Safety business to organic sales growth. The Company is expanding its multi-channel direct marketing model by providing a broader set of workplace safety products with an increased focus on e-business.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Company's IDS sales force in selected established economies while expanding its focus on strategic accounts and product categories.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sale of the Die-Cut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Company's cost structure through the consolidation of selected manufacturing facilities in the Americas and Europe.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Company's customers with innovative products and the highest level of customer service.</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largest segment, IDS, which represents approximately 70% of sales from continuing operations, has realized modest organic sales growth during the first two quarters of fiscal 2014. We continue to focus on key markets and accounts, increasing our sales force, and development of proprietary products. Sales within the WPS segment have declined and we have implemented several planned strategies in order to drive organic sales growth, which will require approximately $14 million of incremental investment during the fiscal year ending July 31,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six months ended January 31, 2014 and 2013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9"/>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560" w:type="dxa"/>
            <w:vAlign w:val="bottom"/>
          </w:tcPr>
          <w:p>
            <w:pPr>
              <w:spacing w:after="0"/>
              <w:rPr>
                <w:sz w:val="18"/>
                <w:szCs w:val="18"/>
                <w:color w:val="auto"/>
              </w:rPr>
            </w:pPr>
          </w:p>
        </w:tc>
      </w:tr>
      <w:tr>
        <w:trPr>
          <w:trHeight w:val="33"/>
        </w:trPr>
        <w:tc>
          <w:tcPr>
            <w:tcW w:w="1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7"/>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1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Sales</w:t>
            </w:r>
          </w:p>
        </w:tc>
      </w:tr>
      <w:tr>
        <w:trPr>
          <w:trHeight w:val="33"/>
        </w:trPr>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291,194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598,724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544,717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7"/>
        </w:trPr>
        <w:tc>
          <w:tcPr>
            <w:tcW w:w="1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142,536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141,891</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300,383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292,076</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33"/>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16"/>
        </w:trPr>
        <w:tc>
          <w:tcPr>
            <w:tcW w:w="1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1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Development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1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Selling, General &amp;</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3"/>
        </w:trPr>
        <w:tc>
          <w:tcPr>
            <w:tcW w:w="1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Administrative</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111,426</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109,948</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224,159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209,010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6"/>
        </w:trPr>
        <w:tc>
          <w:tcPr>
            <w:tcW w:w="1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1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charges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6"/>
        </w:trPr>
        <w:tc>
          <w:tcPr>
            <w:tcW w:w="1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43"/>
        </w:trPr>
        <w:tc>
          <w:tcPr>
            <w:tcW w:w="1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124,190</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120,094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252,349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227,043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7"/>
        </w:trPr>
        <w:tc>
          <w:tcPr>
            <w:tcW w:w="1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21,797</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48,034</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65,033</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1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for the three months ended January 31, 2014 increased 6.8% to $291.2 million, compared to $272.7 million in the same period of the prior year. The increase in sales was primarily a result of acquisition growth of 8.5%, which was partially offset by an organic sales decline of 1.1% and a negative currency impact of 0.6%. The Company acquired PDC within the IDS segment in December 2012. The organic sales decline was a result of a 6.8% organic sales decline in the WPS segment, partially offset by 2.5% organic sales growth in the IDS segment.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for the six months ended January 31, 2014 increased 9.9% to $598.7 million, compared to $544.7 million in the same period of the prior year. The increase in sales was primarily a result of acquisition growth of 12.0%, which was partially offset by an organic sales decline of 1.6% and a negative currency impact of 0.5%. The organic sales decline was a result of an 8.4% organic sales decline in the WPS segment, partially offset by 2.9% organic sales growth in the IDS segment.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margin as a percentage of sales decreased to 48.9% for the three months ended January 31, 2014, from 52.0% in the same period of the prior year. Excluding the non-recurring fair value adjustment for acquisition-date inventory for PDC of $1.5 million in the three months ended January 31, 2013, gross margin decreased 360 basis points. The decline was primarily incurred in the WPS segment, with a lesser decline in the IDS segment. The decline in the WPS segment was primarily a result of pricing actions and a decline in organic sales. The decline in gross margin in the IDS segment was primarily due to the acquisition of PDC, which has a lower gross profit margin than the remainder of IDS, increased expenses associated with facility consolidations, and increased cost of supplies and materials. These incremental costs were partially mitigated by organic sales growth within the IDS segment.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margin as a percentage of sales decreased to 50.2% for the six months ended January 31, 2014, from 53.6% in the same period of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one-third of the decline was due to the acquisition of PDC in December 2012, which is a lower margin business than the rest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remainder of the decline in gross margin was incurred in both the WPS and IDS businesses as discussed with respect to the three-month period.</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("R&amp;D") for the three months ended January 31, 2014, increased 2.8% to $8.4 million, compared to $8.2 million in the same period of the prior year, and increased 5.8% to $17.0 million for the six months ended January 31, 2014, compared to $16.1 million for the same period in the prior year. As a percentage of sales for the three months ended January 31, 2014, R&amp;D expenses decreased to 2.9% from 3.0% in the same period of the prior year, and decreased to 2.8% from 3.0% for the six months ended January 31, 2014, compared to the same period of the prior year. The increase in R&amp;D expense for both the three and six month periods was due to timing, as well as additional investment for new product development at PDC. The decrease in R&amp;D expense as a percentage of sales for both the three and six month periods was a result of increased sales from PDC, which incurs less R&amp;D expenses compared to the rest of the IDS business.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1.3% to $111.4 million for the three months ended January 31, 2014, compared to $109.9 million in the same period in the prior year. The increase was primarily due to the addition of PDC, which added approximately $6 million in incremental SG&amp;A to the three-month period ended January 31, 2014. SG&amp;A for the same period in the prior year included $3.6 million in professional fees for the acquisition of PDC.</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expenses increased 7.2% to $224.2 million for the six months ended January 31, 2014, compared to $209.0 million in the same period of the prior year. The increase was primarily due to the addition of PDC, which added approximately $18 million in incremental SG&amp;A to the six-month period ended January 31, 2014. SG&amp;A for the same period in the prior year included $3.6 million in professional fees for the acquisition of PDC.</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January 31, 2014, the Company’s Board of Directors approved a restructuring plan to consolidate facilities in North America, Europe and Asia. The Company implemented this restructuring plan to enhance customer service, improve efficiency of operations and reduce operating expenses. The Company expects to incur pre-tax charges of approximately $22 million in fiscal 2014 due primarily to facility consolidation activities, and expects approximately $10 million in annualized, pre-tax operational savings once these restructuring actions are fully complete. Facility consolidation activities will extend into fiscal 2015. Restructuring charges for the three and six months ended January 31, 2014 were $4.3 million and $11.2 million, respectively. Of the $4.3 million recognized during the three-month period ended January 31, 2014, $2.5 million was incurred within the IDS segment and $1.8 million was incurred within the WPS segment. Of the $11.2 million recognized during the six- month period ended January 31, 2014, $6.5 million was incurred within the IDS segment and $4.7 million was incurred within the WPS segment. Restructuring charges were $1.9 million for the three and six months ended January 31, 2013. These charges were primarily related to the acquisition of PDC and on-going facility consolidation activities.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was $18.3 million during the three months ended January 31, 2014; excluding restructuring charges of $4.3 million, operating income was $22.6 million. Operating income was $21.8 million for the three months ended January 31, 2013; excluding restructuring charges of $1.9 million and $3.6 million in professional fees related to the PDC acquisition, operating income was $27.3 million. This decline of $4.7 million was primarily due to the decrease in sales and segment profit within the WPS segment, which was partially offset by the increase in sales and profit from the IDS segment.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was $48.0 million during the six months ended January 31, 2014; excluding restructuring charges of $11.2 million, operating income was $59.2 million. Operating income was $65.0 million for the six months ended January 31, 2013; excluding restructuring charges of $1.9 million and $3.6 million in professional fees related to the PDC acquisition, operating income was $70.5 million. This decline of $11.3 million was primarily due to the decrease in sales and segment profit within the WPS segment, which was partially offset by the increase in sales and profit from the IDS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EARNINGS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9"/>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60" w:type="dxa"/>
            <w:vAlign w:val="bottom"/>
          </w:tcPr>
          <w:p>
            <w:pPr>
              <w:spacing w:after="0"/>
              <w:rPr>
                <w:sz w:val="18"/>
                <w:szCs w:val="18"/>
                <w:color w:val="auto"/>
              </w:rPr>
            </w:pPr>
          </w:p>
        </w:tc>
        <w:tc>
          <w:tcPr>
            <w:tcW w:w="3240" w:type="dxa"/>
            <w:vAlign w:val="bottom"/>
            <w:gridSpan w:val="8"/>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6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6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37"/>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and (expense):</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2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3"/>
        </w:trPr>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37"/>
        </w:trPr>
        <w:tc>
          <w:tcPr>
            <w:tcW w:w="2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3"/>
        </w:trPr>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 before income tax</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14,925</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18,289</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37"/>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42,138</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43"/>
        </w:trPr>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196"/>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from discontinued</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10"/>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 net of income taxes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0"/>
        </w:trPr>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and other income decreased to $0.3 million for the three months ended January 31, 2014, from $0.9 million for the same period in the prior year. Investment and other income decreased to $1.0 million for the six months ended January 31, 2014, from $1.3 million for the same period in the prior year. For both the three and six month periods, the decrease was primarily due to the decline in market value of securities held in executive deferred compensation plans.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to $3.7 million for the three months ended January 31, 2014, from $4.4 million for the same period in the prior year. Interest expense decreased to $7.4 million for the six months ended January 31, 2014, from $8.6 million for the same period in the prior year. For both the three and six month periods, the decrease was due to the Company’s declining principal balance under its outstanding loan agreements.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effective tax rate on continuing operations was 29.5% for the three months and 31.2% for the six months ended January 31, 2014, compared to 158.4% for the three months and 73.0% for the six months ended January 31, 2013. The decrease in the effective tax rate was primarily driven by the non-cash tax charge of $25.0 million associated with the funding of the PDC acquisition in the three and six months ended January 31, 2013. Excluding this tax charge, the effective tax rate was 21.7% for the three months and 29.7% for the six months ended January 31, 2013. The increase in the effective tax rate excluding the tax charge recognized in conjunction with the funding of PDC was due to the prior year reinstatement of the American Taxpayer Relief Act, which retroactively reinstated and extended various tax provisions applicable to the Company, including the Federal Research and Development Tax Credit. As a result, a discrete tax benefit of $1.8 million was recorded in the three months ended January 31, 2013.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Discontinued operations include the Asia Die-Cut and Balkhausen businesses, which are classified as held for sale as of January 31, 2014. In addition, discontinued operations include the fiscal year 2013 divestitures of Brady Medical and Varitronics which took place in August 2012 and October 2012, respectively, both within the IDS segment.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from discontinued operations net of income taxes was $5.9 million and $2.0 million for the three months ended January 31, 2014 and 2013, respectively. The increase in income from discontinued operations was due to the discontinuance of depreciation and amortization expense of $3.0 million (pre-tax), and a tax benefit of $3.1 million associated with the conclusion of a tax audit in China. The three months ended January 31, 2013 included a $5.2 million gain on the settlement of the insurance claim related to a Thailand flood.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from discontinued operations net of income taxes was $11.7 million and $2.9 million for the six months ended January 31, 2014 and 2013, respectively. The increase in income from discontinued operations was due to the discontinuance of depreciation and amortization expense of $6.0 million (pre-tax), and a tax benefit of $3.1 million associated with the conclusion of a tax audit in China. In addition, the prior period results are impacted by a loss of $3.4 million on the divestitures of Brady Medical and Varitronics recognized during the first quarter of fiscal 2013 and a $5.2 million gain on the settlement of the insurance claim related to a Thailand flood during the second quarter of fiscal 2013.</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Asia Die-Cut business was first reported as held for sale as of the quarter ended April 30, 2013, and the Balkhausen business was first reported as held for sale as of the quarter ended July 31, 2013, at which point the fixed assets and intangible assets of these businesses were no longer depreciated or amortized in accordance with applicable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two business platforms: IDS and WPS, which are the reportable segments. Each business platform has a President that reports directly to the Company's chief operating decision maker, its Interim Chief Executive Officer and Chief Financial Officer. Each platform has its own distinct operations, maintains its own financial reports and is evaluated based on global segment profit. The Company has determined that these business platforms comprise its operating and reportable segments based on the information used by the Interim Chief Executive Officer and Chief Financial Officer to allocate resources and assess performance.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six months ended January 31, 2014 and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60" w:type="dxa"/>
            <w:vAlign w:val="bottom"/>
          </w:tcPr>
          <w:p>
            <w:pPr>
              <w:spacing w:after="0"/>
              <w:rPr>
                <w:sz w:val="18"/>
                <w:szCs w:val="18"/>
                <w:color w:val="auto"/>
              </w:rPr>
            </w:pPr>
          </w:p>
        </w:tc>
        <w:tc>
          <w:tcPr>
            <w:tcW w:w="23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4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0" w:type="dxa"/>
            <w:vAlign w:val="bottom"/>
          </w:tcPr>
          <w:p>
            <w:pPr>
              <w:spacing w:after="0"/>
              <w:rPr>
                <w:sz w:val="20"/>
                <w:szCs w:val="20"/>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SALES TO EXTERNAL CUSTOMERS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4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194,732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168,234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404,278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330,627</w:t>
            </w:r>
          </w:p>
        </w:tc>
      </w:tr>
      <w:tr>
        <w:trPr>
          <w:trHeight w:val="3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96,462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104,468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194,446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214,090</w:t>
            </w: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291,194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272,702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598,724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544,717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3184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1840" cy="19748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SALES GROWTH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ID Solutions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i w:val="1"/>
                <w:iCs w:val="1"/>
                <w:color w:val="auto"/>
              </w:rPr>
              <w:t>Workplace Safety</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SEGMENT PROFIT</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37,526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34,643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88,493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79,223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23,600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33,042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51,429</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52,194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58,243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121,535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130,652</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SEGMENT PROFIT AS A PERCENT OF SALES</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earnings from continuing operations before income taxes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2014 and 2013: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25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60" w:type="dxa"/>
            <w:vAlign w:val="bottom"/>
          </w:tcPr>
          <w:p>
            <w:pPr>
              <w:spacing w:after="0"/>
              <w:rPr>
                <w:sz w:val="18"/>
                <w:szCs w:val="18"/>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4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130,652</w:t>
            </w:r>
          </w:p>
        </w:tc>
      </w:tr>
      <w:tr>
        <w:trPr>
          <w:trHeight w:val="224"/>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Unallocated amounts: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4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Administrative costs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(63,686)</w:t>
            </w:r>
          </w:p>
        </w:tc>
      </w:tr>
      <w:tr>
        <w:trPr>
          <w:trHeight w:val="237"/>
        </w:trPr>
        <w:tc>
          <w:tcPr>
            <w:tcW w:w="4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charges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33"/>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37"/>
        </w:trPr>
        <w:tc>
          <w:tcPr>
            <w:tcW w:w="4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w:t>
            </w:r>
          </w:p>
        </w:tc>
      </w:tr>
      <w:tr>
        <w:trPr>
          <w:trHeight w:val="33"/>
        </w:trPr>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 Solutions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Approximately 70% of net sales in the IDS segment were generated in the Americas region, 20% in EMEA and 10% in APAC. IDS sales increased 15.8% to $194.7 million for the three months and 22.3% to $404.3 million for the six months ended January 31, 2014, compared to $168.2 million and $330.6 million, respectively, for the same periods in the prior year. The majority of the sales increase in both periods was due to the acquisition of PDC in December 2012, which added 13.8% and 19.8% sales growth. Organic sales increased 2.5% and 2.9% during the three and six months ended January 31, 2014, respectively, compared to the same periods in the prior year. The organic sales growth rate of 2.5% for the three months ended January 31, 2014 was a slight decline from the preceding three months’ organic growth rate of 3.3%, resulting in organic growth of 2.9% for the six months ended January 31, 2014. Currency fluctuations were minimal, decreasing sales by 0.5% and 0.4% in the three and six months ended January 31, 2014, respectively.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organic IDS business in the Americas declined slightly for three months ended January 31, 2014, compared to the same period in the prior year, primarily due to organic sales declines in the U.S. Similar to the three months ended October 31, 2013, the IDS business within the U.S. experienced an expansion in its core product line sales including product, wire, and safety and facility identification; however, in the three months ended January 31, 2014, this expansion was offset by a slowdown in order patterns from large distributors. Sales were flat in Brazil for the three months ended January 31, 2014, compared to the same period in the prior year, but represented an improvement from the organic sales decline in the three months ended October 31, 2013. The Brazilian business demonstrated signs of improvement despite a loss of share with certain OEM customers as we work to broaden our customer base and improve customer service and product quality.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PDC business, which represents the acquisition growth in the IDS segment, generated sales of $39.3 million and $81.6 million during the three and six months ended January 31, 2014, respectively. PDC is predominantly focused in the healthcare industry, and its sales correlate with U.S. hospital admission rates, which have decreased during the three and six months ended January 31, 2014. PDC's profit was as anticipated as we continue to identify synergies and leverage cost structure.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IDS business in EMEA continued its trend from the preceding three months with mid-single-digit organic sales growth for the three months ended January 31, 2014, as compared to the same period in the prior year, which also represented a modest improvement from organic sales growth for the three months ended October 31, 2013. Growth continues to be driven by our businesses in the established Western European economies as well as Central Europe, where the economies are improving.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IDS business in APAC experienced double-digit organic sales growth for the three and six months ended January 31, 2014, as we have experienced success in delivering high-quality, region-specific products while providing exceptional customer service to our OEM customer base. Sales of product identification to our OEM customers in China were particularly strong as we continue to expand production capacity and capabilities.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Segment profit increased to $37.6 million from $34.6 million for the three months, and increased to $88.5 million from $79.2 million for the six months ended January 31, 2014, compared to the same periods in the prior year. As a percentage of sales, segment profit decreased to 19.3% from 20.6% for the three months, and decreased to 21.9% from 24.0% for the six months ended January 31, 2014, compared to the same periods in the prior year. Although PDC added $4.4 million and $12.7 million in incremental segment profit in the three and six month periods ended January 31, 2014, its results were dilutive to our segment profit percentage. Excluding the incremental PDC profit, the percentage of sales still declined primarily due to increased expenses associated with facility consolidation activities and increased cost of supplies and materials.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August 1, 2013, the existing Brady PeopleID business was integrated into the PeopleID reporting unit and as a result, the Company completed an analysis as of this date to conclude upon the appropriate goodwill allocation and any impairment indicators. The PeopleID reporting unit had a fair value in excess of carrying value of 12% and a goodwill balance of $193.3 million at January 31, 2014. In order to conclude upon the assumptions for the discounted cash flow analysis, the Company considered multiple factors, including (a) macroeconomic conditions, (b) industry and market factors such as competition and changes in the market for the reporting unit’s products, (c) overall financial performance such as cash flows, actual and planned revenue, and profitability, and (d) changes in strategy for the reporting unit. If the PeopleID reporting unit does not meet its projections, it could become impaired. The assumptions with the most impact on our determination of the fair value of the PeopleID reporting unit are sales growth and profitability. A reduction in the annual sales growth or annual profitability assumptions by 100 basis points would result in a fair value of less than carrying value for the reporting unit.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WPS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Approximately 50% of net sales in the WPS segment were generated in EMEA, 35% in the Americas and 15% in APAC. The WPS business segment sales have declined for the last nine quarters due to a reduction in direct catalog mailings, increased e-commerce competition and pricing actions. As a result, in connection with our organizational change to global business platforms during the second half of fiscal 2013, we refined our WPS strategy to focus on and invest in the following: increasing our volume of catalog mailings, expanding our e-commerce presence, increasing the offering of workplace safety products, enhancing our industry expertise, and adjusting our pricing strategies.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WPS sales decreased 7.7% to $96.5 million for the three months and 9.2% to $194.4 million for the six months ended January 31, 2014, compared to $104.5 million and $214.1 million, respectively, for the same periods in the prior year. Organic sales declined 6.8%, an improvement from the preceding three months’ organic sales decline of 10.0%, resulting in a six month organic sales decline of 8.4% for the six months ended January 31, 2014, compared to the same period in the prior year.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WPS sales in the Americas continued to experience high single digit percentage declinesfor the three and six months ended January 31, 2014, compared to the same periods in the prior year. The WPS business in Europe, primarily the established Western European economies, experienced an organic sales decline of mid-single digits for the three months ended January 31, 2014, which was a modest improvement from the high single digit organic sales decline for the three months ended October 31, 2013. This trend is consistent with the IDS segment in which the Western European economies are demonstrating an improvement.</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Australia, included within the WPS APAC region, continued to experience high single digit percentage declines for the three and six months ended January 31, 2014, as compared to the same periods in the prior year. While the Company's Australian business is focused within many diverse industries, it has a higher concentration in industries that are experiencing economic challenges, which include manufacturing, non-residential construction, and most importantly, mining. We have taken actions to reduce our cost structure in Australia while at the same time implementing sales growth initiatives.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profit decreased to $14.7 million from $23.6 million for the three months, and decreased to $33.0 million from $51.4 million for the six months ended January 31, 2014, compared to the same periods in the prior year. As a percentage of sales, segment profit decreased to 15.2% from 22.6% for the three months, and decreased to 17.0% from 24.0% for the six months ended January 31, 2014, compared to the same periods in the prior year. The segment profit decline for the three and six months ended January 31, 2014 was due to pricing actions, changes in mix, and the strategic investments intended to return the business to growth.</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WPS EMEA and WPS APAC reporting units had goodwill of $59.3 million and $31.1 million, respectively, as of January 31, 2014. These reporting units have experienced a decline in sales for the last nine quarters primarily due to reduced sales generated from catalogs, as well as an economic slowdown within Western Europe and Australia. Although our sales in e-commerce have increased, the shift is not sufficient to entirely compensate for the lost sales from the traditional catalog model. Management is addressing this via investments in digital capabilities and focused emphasis on growing the customer base, and we anticipate returning to annual sales growth over the next several years. The annual goodwill impairment analysis performed as of May 1, 2013 for these reporting units resulted in a significant fair value excess over carrying value, which the Company considers to be at 20% or greater. However, if the Company does not realize a sufficient return on its strategic investment in the WPS business, these reporting units could face the risk of a material goodwill impairment charge, which may adversely affect earnings in the period in which the charge is recorded. The third reporting unit in the WPS segment is WPS Americas, which had goodwill of $10.9 million as of January 31, 2014. This reporting unit was impaired during fiscal 2013 and had a significant excess of fair value over carrying value subsequent to the impairment charge.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decreased by $11.9 million and $164.6 million during the six months ended January 31, 2014 and 2013. The significant changes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44,194</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(306,795)</w:t>
            </w: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88,590</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w:t>
            </w:r>
          </w:p>
        </w:tc>
      </w:tr>
      <w:tr>
        <w:trPr>
          <w:trHeight w:val="217"/>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(164,589)</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by $2.4 million to $41.8 million from $44.2 million for the six months ended January 31, 2014 and 2013, respectively. Adjusting for incentive compensation payments of approximately $13 million and the receipt of the insurance refund related to the Thailand flood of approximately $5 million, both incurred in the first half of fiscal 2013, cash provided by operating activities decreased by approximately $10 million during the six months ended January 31, 2014 as compared to the six months ended January 31, 2013. Half of this decline was due to a planned increase in inventory as part of the facility consolidation project, and the remaining decline was due to an increase in catalog spending during the three months ended January 31, 2014.</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$17.5 million for the six months ended January 31, 2014, compared to $306.8 million in the same period of the prior year. The decrease was due to the acquisition of PDC for $300.8 million, partially offset by $10.2 million in cash received from the divestitures of Brady Medical and Varitronics during the six months ended January 31, 2013.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$37.3 million during the six months ended January 31, 2014, compared to net cash provided by financing activities of $88.6 million in the same period of the prior year. The decrease was due to the net drawdown on the revolving loan agreement of $107.5 million to fund the acquisition of PDC during the six months ended January 31, 2013.</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fiscal 2004 through fiscal 2007, the Company completed three private placement note issuances totaling $500 million of ten-year fixed rate notes with varying maturity dates to institutional investors at interest rates varying from 5.14% to 5.33%. The notes must be repaid equally over seven years, with initial payment due dates ranging from 2008 to 2011, with interest payable on the notes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 2012, the Company and certain of its subsidiaries entered into an unsecured $300 million multi-currency revolving loan agreement with a group of six banks.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to $450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2012, the Company drew down $220 million from its revolving loan agreement to fund a portion of the purchase price of the acquisition of PDC. The borrowings bear interest at LIBOR plus 1.125% per annum, which will be reset from time to time based upon changes in the LIBOR rate. As of July 31, 2013, there was $39 million outstanding on this revolving loan agreement. During the six months ended January 31, 2014, the Company repaid an additional $30 million of this borrowing and the maximum amount outstanding on the revolving loan agreement during the period was $39 million. As of January 31, 2014, the outstanding balance on the revolving loan agreement was $9 million and there was $291 million available for future borrowing under the credit facility, which could be increased to $441 million at the Company's option, subject to certain conditions.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2013, the Company entered into an unsecured $26.2 million multi-currency line of credit in the People's Republic of China. The line of credit supports USD-denominated or CNY-denominated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of the facility and the facility is subject to periodic review and repricing. The Company is not required to comply with any financial covenants as part of this agreement. During fiscal 2014, the maximum amount outstanding was $14.9 million, comprised entirely of USD-denominated borrowings, which was the balance outstanding at January 31, 2014. As of January 31, 2014, there was $11.3 million available for future borrowing under this credit facility.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 EBITDA, as defined in the debt agreements, of not more than a 3.5 to 1.0 ratio (leverage ratio). As of January 31, 2014, the Company was in compliance with the financial covenant of the June 2004, February 2006, and March 2007 private placement agreements, with the ratio of debt to EBITDA, as defined by the agreements, equal to 1.7 to 1.0. As of January 31, 2014, the Company was in compliance with the financial covenant of the May 2010 private placement agreement, with the ratio of debt to EBITDA, as defined by the agreement, equal to 1.7 to 1.0. Additionally, the Company’s February 2012 revolving loan agreement requires the Company to maintain a ratio of debt to trailing twelve month EBITDA, as defined by the debt agreement, of not more than a 3.25 to 1.0 ratio. The revolving loan agreement requires the Company’s trailing twelve months EBITDA to interest expense of not less than a 3.0 to 1.0 ratio (interest expense coverage). As of January 31, 2014, the Company was in compliance with the financial covenants of the revolving loan agreement with the ratio of debt to EBITDA, as defined by the agreement, equal to 1.7 to 1.0 and the interest expense coverage ratio equal to 11.4 to 1.0.</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debt as a percentage of total debt plus stockholders' investment was 25.0% at January 31, 2014 and 27.4% at July 31, 2013. The decrease in the ratio was due to a decrease in total debt of $24.8 million as the Company repaid $30 million of the borrowing on the revolving loan agreement during the six months ended January 31, 2014. In addition, there was an increase in the Company’s stockholders’ investment of $32.6 million, comprised of an increase in retained earnings of $19.2 million and an increase in additional paid-in capital and treasury stock of $13.2 million as a result of stock option exercises.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January 31, 2014, 93.0%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financial flexibility to respond to both internal growth opportunities and those available through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February 19, 2014, the Board of Directors declared a quarterly cash dividend to shareholders of the Company’s Class A and Class B Common Stock of $0.195 per share payable on April 30, 2014, to shareholders of record at the close of business on April 10, 2014.</w:t>
      </w:r>
    </w:p>
    <w:p>
      <w:pPr>
        <w:spacing w:after="0" w:line="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Effective February 20, 2014, Scott R. Hoffman is no longer President - Workplace Safety and Vice President of Brady Corporation. The Company anticipates entering into a written separation agreement with Mr. Hoffman. Effective February 20, 2014, the Workplace Safety business will report to Thomas J. Felmer, Interim President &amp; Chief Executive Officer and Chief Financial Officer, until such time as a successor to Mr. Hoffman is named.</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February 24, 2014, Brady Corporation and LTI Flexible Products, Inc. (d/b/a Boyd Corporation), a portfolio company of Snow Phipps Group, LLC, entered into a Share and Asset Purchase Agreement for the sale of the Company’s Die-Cut Business, for a purchase price of $60 million in cash. The purchase price is subject to adjustments for cash and indebtedness of the Die-Cut Business as of the applicable closing and a post-closing working capital adjustment.</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Subsequent to January 31, 2014, the Company has purchased 184,726 shares of its Class A Nonvoting Common Stock under its share repurchase program for $4.9 million. As of February 28, 2014, there remained 1,962,047 shares authorized to purchase in connection with this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Operating Leases - The leases generally are entered into for investments in facilities such as manufacturing facilities, warehouses and office space, computer equipment and Company vehicles.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Contractual Obligations - The Company does not have material financial guarantees or other contractual commitments that are reasonably likely to adversely affect liquidity.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5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80" w:lineRule="exact"/>
        <w:rPr>
          <w:sz w:val="20"/>
          <w:szCs w:val="20"/>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the Workplace Safety strategy;</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or severity of the current worldwide economic downturn or timing or strength of a subsequent recovery;</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parts and components;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pressure from suppliers and customers;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retain significant contracts and customers;</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rates versus the U.S. dollar;</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international operations;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exports;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governmental approvals and maintaining regulatory compliance;</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develop and successfully market new products;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identifying, completing, and integrating acquisitions;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divestitures and businesses held for sale;</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restructuring plans;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health and safety compliance costs and liabilities;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loss of key talent;</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product liability claims;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and potential security violations to the Company's information technology systems;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maintain compliance with its debt covenants;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our level of debt;</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Brady's substantial intangible assets;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tax consequences;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ownership structure; and</w:t>
      </w:r>
    </w:p>
    <w:p>
      <w:pPr>
        <w:spacing w:after="0" w:line="9" w:lineRule="exact"/>
        <w:rPr>
          <w:rFonts w:ascii="Times New Roman" w:cs="Times New Roman" w:eastAsia="Times New Roman" w:hAnsi="Times New Roman"/>
          <w:sz w:val="18"/>
          <w:szCs w:val="18"/>
          <w:color w:val="auto"/>
        </w:rPr>
      </w:pPr>
    </w:p>
    <w:p>
      <w:pPr>
        <w:jc w:val="both"/>
        <w:ind w:left="540" w:hanging="316"/>
        <w:spacing w:after="0" w:line="255"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w:t>
      </w:r>
    </w:p>
    <w:p>
      <w:pPr>
        <w:spacing w:after="0" w:line="13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9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2013. There has been no material change in this information since July 31, 2013.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9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Interim President and Chief Executive Officer and Chief Financial Officer, of the effectiveness of the design and operation of the Company’s disclosure controls and procedures pursuant to Rule 13a-15 of the Exchange Act. Based on that evaluation, the Company’s Interim President &amp; Chief Executive Officer and Chief Financial Officer concluded that the Company’s disclosure controls and procedures are effective as of the end of the period covered by this report.</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Exhibits</w:t>
      </w:r>
    </w:p>
    <w:p>
      <w:pPr>
        <w:spacing w:after="0" w:line="171"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Change of Control Agreement, dated as of March 3, 2014, entered into with Helena R. Nelligan</w:t>
      </w:r>
    </w:p>
    <w:p>
      <w:pPr>
        <w:spacing w:after="0" w:line="38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Change of Control Agreement, dated as of March 3, 2014, entered into with Bentley N. Curran</w:t>
      </w:r>
    </w:p>
    <w:p>
      <w:pPr>
        <w:spacing w:after="0" w:line="38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Change of Control Agreement, dated as of March 3, 2014, entered into with Lee E. Marks</w:t>
      </w:r>
    </w:p>
    <w:p>
      <w:pPr>
        <w:spacing w:after="0" w:line="38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Rule 13a-14(a)/15d-14(a)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Section 1350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w:t>
      </w:r>
    </w:p>
    <w:p>
      <w:pPr>
        <w:spacing w:after="0" w:line="19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387" w:lineRule="exact"/>
        <w:rPr>
          <w:sz w:val="20"/>
          <w:szCs w:val="20"/>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18"/>
          <w:szCs w:val="18"/>
          <w:color w:val="auto"/>
        </w:rPr>
        <w:t>Date: March 5, 2014</w:t>
      </w:r>
      <w:r>
        <w:rPr>
          <w:sz w:val="20"/>
          <w:szCs w:val="20"/>
          <w:color w:val="auto"/>
        </w:rPr>
        <w:tab/>
      </w:r>
      <w:r>
        <w:rPr>
          <w:rFonts w:ascii="Times New Roman" w:cs="Times New Roman" w:eastAsia="Times New Roman" w:hAnsi="Times New Roman"/>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34290</wp:posOffset>
            </wp:positionV>
            <wp:extent cx="25984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Thomas J. Felmer</w:t>
      </w:r>
    </w:p>
    <w:p>
      <w:pPr>
        <w:spacing w:after="0" w:line="6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Interim President &amp; Chief Executive Officer and</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Officer)</w:t>
      </w: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20"/>
          </w:cols>
          <w:pgMar w:left="240" w:top="118" w:right="339" w:bottom="1440" w:gutter="0" w:footer="0" w:header="0"/>
        </w:sectPr>
      </w:pPr>
    </w:p>
    <w:bookmarkStart w:id="36" w:name="page37"/>
    <w:bookmarkEnd w:id="36"/>
    <w:p>
      <w:pPr>
        <w:ind w:left="102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 Agreement</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made as of March 3, 2014, between Brady Corporation, a Wisconsin corporation, (“Corporation”) and Helena Nelligan.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the Executive and Corporation agree as follows:</w:t>
      </w:r>
    </w:p>
    <w:p>
      <w:pPr>
        <w:spacing w:after="0" w:line="252"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DEFINITIONS.</w:t>
      </w:r>
    </w:p>
    <w:p>
      <w:pPr>
        <w:spacing w:after="0" w:line="50" w:lineRule="exact"/>
        <w:rPr>
          <w:sz w:val="20"/>
          <w:szCs w:val="20"/>
          <w:color w:val="auto"/>
        </w:rPr>
      </w:pPr>
    </w:p>
    <w:p>
      <w:pPr>
        <w:jc w:val="both"/>
        <w:ind w:firstLine="1305"/>
        <w:spacing w:after="0" w:line="308" w:lineRule="auto"/>
        <w:tabs>
          <w:tab w:leader="none" w:pos="21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79" w:lineRule="exact"/>
        <w:rPr>
          <w:rFonts w:ascii="Times New Roman" w:cs="Times New Roman" w:eastAsia="Times New Roman" w:hAnsi="Times New Roman"/>
          <w:sz w:val="18"/>
          <w:szCs w:val="18"/>
          <w:color w:val="auto"/>
        </w:rPr>
      </w:pPr>
    </w:p>
    <w:p>
      <w:pPr>
        <w:jc w:val="both"/>
        <w:ind w:firstLine="1305"/>
        <w:spacing w:after="0" w:line="302" w:lineRule="auto"/>
        <w:tabs>
          <w:tab w:leader="none" w:pos="21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85" w:lineRule="exact"/>
        <w:rPr>
          <w:rFonts w:ascii="Times New Roman" w:cs="Times New Roman" w:eastAsia="Times New Roman" w:hAnsi="Times New Roman"/>
          <w:sz w:val="18"/>
          <w:szCs w:val="18"/>
          <w:color w:val="auto"/>
        </w:rPr>
      </w:pPr>
    </w:p>
    <w:p>
      <w:pPr>
        <w:jc w:val="both"/>
        <w:ind w:firstLine="1305"/>
        <w:spacing w:after="0" w:line="303" w:lineRule="auto"/>
        <w:tabs>
          <w:tab w:leader="none" w:pos="21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87" w:lineRule="exact"/>
        <w:rPr>
          <w:rFonts w:ascii="Times New Roman" w:cs="Times New Roman" w:eastAsia="Times New Roman" w:hAnsi="Times New Roman"/>
          <w:sz w:val="18"/>
          <w:szCs w:val="18"/>
          <w:color w:val="auto"/>
        </w:rPr>
      </w:pPr>
    </w:p>
    <w:p>
      <w:pPr>
        <w:jc w:val="both"/>
        <w:ind w:firstLine="1305"/>
        <w:spacing w:after="0" w:line="297" w:lineRule="auto"/>
        <w:tabs>
          <w:tab w:leader="none" w:pos="21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2"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ectPr>
          <w:pgSz w:w="11900" w:h="16838" w:orient="portrait"/>
          <w:cols w:equalWidth="0" w:num="1">
            <w:col w:w="11420"/>
          </w:cols>
          <w:pgMar w:left="240" w:top="576" w:right="239" w:bottom="1440" w:gutter="0" w:footer="0" w:header="0"/>
        </w:sectPr>
      </w:pPr>
    </w:p>
    <w:bookmarkStart w:id="37" w:name="page38"/>
    <w:bookmarkEnd w:id="37"/>
    <w:p>
      <w:pPr>
        <w:ind w:left="660"/>
        <w:spacing w:after="0"/>
        <w:tabs>
          <w:tab w:leader="none" w:pos="28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PAYMENTS UPON TERMINATION DUE TO CHANGE OF CONTROL.</w:t>
      </w:r>
    </w:p>
    <w:p>
      <w:pPr>
        <w:spacing w:after="0" w:line="266" w:lineRule="exact"/>
        <w:rPr>
          <w:sz w:val="20"/>
          <w:szCs w:val="20"/>
          <w:color w:val="auto"/>
        </w:rPr>
      </w:pPr>
    </w:p>
    <w:p>
      <w:pPr>
        <w:jc w:val="both"/>
        <w:ind w:firstLine="1305"/>
        <w:spacing w:after="0" w:line="297" w:lineRule="auto"/>
        <w:tabs>
          <w:tab w:leader="none" w:pos="21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 bonus payment</w:t>
      </w:r>
    </w:p>
    <w:p>
      <w:pPr>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in the three years immediately prior to the date the Change of Control occurs. Such amount shall be paid in 24 monthly installments beginning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19" w:lineRule="exact"/>
        <w:rPr>
          <w:rFonts w:ascii="Times New Roman" w:cs="Times New Roman" w:eastAsia="Times New Roman" w:hAnsi="Times New Roman"/>
          <w:sz w:val="18"/>
          <w:szCs w:val="18"/>
          <w:color w:val="auto"/>
        </w:rPr>
      </w:pPr>
    </w:p>
    <w:p>
      <w:pPr>
        <w:jc w:val="both"/>
        <w:ind w:firstLine="1305"/>
        <w:spacing w:after="0" w:line="305" w:lineRule="auto"/>
        <w:tabs>
          <w:tab w:leader="none" w:pos="21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3" w:lineRule="exact"/>
        <w:rPr>
          <w:rFonts w:ascii="Times New Roman" w:cs="Times New Roman" w:eastAsia="Times New Roman" w:hAnsi="Times New Roman"/>
          <w:sz w:val="18"/>
          <w:szCs w:val="18"/>
          <w:color w:val="auto"/>
        </w:rPr>
      </w:pPr>
    </w:p>
    <w:p>
      <w:pPr>
        <w:jc w:val="both"/>
        <w:ind w:firstLine="1305"/>
        <w:spacing w:after="0" w:line="301" w:lineRule="auto"/>
        <w:tabs>
          <w:tab w:leader="none" w:pos="21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86" w:lineRule="exact"/>
        <w:rPr>
          <w:sz w:val="20"/>
          <w:szCs w:val="20"/>
          <w:color w:val="auto"/>
        </w:rPr>
      </w:pPr>
    </w:p>
    <w:p>
      <w:pPr>
        <w:ind w:left="660"/>
        <w:spacing w:after="0"/>
        <w:tabs>
          <w:tab w:leader="none" w:pos="28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color w:val="auto"/>
        </w:rPr>
        <w:t>EXCISE TAX, ATTORNEY FEES.</w:t>
      </w:r>
    </w:p>
    <w:p>
      <w:pPr>
        <w:spacing w:after="0" w:line="266" w:lineRule="exact"/>
        <w:rPr>
          <w:sz w:val="20"/>
          <w:szCs w:val="20"/>
          <w:color w:val="auto"/>
        </w:rPr>
      </w:pPr>
    </w:p>
    <w:p>
      <w:pPr>
        <w:jc w:val="both"/>
        <w:ind w:firstLine="1305"/>
        <w:spacing w:after="0" w:line="313" w:lineRule="auto"/>
        <w:tabs>
          <w:tab w:leader="none" w:pos="21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76" w:lineRule="exact"/>
        <w:rPr>
          <w:rFonts w:ascii="Times New Roman" w:cs="Times New Roman" w:eastAsia="Times New Roman" w:hAnsi="Times New Roman"/>
          <w:sz w:val="18"/>
          <w:szCs w:val="18"/>
          <w:color w:val="auto"/>
        </w:rPr>
      </w:pPr>
    </w:p>
    <w:p>
      <w:pPr>
        <w:ind w:right="20" w:firstLine="1305"/>
        <w:spacing w:after="0" w:line="329" w:lineRule="auto"/>
        <w:tabs>
          <w:tab w:leader="none" w:pos="21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62" w:lineRule="exact"/>
        <w:rPr>
          <w:sz w:val="20"/>
          <w:szCs w:val="20"/>
          <w:color w:val="auto"/>
        </w:rPr>
      </w:pPr>
    </w:p>
    <w:p>
      <w:pPr>
        <w:ind w:left="660"/>
        <w:spacing w:after="0"/>
        <w:tabs>
          <w:tab w:leader="none" w:pos="28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89"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CONFIDENTIAL INFORMATION AGREEMENT.</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215"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color w:val="auto"/>
        </w:rPr>
        <w:t>MISCELLANEOUS.</w:t>
      </w:r>
    </w:p>
    <w:p>
      <w:pPr>
        <w:spacing w:after="0" w:line="266" w:lineRule="exact"/>
        <w:rPr>
          <w:sz w:val="20"/>
          <w:szCs w:val="20"/>
          <w:color w:val="auto"/>
        </w:rPr>
      </w:pPr>
    </w:p>
    <w:p>
      <w:pPr>
        <w:jc w:val="both"/>
        <w:ind w:firstLine="1305"/>
        <w:spacing w:after="0" w:line="313" w:lineRule="auto"/>
        <w:tabs>
          <w:tab w:leader="none" w:pos="21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ectPr>
          <w:pgSz w:w="11900" w:h="16838" w:orient="portrait"/>
          <w:cols w:equalWidth="0" w:num="1">
            <w:col w:w="11420"/>
          </w:cols>
          <w:pgMar w:left="240" w:top="607" w:right="239" w:bottom="1440" w:gutter="0" w:footer="0" w:header="0"/>
        </w:sectPr>
      </w:pPr>
    </w:p>
    <w:bookmarkStart w:id="38" w:name="page39"/>
    <w:bookmarkEnd w:id="38"/>
    <w:p>
      <w:pPr>
        <w:jc w:val="both"/>
        <w:ind w:firstLine="1305"/>
        <w:spacing w:after="0" w:line="305" w:lineRule="auto"/>
        <w:tabs>
          <w:tab w:leader="none" w:pos="21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3" w:lineRule="exact"/>
        <w:rPr>
          <w:rFonts w:ascii="Times New Roman" w:cs="Times New Roman" w:eastAsia="Times New Roman" w:hAnsi="Times New Roman"/>
          <w:sz w:val="18"/>
          <w:szCs w:val="18"/>
          <w:color w:val="auto"/>
        </w:rPr>
      </w:pPr>
    </w:p>
    <w:p>
      <w:pPr>
        <w:jc w:val="both"/>
        <w:ind w:firstLine="1305"/>
        <w:spacing w:after="0" w:line="313" w:lineRule="auto"/>
        <w:tabs>
          <w:tab w:leader="none" w:pos="21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6" w:lineRule="exact"/>
        <w:rPr>
          <w:rFonts w:ascii="Times New Roman" w:cs="Times New Roman" w:eastAsia="Times New Roman" w:hAnsi="Times New Roman"/>
          <w:sz w:val="18"/>
          <w:szCs w:val="18"/>
          <w:color w:val="auto"/>
        </w:rPr>
      </w:pPr>
    </w:p>
    <w:p>
      <w:pPr>
        <w:ind w:right="20" w:firstLine="1305"/>
        <w:spacing w:after="0" w:line="329" w:lineRule="auto"/>
        <w:tabs>
          <w:tab w:leader="none" w:pos="21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351" w:lineRule="exact"/>
        <w:rPr>
          <w:sz w:val="20"/>
          <w:szCs w:val="20"/>
          <w:color w:val="auto"/>
        </w:rPr>
      </w:pPr>
    </w:p>
    <w:p>
      <w:pPr>
        <w:ind w:left="1880"/>
        <w:spacing w:after="0"/>
        <w:tabs>
          <w:tab w:leader="none" w:pos="3460" w:val="left"/>
        </w:tabs>
        <w:rPr>
          <w:sz w:val="20"/>
          <w:szCs w:val="20"/>
          <w:color w:val="auto"/>
        </w:rPr>
      </w:pPr>
      <w:r>
        <w:rPr>
          <w:rFonts w:ascii="Times New Roman" w:cs="Times New Roman" w:eastAsia="Times New Roman" w:hAnsi="Times New Roman"/>
          <w:sz w:val="18"/>
          <w:szCs w:val="18"/>
          <w:color w:val="auto"/>
        </w:rPr>
        <w:t>If to the Executive:</w:t>
        <w:tab/>
        <w:t>Helena Nelligan</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4551 Gulf Shore Boulevard, Unit 606</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Naples, FL 34103</w:t>
      </w:r>
    </w:p>
    <w:p>
      <w:pPr>
        <w:spacing w:after="0" w:line="207" w:lineRule="exact"/>
        <w:rPr>
          <w:sz w:val="20"/>
          <w:szCs w:val="20"/>
          <w:color w:val="auto"/>
        </w:rPr>
      </w:pPr>
    </w:p>
    <w:p>
      <w:pPr>
        <w:ind w:left="660"/>
        <w:spacing w:after="0"/>
        <w:tabs>
          <w:tab w:leader="none" w:pos="2400" w:val="left"/>
        </w:tabs>
        <w:rPr>
          <w:sz w:val="20"/>
          <w:szCs w:val="20"/>
          <w:color w:val="auto"/>
        </w:rPr>
      </w:pPr>
      <w:r>
        <w:rPr>
          <w:rFonts w:ascii="Times New Roman" w:cs="Times New Roman" w:eastAsia="Times New Roman" w:hAnsi="Times New Roman"/>
          <w:sz w:val="18"/>
          <w:szCs w:val="18"/>
          <w:color w:val="auto"/>
        </w:rPr>
        <w:t>If to the Corporation:</w:t>
        <w:tab/>
        <w:t>Brady Corporation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6555 West Good Hope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CFO</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89" w:lineRule="exact"/>
        <w:rPr>
          <w:sz w:val="20"/>
          <w:szCs w:val="20"/>
          <w:color w:val="auto"/>
        </w:rPr>
      </w:pPr>
    </w:p>
    <w:p>
      <w:pPr>
        <w:jc w:val="both"/>
        <w:ind w:left="660" w:firstLine="1293"/>
        <w:spacing w:after="0" w:line="308" w:lineRule="auto"/>
        <w:tabs>
          <w:tab w:leader="none" w:pos="28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9" w:lineRule="exact"/>
        <w:rPr>
          <w:rFonts w:ascii="Times New Roman" w:cs="Times New Roman" w:eastAsia="Times New Roman" w:hAnsi="Times New Roman"/>
          <w:sz w:val="18"/>
          <w:szCs w:val="18"/>
          <w:color w:val="auto"/>
        </w:rPr>
      </w:pPr>
    </w:p>
    <w:p>
      <w:pPr>
        <w:ind w:firstLine="1305"/>
        <w:spacing w:after="0" w:line="329" w:lineRule="auto"/>
        <w:tabs>
          <w:tab w:leader="none" w:pos="21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61" w:lineRule="exact"/>
        <w:rPr>
          <w:rFonts w:ascii="Times New Roman" w:cs="Times New Roman" w:eastAsia="Times New Roman" w:hAnsi="Times New Roman"/>
          <w:sz w:val="18"/>
          <w:szCs w:val="18"/>
          <w:color w:val="auto"/>
        </w:rPr>
      </w:pPr>
    </w:p>
    <w:p>
      <w:pPr>
        <w:jc w:val="both"/>
        <w:ind w:firstLine="1305"/>
        <w:spacing w:after="0" w:line="313" w:lineRule="auto"/>
        <w:tabs>
          <w:tab w:leader="none" w:pos="21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6" w:lineRule="exact"/>
        <w:rPr>
          <w:rFonts w:ascii="Times New Roman" w:cs="Times New Roman" w:eastAsia="Times New Roman" w:hAnsi="Times New Roman"/>
          <w:sz w:val="18"/>
          <w:szCs w:val="18"/>
          <w:color w:val="auto"/>
        </w:rPr>
      </w:pPr>
    </w:p>
    <w:p>
      <w:pPr>
        <w:jc w:val="both"/>
        <w:ind w:firstLine="1305"/>
        <w:spacing w:after="0" w:line="313" w:lineRule="auto"/>
        <w:tabs>
          <w:tab w:leader="none" w:pos="21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76" w:lineRule="exact"/>
        <w:rPr>
          <w:rFonts w:ascii="Times New Roman" w:cs="Times New Roman" w:eastAsia="Times New Roman" w:hAnsi="Times New Roman"/>
          <w:sz w:val="18"/>
          <w:szCs w:val="18"/>
          <w:color w:val="auto"/>
        </w:rPr>
      </w:pPr>
    </w:p>
    <w:p>
      <w:pPr>
        <w:ind w:firstLine="1305"/>
        <w:spacing w:after="0" w:line="329"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61" w:lineRule="exact"/>
        <w:rPr>
          <w:rFonts w:ascii="Times New Roman" w:cs="Times New Roman" w:eastAsia="Times New Roman" w:hAnsi="Times New Roman"/>
          <w:sz w:val="18"/>
          <w:szCs w:val="18"/>
          <w:color w:val="auto"/>
        </w:rPr>
      </w:pPr>
    </w:p>
    <w:p>
      <w:pPr>
        <w:ind w:firstLine="1305"/>
        <w:spacing w:after="0" w:line="329"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61" w:lineRule="exact"/>
        <w:rPr>
          <w:rFonts w:ascii="Times New Roman" w:cs="Times New Roman" w:eastAsia="Times New Roman" w:hAnsi="Times New Roman"/>
          <w:sz w:val="18"/>
          <w:szCs w:val="18"/>
          <w:color w:val="auto"/>
        </w:rPr>
      </w:pPr>
    </w:p>
    <w:p>
      <w:pPr>
        <w:jc w:val="both"/>
        <w:ind w:firstLine="1305"/>
        <w:spacing w:after="0" w:line="313" w:lineRule="auto"/>
        <w:tabs>
          <w:tab w:leader="none" w:pos="21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w:t>
      </w:r>
    </w:p>
    <w:p>
      <w:pPr>
        <w:sectPr>
          <w:pgSz w:w="11900" w:h="16838" w:orient="portrait"/>
          <w:cols w:equalWidth="0" w:num="1">
            <w:col w:w="11420"/>
          </w:cols>
          <w:pgMar w:left="240" w:top="823" w:right="239" w:bottom="1440" w:gutter="0" w:footer="0" w:header="0"/>
        </w:sectPr>
      </w:pPr>
    </w:p>
    <w:bookmarkStart w:id="39" w:name="page40"/>
    <w:bookmarkEnd w:id="39"/>
    <w:p>
      <w:pPr>
        <w:spacing w:after="0" w:line="329" w:lineRule="auto"/>
        <w:rPr>
          <w:sz w:val="20"/>
          <w:szCs w:val="20"/>
          <w:color w:val="auto"/>
        </w:rPr>
      </w:pPr>
      <w:r>
        <w:rPr>
          <w:rFonts w:ascii="Times New Roman" w:cs="Times New Roman" w:eastAsia="Times New Roman" w:hAnsi="Times New Roman"/>
          <w:sz w:val="18"/>
          <w:szCs w:val="18"/>
          <w:color w:val="auto"/>
        </w:rPr>
        <w:t>distribution shall constitute a full discharge with respect to the Corporation and the Corporation shall not be required to see to the application of any distribution so made.</w:t>
      </w:r>
    </w:p>
    <w:p>
      <w:pPr>
        <w:spacing w:after="0" w:line="162" w:lineRule="exact"/>
        <w:rPr>
          <w:sz w:val="20"/>
          <w:szCs w:val="20"/>
          <w:color w:val="auto"/>
        </w:rPr>
      </w:pPr>
    </w:p>
    <w:p>
      <w:pPr>
        <w:ind w:left="660"/>
        <w:spacing w:after="0"/>
        <w:tabs>
          <w:tab w:leader="none" w:pos="28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CLAIMS PROCEDURE.</w:t>
      </w:r>
    </w:p>
    <w:p>
      <w:pPr>
        <w:spacing w:after="0" w:line="266" w:lineRule="exact"/>
        <w:rPr>
          <w:sz w:val="20"/>
          <w:szCs w:val="20"/>
          <w:color w:val="auto"/>
        </w:rPr>
      </w:pPr>
    </w:p>
    <w:p>
      <w:pPr>
        <w:jc w:val="both"/>
        <w:ind w:firstLine="1305"/>
        <w:spacing w:after="0" w:line="302" w:lineRule="auto"/>
        <w:tabs>
          <w:tab w:leader="none" w:pos="21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Times New Roman" w:cs="Times New Roman" w:eastAsia="Times New Roman" w:hAnsi="Times New Roman"/>
          <w:sz w:val="18"/>
          <w:szCs w:val="18"/>
          <w:color w:val="auto"/>
        </w:rPr>
      </w:pPr>
    </w:p>
    <w:p>
      <w:pPr>
        <w:jc w:val="both"/>
        <w:ind w:firstLine="1305"/>
        <w:spacing w:after="0" w:line="303" w:lineRule="auto"/>
        <w:tabs>
          <w:tab w:leader="none" w:pos="21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3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/s/ HELENA NELLIGAN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Executive - Helena Nelligan</w:t>
      </w:r>
    </w:p>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pacing w:after="0" w:line="3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34290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Interim President and Chief Executive Officer; Senior Vice President and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60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 Agreement</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made as of March 3, 2014, between Brady Corporation, a Wisconsin corporation, (“Corporation”) and Bentley Curran.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the Executive and Corporation agree as follows:</w:t>
      </w:r>
    </w:p>
    <w:p>
      <w:pPr>
        <w:spacing w:after="0" w:line="252"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DEFINITIONS.</w:t>
      </w:r>
    </w:p>
    <w:p>
      <w:pPr>
        <w:spacing w:after="0" w:line="50" w:lineRule="exact"/>
        <w:rPr>
          <w:sz w:val="20"/>
          <w:szCs w:val="20"/>
          <w:color w:val="auto"/>
        </w:rPr>
      </w:pPr>
    </w:p>
    <w:p>
      <w:pPr>
        <w:jc w:val="both"/>
        <w:ind w:firstLine="1305"/>
        <w:spacing w:after="0" w:line="308" w:lineRule="auto"/>
        <w:tabs>
          <w:tab w:leader="none" w:pos="21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79" w:lineRule="exact"/>
        <w:rPr>
          <w:rFonts w:ascii="Times New Roman" w:cs="Times New Roman" w:eastAsia="Times New Roman" w:hAnsi="Times New Roman"/>
          <w:sz w:val="18"/>
          <w:szCs w:val="18"/>
          <w:color w:val="auto"/>
        </w:rPr>
      </w:pPr>
    </w:p>
    <w:p>
      <w:pPr>
        <w:jc w:val="both"/>
        <w:ind w:left="660" w:firstLine="1293"/>
        <w:spacing w:after="0" w:line="302" w:lineRule="auto"/>
        <w:tabs>
          <w:tab w:leader="none" w:pos="28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85" w:lineRule="exact"/>
        <w:rPr>
          <w:rFonts w:ascii="Times New Roman" w:cs="Times New Roman" w:eastAsia="Times New Roman" w:hAnsi="Times New Roman"/>
          <w:sz w:val="18"/>
          <w:szCs w:val="18"/>
          <w:color w:val="auto"/>
        </w:rPr>
      </w:pPr>
    </w:p>
    <w:p>
      <w:pPr>
        <w:jc w:val="both"/>
        <w:ind w:left="660" w:firstLine="1293"/>
        <w:spacing w:after="0" w:line="324" w:lineRule="auto"/>
        <w:tabs>
          <w:tab w:leader="none" w:pos="280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72" w:lineRule="exact"/>
        <w:rPr>
          <w:rFonts w:ascii="Times New Roman" w:cs="Times New Roman" w:eastAsia="Times New Roman" w:hAnsi="Times New Roman"/>
          <w:sz w:val="17"/>
          <w:szCs w:val="17"/>
          <w:color w:val="auto"/>
        </w:rPr>
      </w:pPr>
    </w:p>
    <w:p>
      <w:pPr>
        <w:jc w:val="both"/>
        <w:ind w:left="660" w:firstLine="1293"/>
        <w:spacing w:after="0" w:line="297" w:lineRule="auto"/>
        <w:tabs>
          <w:tab w:leader="none" w:pos="28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3" w:lineRule="exact"/>
        <w:rPr>
          <w:sz w:val="20"/>
          <w:szCs w:val="20"/>
          <w:color w:val="auto"/>
        </w:rPr>
      </w:pPr>
    </w:p>
    <w:p>
      <w:pPr>
        <w:ind w:left="2160" w:hanging="855"/>
        <w:spacing w:after="0"/>
        <w:tabs>
          <w:tab w:leader="none" w:pos="2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ectPr>
          <w:pgSz w:w="11900" w:h="16838" w:orient="portrait"/>
          <w:cols w:equalWidth="0" w:num="1">
            <w:col w:w="11420"/>
          </w:cols>
          <w:pgMar w:left="240" w:top="576" w:right="239" w:bottom="1440" w:gutter="0" w:footer="0" w:header="0"/>
        </w:sectPr>
      </w:pPr>
    </w:p>
    <w:bookmarkStart w:id="41" w:name="page42"/>
    <w:bookmarkEnd w:id="41"/>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PAYMENTS UPON TERMINATION DUE TO CHANGE OF CONTROL.</w:t>
      </w:r>
    </w:p>
    <w:p>
      <w:pPr>
        <w:spacing w:after="0" w:line="266" w:lineRule="exact"/>
        <w:rPr>
          <w:sz w:val="20"/>
          <w:szCs w:val="20"/>
          <w:color w:val="auto"/>
        </w:rPr>
      </w:pPr>
    </w:p>
    <w:p>
      <w:pPr>
        <w:jc w:val="both"/>
        <w:ind w:left="660" w:firstLine="1293"/>
        <w:spacing w:after="0" w:line="297" w:lineRule="auto"/>
        <w:tabs>
          <w:tab w:leader="none" w:pos="28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w:t>
      </w:r>
    </w:p>
    <w:p>
      <w:pPr>
        <w:ind w:left="660" w:right="20"/>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 received in the three years immediately prior to the date the Change of Control occurs. Such amount shall be paid in 24 monthly installments beginning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19" w:lineRule="exact"/>
        <w:rPr>
          <w:rFonts w:ascii="Times New Roman" w:cs="Times New Roman" w:eastAsia="Times New Roman" w:hAnsi="Times New Roman"/>
          <w:sz w:val="18"/>
          <w:szCs w:val="18"/>
          <w:color w:val="auto"/>
        </w:rPr>
      </w:pPr>
    </w:p>
    <w:p>
      <w:pPr>
        <w:jc w:val="both"/>
        <w:ind w:left="660" w:firstLine="1293"/>
        <w:spacing w:after="0" w:line="305" w:lineRule="auto"/>
        <w:tabs>
          <w:tab w:leader="none" w:pos="2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3" w:lineRule="exact"/>
        <w:rPr>
          <w:rFonts w:ascii="Times New Roman" w:cs="Times New Roman" w:eastAsia="Times New Roman" w:hAnsi="Times New Roman"/>
          <w:sz w:val="18"/>
          <w:szCs w:val="18"/>
          <w:color w:val="auto"/>
        </w:rPr>
      </w:pPr>
    </w:p>
    <w:p>
      <w:pPr>
        <w:jc w:val="both"/>
        <w:ind w:left="660" w:firstLine="1293"/>
        <w:spacing w:after="0" w:line="301" w:lineRule="auto"/>
        <w:tabs>
          <w:tab w:leader="none" w:pos="28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86"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color w:val="auto"/>
        </w:rPr>
        <w:t>EXCISE TAX, ATTORNEY FEES.</w:t>
      </w:r>
    </w:p>
    <w:p>
      <w:pPr>
        <w:spacing w:after="0" w:line="266" w:lineRule="exact"/>
        <w:rPr>
          <w:sz w:val="20"/>
          <w:szCs w:val="20"/>
          <w:color w:val="auto"/>
        </w:rPr>
      </w:pPr>
    </w:p>
    <w:p>
      <w:pPr>
        <w:jc w:val="both"/>
        <w:ind w:left="660" w:firstLine="1293"/>
        <w:spacing w:after="0" w:line="313" w:lineRule="auto"/>
        <w:tabs>
          <w:tab w:leader="none" w:pos="28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76" w:lineRule="exact"/>
        <w:rPr>
          <w:rFonts w:ascii="Times New Roman" w:cs="Times New Roman" w:eastAsia="Times New Roman" w:hAnsi="Times New Roman"/>
          <w:sz w:val="18"/>
          <w:szCs w:val="18"/>
          <w:color w:val="auto"/>
        </w:rPr>
      </w:pPr>
    </w:p>
    <w:p>
      <w:pPr>
        <w:ind w:left="660" w:firstLine="1293"/>
        <w:spacing w:after="0" w:line="329" w:lineRule="auto"/>
        <w:tabs>
          <w:tab w:leader="none" w:pos="2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62"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89"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CONFIDENTIAL INFORMATION AGREEMENT.</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215"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color w:val="auto"/>
        </w:rPr>
        <w:t>MISCELLANEOUS.</w:t>
      </w:r>
    </w:p>
    <w:p>
      <w:pPr>
        <w:spacing w:after="0" w:line="266" w:lineRule="exact"/>
        <w:rPr>
          <w:sz w:val="20"/>
          <w:szCs w:val="20"/>
          <w:color w:val="auto"/>
        </w:rPr>
      </w:pPr>
    </w:p>
    <w:p>
      <w:pPr>
        <w:ind w:left="660" w:firstLine="1293"/>
        <w:spacing w:after="0" w:line="329" w:lineRule="auto"/>
        <w:tabs>
          <w:tab w:leader="none" w:pos="28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Non-Assignability. This Agreement is personal to the Executive and, without the prior written consent of the Corporation, shall not be assignable by the Executive otherwise than by will or the laws of descent and</w:t>
      </w:r>
    </w:p>
    <w:p>
      <w:pPr>
        <w:sectPr>
          <w:pgSz w:w="11900" w:h="16838" w:orient="portrait"/>
          <w:cols w:equalWidth="0" w:num="1">
            <w:col w:w="11420"/>
          </w:cols>
          <w:pgMar w:left="240" w:top="823" w:right="239" w:bottom="1440" w:gutter="0" w:footer="0" w:header="0"/>
        </w:sectPr>
      </w:pPr>
    </w:p>
    <w:bookmarkStart w:id="42" w:name="page43"/>
    <w:bookmarkEnd w:id="42"/>
    <w:p>
      <w:pPr>
        <w:ind w:left="660"/>
        <w:spacing w:after="0" w:line="329" w:lineRule="auto"/>
        <w:rPr>
          <w:sz w:val="20"/>
          <w:szCs w:val="20"/>
          <w:color w:val="auto"/>
        </w:rPr>
      </w:pPr>
      <w:r>
        <w:rPr>
          <w:rFonts w:ascii="Times New Roman" w:cs="Times New Roman" w:eastAsia="Times New Roman" w:hAnsi="Times New Roman"/>
          <w:sz w:val="18"/>
          <w:szCs w:val="18"/>
          <w:color w:val="auto"/>
        </w:rPr>
        <w:t>distribution. This Agreement shall inure to the benefit of and be binding upon the Corporation and its successors and assigns and shall also be enforceable by the Executive’s legal representatives.</w:t>
      </w:r>
    </w:p>
    <w:p>
      <w:pPr>
        <w:spacing w:after="0" w:line="162" w:lineRule="exact"/>
        <w:rPr>
          <w:sz w:val="20"/>
          <w:szCs w:val="20"/>
          <w:color w:val="auto"/>
        </w:rPr>
      </w:pPr>
    </w:p>
    <w:p>
      <w:pPr>
        <w:jc w:val="both"/>
        <w:ind w:left="660" w:firstLine="1293"/>
        <w:spacing w:after="0" w:line="305" w:lineRule="auto"/>
        <w:tabs>
          <w:tab w:leader="none" w:pos="2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3" w:lineRule="exact"/>
        <w:rPr>
          <w:rFonts w:ascii="Times New Roman" w:cs="Times New Roman" w:eastAsia="Times New Roman" w:hAnsi="Times New Roman"/>
          <w:sz w:val="18"/>
          <w:szCs w:val="18"/>
          <w:color w:val="auto"/>
        </w:rPr>
      </w:pPr>
    </w:p>
    <w:p>
      <w:pPr>
        <w:jc w:val="both"/>
        <w:ind w:left="660" w:right="20" w:firstLine="1293"/>
        <w:spacing w:after="0" w:line="313" w:lineRule="auto"/>
        <w:tabs>
          <w:tab w:leader="none" w:pos="28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6" w:lineRule="exact"/>
        <w:rPr>
          <w:rFonts w:ascii="Times New Roman" w:cs="Times New Roman" w:eastAsia="Times New Roman" w:hAnsi="Times New Roman"/>
          <w:sz w:val="18"/>
          <w:szCs w:val="18"/>
          <w:color w:val="auto"/>
        </w:rPr>
      </w:pPr>
    </w:p>
    <w:p>
      <w:pPr>
        <w:ind w:left="660" w:firstLine="1293"/>
        <w:spacing w:after="0" w:line="329" w:lineRule="auto"/>
        <w:tabs>
          <w:tab w:leader="none" w:pos="2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351" w:lineRule="exact"/>
        <w:rPr>
          <w:sz w:val="20"/>
          <w:szCs w:val="20"/>
          <w:color w:val="auto"/>
        </w:rPr>
      </w:pPr>
    </w:p>
    <w:p>
      <w:pPr>
        <w:ind w:left="1880"/>
        <w:spacing w:after="0"/>
        <w:tabs>
          <w:tab w:leader="none" w:pos="3460" w:val="left"/>
        </w:tabs>
        <w:rPr>
          <w:sz w:val="20"/>
          <w:szCs w:val="20"/>
          <w:color w:val="auto"/>
        </w:rPr>
      </w:pPr>
      <w:r>
        <w:rPr>
          <w:rFonts w:ascii="Times New Roman" w:cs="Times New Roman" w:eastAsia="Times New Roman" w:hAnsi="Times New Roman"/>
          <w:sz w:val="18"/>
          <w:szCs w:val="18"/>
          <w:color w:val="auto"/>
        </w:rPr>
        <w:t>If to the Executive:</w:t>
      </w:r>
      <w:r>
        <w:rPr>
          <w:sz w:val="20"/>
          <w:szCs w:val="20"/>
          <w:color w:val="auto"/>
        </w:rPr>
        <w:tab/>
      </w:r>
      <w:r>
        <w:rPr>
          <w:rFonts w:ascii="Times New Roman" w:cs="Times New Roman" w:eastAsia="Times New Roman" w:hAnsi="Times New Roman"/>
          <w:sz w:val="17"/>
          <w:szCs w:val="17"/>
          <w:color w:val="auto"/>
        </w:rPr>
        <w:t>Bentley Curran</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447 North Country Lane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Fond Du Lac, WI 54935</w:t>
      </w:r>
    </w:p>
    <w:p>
      <w:pPr>
        <w:spacing w:after="0" w:line="207" w:lineRule="exact"/>
        <w:rPr>
          <w:sz w:val="20"/>
          <w:szCs w:val="20"/>
          <w:color w:val="auto"/>
        </w:rPr>
      </w:pPr>
    </w:p>
    <w:p>
      <w:pPr>
        <w:ind w:left="660"/>
        <w:spacing w:after="0"/>
        <w:tabs>
          <w:tab w:leader="none" w:pos="2400" w:val="left"/>
        </w:tabs>
        <w:rPr>
          <w:sz w:val="20"/>
          <w:szCs w:val="20"/>
          <w:color w:val="auto"/>
        </w:rPr>
      </w:pPr>
      <w:r>
        <w:rPr>
          <w:rFonts w:ascii="Times New Roman" w:cs="Times New Roman" w:eastAsia="Times New Roman" w:hAnsi="Times New Roman"/>
          <w:sz w:val="18"/>
          <w:szCs w:val="18"/>
          <w:color w:val="auto"/>
        </w:rPr>
        <w:t>If to the Corporation:</w:t>
        <w:tab/>
        <w:t>Brady Corporation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6555 West Good Hope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CFO</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89" w:lineRule="exact"/>
        <w:rPr>
          <w:sz w:val="20"/>
          <w:szCs w:val="20"/>
          <w:color w:val="auto"/>
        </w:rPr>
      </w:pPr>
    </w:p>
    <w:p>
      <w:pPr>
        <w:jc w:val="both"/>
        <w:ind w:left="660" w:firstLine="1293"/>
        <w:spacing w:after="0" w:line="308" w:lineRule="auto"/>
        <w:tabs>
          <w:tab w:leader="none" w:pos="28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9" w:lineRule="exact"/>
        <w:rPr>
          <w:rFonts w:ascii="Times New Roman" w:cs="Times New Roman" w:eastAsia="Times New Roman" w:hAnsi="Times New Roman"/>
          <w:sz w:val="18"/>
          <w:szCs w:val="18"/>
          <w:color w:val="auto"/>
        </w:rPr>
      </w:pPr>
    </w:p>
    <w:p>
      <w:pPr>
        <w:ind w:left="660" w:firstLine="1293"/>
        <w:spacing w:after="0" w:line="329" w:lineRule="auto"/>
        <w:tabs>
          <w:tab w:leader="none" w:pos="2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61" w:lineRule="exact"/>
        <w:rPr>
          <w:rFonts w:ascii="Times New Roman" w:cs="Times New Roman" w:eastAsia="Times New Roman" w:hAnsi="Times New Roman"/>
          <w:sz w:val="18"/>
          <w:szCs w:val="18"/>
          <w:color w:val="auto"/>
        </w:rPr>
      </w:pPr>
    </w:p>
    <w:p>
      <w:pPr>
        <w:jc w:val="both"/>
        <w:ind w:left="660" w:firstLine="1293"/>
        <w:spacing w:after="0" w:line="313" w:lineRule="auto"/>
        <w:tabs>
          <w:tab w:leader="none" w:pos="2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6" w:lineRule="exact"/>
        <w:rPr>
          <w:rFonts w:ascii="Times New Roman" w:cs="Times New Roman" w:eastAsia="Times New Roman" w:hAnsi="Times New Roman"/>
          <w:sz w:val="18"/>
          <w:szCs w:val="18"/>
          <w:color w:val="auto"/>
        </w:rPr>
      </w:pPr>
    </w:p>
    <w:p>
      <w:pPr>
        <w:jc w:val="both"/>
        <w:ind w:left="660" w:firstLine="1293"/>
        <w:spacing w:after="0" w:line="308" w:lineRule="auto"/>
        <w:tabs>
          <w:tab w:leader="none" w:pos="2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79" w:lineRule="exact"/>
        <w:rPr>
          <w:rFonts w:ascii="Times New Roman" w:cs="Times New Roman" w:eastAsia="Times New Roman" w:hAnsi="Times New Roman"/>
          <w:sz w:val="18"/>
          <w:szCs w:val="18"/>
          <w:color w:val="auto"/>
        </w:rPr>
      </w:pPr>
    </w:p>
    <w:p>
      <w:pPr>
        <w:jc w:val="both"/>
        <w:ind w:left="660" w:firstLine="1293"/>
        <w:spacing w:after="0" w:line="313" w:lineRule="auto"/>
        <w:tabs>
          <w:tab w:leader="none" w:pos="27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76" w:lineRule="exact"/>
        <w:rPr>
          <w:rFonts w:ascii="Times New Roman" w:cs="Times New Roman" w:eastAsia="Times New Roman" w:hAnsi="Times New Roman"/>
          <w:sz w:val="18"/>
          <w:szCs w:val="18"/>
          <w:color w:val="auto"/>
        </w:rPr>
      </w:pPr>
    </w:p>
    <w:p>
      <w:pPr>
        <w:jc w:val="both"/>
        <w:ind w:left="660" w:right="20" w:firstLine="1293"/>
        <w:spacing w:after="0" w:line="313" w:lineRule="auto"/>
        <w:tabs>
          <w:tab w:leader="none" w:pos="27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76"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of Payment. If the Executive or, if applicable, the Executive’s Beneficiary, is under</w:t>
      </w:r>
    </w:p>
    <w:p>
      <w:pPr>
        <w:sectPr>
          <w:pgSz w:w="11900" w:h="16838" w:orient="portrait"/>
          <w:cols w:equalWidth="0" w:num="1">
            <w:col w:w="11420"/>
          </w:cols>
          <w:pgMar w:left="240" w:top="607" w:right="239" w:bottom="1440" w:gutter="0" w:footer="0" w:header="0"/>
        </w:sectPr>
      </w:pPr>
    </w:p>
    <w:bookmarkStart w:id="43" w:name="page44"/>
    <w:bookmarkEnd w:id="43"/>
    <w:p>
      <w:pPr>
        <w:jc w:val="both"/>
        <w:ind w:left="660"/>
        <w:spacing w:after="0" w:line="313" w:lineRule="auto"/>
        <w:rPr>
          <w:sz w:val="20"/>
          <w:szCs w:val="20"/>
          <w:color w:val="auto"/>
        </w:rPr>
      </w:pPr>
      <w:r>
        <w:rPr>
          <w:rFonts w:ascii="Times New Roman" w:cs="Times New Roman" w:eastAsia="Times New Roman" w:hAnsi="Times New Roman"/>
          <w:sz w:val="18"/>
          <w:szCs w:val="18"/>
          <w:color w:val="auto"/>
        </w:rPr>
        <w:t>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76"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CLAIMS PROCEDURE.</w:t>
      </w:r>
    </w:p>
    <w:p>
      <w:pPr>
        <w:spacing w:after="0" w:line="266" w:lineRule="exact"/>
        <w:rPr>
          <w:sz w:val="20"/>
          <w:szCs w:val="20"/>
          <w:color w:val="auto"/>
        </w:rPr>
      </w:pPr>
    </w:p>
    <w:p>
      <w:pPr>
        <w:jc w:val="both"/>
        <w:ind w:left="660" w:firstLine="1293"/>
        <w:spacing w:after="0" w:line="302" w:lineRule="auto"/>
        <w:tabs>
          <w:tab w:leader="none" w:pos="28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Times New Roman" w:cs="Times New Roman" w:eastAsia="Times New Roman" w:hAnsi="Times New Roman"/>
          <w:sz w:val="18"/>
          <w:szCs w:val="18"/>
          <w:color w:val="auto"/>
        </w:rPr>
      </w:pPr>
    </w:p>
    <w:p>
      <w:pPr>
        <w:jc w:val="both"/>
        <w:ind w:left="660" w:firstLine="1293"/>
        <w:spacing w:after="0" w:line="303" w:lineRule="auto"/>
        <w:tabs>
          <w:tab w:leader="none" w:pos="2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3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/s/ BENTLEY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Executive - Bentley Curran</w:t>
      </w:r>
    </w:p>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Vice President - Digital Business and Chief Information Officer</w:t>
      </w:r>
    </w:p>
    <w:p>
      <w:pPr>
        <w:spacing w:after="0" w:line="3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34290</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Interim President and Chief Executive Officer; Senior Vice President and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607"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 Agreement</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made as of March 3, 2014, between Brady Corporation, a Wisconsin corporation, (“Corporation”) and Lee Marks.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the Executive and Corporation agree as follows:</w:t>
      </w:r>
    </w:p>
    <w:p>
      <w:pPr>
        <w:spacing w:after="0" w:line="252"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DEFINITIONS.</w:t>
      </w:r>
    </w:p>
    <w:p>
      <w:pPr>
        <w:spacing w:after="0" w:line="50" w:lineRule="exact"/>
        <w:rPr>
          <w:sz w:val="20"/>
          <w:szCs w:val="20"/>
          <w:color w:val="auto"/>
        </w:rPr>
      </w:pPr>
    </w:p>
    <w:p>
      <w:pPr>
        <w:jc w:val="both"/>
        <w:ind w:firstLine="1305"/>
        <w:spacing w:after="0" w:line="308" w:lineRule="auto"/>
        <w:tabs>
          <w:tab w:leader="none" w:pos="21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79" w:lineRule="exact"/>
        <w:rPr>
          <w:rFonts w:ascii="Times New Roman" w:cs="Times New Roman" w:eastAsia="Times New Roman" w:hAnsi="Times New Roman"/>
          <w:sz w:val="18"/>
          <w:szCs w:val="18"/>
          <w:color w:val="auto"/>
        </w:rPr>
      </w:pPr>
    </w:p>
    <w:p>
      <w:pPr>
        <w:jc w:val="both"/>
        <w:ind w:left="660" w:firstLine="1293"/>
        <w:spacing w:after="0" w:line="302" w:lineRule="auto"/>
        <w:tabs>
          <w:tab w:leader="none" w:pos="28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85" w:lineRule="exact"/>
        <w:rPr>
          <w:rFonts w:ascii="Times New Roman" w:cs="Times New Roman" w:eastAsia="Times New Roman" w:hAnsi="Times New Roman"/>
          <w:sz w:val="18"/>
          <w:szCs w:val="18"/>
          <w:color w:val="auto"/>
        </w:rPr>
      </w:pPr>
    </w:p>
    <w:p>
      <w:pPr>
        <w:jc w:val="both"/>
        <w:ind w:left="660" w:firstLine="1293"/>
        <w:spacing w:after="0" w:line="324" w:lineRule="auto"/>
        <w:tabs>
          <w:tab w:leader="none" w:pos="280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72" w:lineRule="exact"/>
        <w:rPr>
          <w:rFonts w:ascii="Times New Roman" w:cs="Times New Roman" w:eastAsia="Times New Roman" w:hAnsi="Times New Roman"/>
          <w:sz w:val="17"/>
          <w:szCs w:val="17"/>
          <w:color w:val="auto"/>
        </w:rPr>
      </w:pPr>
    </w:p>
    <w:p>
      <w:pPr>
        <w:jc w:val="both"/>
        <w:ind w:left="660" w:firstLine="1293"/>
        <w:spacing w:after="0" w:line="303" w:lineRule="auto"/>
        <w:tabs>
          <w:tab w:leader="none" w:pos="28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88" w:lineRule="exact"/>
        <w:rPr>
          <w:sz w:val="20"/>
          <w:szCs w:val="20"/>
          <w:color w:val="auto"/>
        </w:rPr>
      </w:pPr>
    </w:p>
    <w:p>
      <w:pPr>
        <w:ind w:left="2160" w:hanging="855"/>
        <w:spacing w:after="0"/>
        <w:tabs>
          <w:tab w:leader="none" w:pos="2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ectPr>
          <w:pgSz w:w="11900" w:h="16838" w:orient="portrait"/>
          <w:cols w:equalWidth="0" w:num="1">
            <w:col w:w="11420"/>
          </w:cols>
          <w:pgMar w:left="240" w:top="576" w:right="239" w:bottom="1440" w:gutter="0" w:footer="0" w:header="0"/>
        </w:sectPr>
      </w:pPr>
    </w:p>
    <w:bookmarkStart w:id="45" w:name="page46"/>
    <w:bookmarkEnd w:id="45"/>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PAYMENTS UPON TERMINATION DUE TO CHANGE OF CONTROL.</w:t>
      </w:r>
    </w:p>
    <w:p>
      <w:pPr>
        <w:spacing w:after="0" w:line="266" w:lineRule="exact"/>
        <w:rPr>
          <w:sz w:val="20"/>
          <w:szCs w:val="20"/>
          <w:color w:val="auto"/>
        </w:rPr>
      </w:pPr>
    </w:p>
    <w:p>
      <w:pPr>
        <w:jc w:val="both"/>
        <w:ind w:left="660" w:firstLine="1293"/>
        <w:spacing w:after="0" w:line="297" w:lineRule="auto"/>
        <w:tabs>
          <w:tab w:leader="none" w:pos="28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w:t>
      </w:r>
    </w:p>
    <w:p>
      <w:pPr>
        <w:ind w:left="660" w:right="20"/>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 received in the three years immediately prior to the date the Change of Control occurs. Such amount shall be paid in 24 monthly installments beginning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19" w:lineRule="exact"/>
        <w:rPr>
          <w:rFonts w:ascii="Times New Roman" w:cs="Times New Roman" w:eastAsia="Times New Roman" w:hAnsi="Times New Roman"/>
          <w:sz w:val="18"/>
          <w:szCs w:val="18"/>
          <w:color w:val="auto"/>
        </w:rPr>
      </w:pPr>
    </w:p>
    <w:p>
      <w:pPr>
        <w:jc w:val="both"/>
        <w:ind w:left="660" w:firstLine="1293"/>
        <w:spacing w:after="0" w:line="305" w:lineRule="auto"/>
        <w:tabs>
          <w:tab w:leader="none" w:pos="2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3" w:lineRule="exact"/>
        <w:rPr>
          <w:rFonts w:ascii="Times New Roman" w:cs="Times New Roman" w:eastAsia="Times New Roman" w:hAnsi="Times New Roman"/>
          <w:sz w:val="18"/>
          <w:szCs w:val="18"/>
          <w:color w:val="auto"/>
        </w:rPr>
      </w:pPr>
    </w:p>
    <w:p>
      <w:pPr>
        <w:jc w:val="both"/>
        <w:ind w:left="660" w:firstLine="1293"/>
        <w:spacing w:after="0" w:line="301" w:lineRule="auto"/>
        <w:tabs>
          <w:tab w:leader="none" w:pos="28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86"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color w:val="auto"/>
        </w:rPr>
        <w:t>EXCISE TAX, ATTORNEY FEES.</w:t>
      </w:r>
    </w:p>
    <w:p>
      <w:pPr>
        <w:spacing w:after="0" w:line="266" w:lineRule="exact"/>
        <w:rPr>
          <w:sz w:val="20"/>
          <w:szCs w:val="20"/>
          <w:color w:val="auto"/>
        </w:rPr>
      </w:pPr>
    </w:p>
    <w:p>
      <w:pPr>
        <w:jc w:val="both"/>
        <w:ind w:left="660" w:firstLine="1293"/>
        <w:spacing w:after="0" w:line="313" w:lineRule="auto"/>
        <w:tabs>
          <w:tab w:leader="none" w:pos="28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76" w:lineRule="exact"/>
        <w:rPr>
          <w:rFonts w:ascii="Times New Roman" w:cs="Times New Roman" w:eastAsia="Times New Roman" w:hAnsi="Times New Roman"/>
          <w:sz w:val="18"/>
          <w:szCs w:val="18"/>
          <w:color w:val="auto"/>
        </w:rPr>
      </w:pPr>
    </w:p>
    <w:p>
      <w:pPr>
        <w:ind w:left="660" w:firstLine="1293"/>
        <w:spacing w:after="0" w:line="329" w:lineRule="auto"/>
        <w:tabs>
          <w:tab w:leader="none" w:pos="2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62"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89"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CONFIDENTIAL INFORMATION AGREEMENT.</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ectPr>
          <w:pgSz w:w="11900" w:h="16838" w:orient="portrait"/>
          <w:cols w:equalWidth="0" w:num="1">
            <w:col w:w="11420"/>
          </w:cols>
          <w:pgMar w:left="240" w:top="607" w:right="239" w:bottom="1440" w:gutter="0" w:footer="0" w:header="0"/>
        </w:sectPr>
      </w:pPr>
    </w:p>
    <w:bookmarkStart w:id="46" w:name="page47"/>
    <w:bookmarkEnd w:id="46"/>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color w:val="auto"/>
        </w:rPr>
        <w:t>MISCELLANEOUS.</w:t>
      </w:r>
    </w:p>
    <w:p>
      <w:pPr>
        <w:spacing w:after="0" w:line="266" w:lineRule="exact"/>
        <w:rPr>
          <w:sz w:val="20"/>
          <w:szCs w:val="20"/>
          <w:color w:val="auto"/>
        </w:rPr>
      </w:pPr>
    </w:p>
    <w:p>
      <w:pPr>
        <w:jc w:val="both"/>
        <w:ind w:left="660" w:firstLine="1293"/>
        <w:spacing w:after="0" w:line="308" w:lineRule="auto"/>
        <w:tabs>
          <w:tab w:leader="none" w:pos="28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179" w:lineRule="exact"/>
        <w:rPr>
          <w:rFonts w:ascii="Times New Roman" w:cs="Times New Roman" w:eastAsia="Times New Roman" w:hAnsi="Times New Roman"/>
          <w:sz w:val="18"/>
          <w:szCs w:val="18"/>
          <w:color w:val="auto"/>
        </w:rPr>
      </w:pPr>
    </w:p>
    <w:p>
      <w:pPr>
        <w:jc w:val="both"/>
        <w:ind w:left="660" w:firstLine="1293"/>
        <w:spacing w:after="0" w:line="305" w:lineRule="auto"/>
        <w:tabs>
          <w:tab w:leader="none" w:pos="2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3" w:lineRule="exact"/>
        <w:rPr>
          <w:rFonts w:ascii="Times New Roman" w:cs="Times New Roman" w:eastAsia="Times New Roman" w:hAnsi="Times New Roman"/>
          <w:sz w:val="18"/>
          <w:szCs w:val="18"/>
          <w:color w:val="auto"/>
        </w:rPr>
      </w:pPr>
    </w:p>
    <w:p>
      <w:pPr>
        <w:jc w:val="both"/>
        <w:ind w:left="660" w:right="20" w:firstLine="1293"/>
        <w:spacing w:after="0" w:line="313" w:lineRule="auto"/>
        <w:tabs>
          <w:tab w:leader="none" w:pos="28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6" w:lineRule="exact"/>
        <w:rPr>
          <w:rFonts w:ascii="Times New Roman" w:cs="Times New Roman" w:eastAsia="Times New Roman" w:hAnsi="Times New Roman"/>
          <w:sz w:val="18"/>
          <w:szCs w:val="18"/>
          <w:color w:val="auto"/>
        </w:rPr>
      </w:pPr>
    </w:p>
    <w:p>
      <w:pPr>
        <w:ind w:left="660" w:firstLine="1293"/>
        <w:spacing w:after="0" w:line="329" w:lineRule="auto"/>
        <w:tabs>
          <w:tab w:leader="none" w:pos="2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420"/>
          </w:cols>
          <w:pgMar w:left="240" w:top="607" w:right="239" w:bottom="1440" w:gutter="0" w:footer="0" w:header="0"/>
        </w:sectPr>
      </w:pPr>
    </w:p>
    <w:p>
      <w:pPr>
        <w:spacing w:after="0" w:line="35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If to the Executive: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Marks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1100 E. Lexington Blvd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Whitefish Bay, WI 53217</w:t>
      </w:r>
    </w:p>
    <w:p>
      <w:pPr>
        <w:spacing w:after="0" w:line="200" w:lineRule="exact"/>
        <w:rPr>
          <w:sz w:val="20"/>
          <w:szCs w:val="20"/>
          <w:color w:val="auto"/>
        </w:rPr>
      </w:pPr>
    </w:p>
    <w:p>
      <w:pPr>
        <w:sectPr>
          <w:pgSz w:w="11900" w:h="16838" w:orient="portrait"/>
          <w:cols w:equalWidth="0" w:num="2">
            <w:col w:w="3260" w:space="360"/>
            <w:col w:w="7800"/>
          </w:cols>
          <w:pgMar w:left="240" w:top="607" w:right="239" w:bottom="1440" w:gutter="0" w:footer="0" w:header="0"/>
          <w:type w:val="continuous"/>
        </w:sectPr>
      </w:pP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6555 West Good Hope Road</w:t>
      </w:r>
    </w:p>
    <w:p>
      <w:pPr>
        <w:spacing w:after="0" w:line="21" w:lineRule="exact"/>
        <w:rPr>
          <w:sz w:val="20"/>
          <w:szCs w:val="20"/>
          <w:color w:val="auto"/>
        </w:rPr>
      </w:pPr>
    </w:p>
    <w:p>
      <w:pPr>
        <w:sectPr>
          <w:pgSz w:w="11900" w:h="16838" w:orient="portrait"/>
          <w:cols w:equalWidth="0" w:num="2">
            <w:col w:w="2840" w:space="360"/>
            <w:col w:w="8220"/>
          </w:cols>
          <w:pgMar w:left="240" w:top="607" w:right="239" w:bottom="1440" w:gutter="0" w:footer="0" w:header="0"/>
          <w:type w:val="continuous"/>
        </w:sectPr>
      </w:pPr>
    </w:p>
    <w:p>
      <w:pPr>
        <w:ind w:left="324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CFO</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89" w:lineRule="exact"/>
        <w:rPr>
          <w:sz w:val="20"/>
          <w:szCs w:val="20"/>
          <w:color w:val="auto"/>
        </w:rPr>
      </w:pPr>
    </w:p>
    <w:p>
      <w:pPr>
        <w:jc w:val="both"/>
        <w:ind w:left="660" w:firstLine="1293"/>
        <w:spacing w:after="0" w:line="308" w:lineRule="auto"/>
        <w:tabs>
          <w:tab w:leader="none" w:pos="28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9" w:lineRule="exact"/>
        <w:rPr>
          <w:rFonts w:ascii="Times New Roman" w:cs="Times New Roman" w:eastAsia="Times New Roman" w:hAnsi="Times New Roman"/>
          <w:sz w:val="18"/>
          <w:szCs w:val="18"/>
          <w:color w:val="auto"/>
        </w:rPr>
      </w:pPr>
    </w:p>
    <w:p>
      <w:pPr>
        <w:ind w:left="660" w:firstLine="1293"/>
        <w:spacing w:after="0" w:line="329" w:lineRule="auto"/>
        <w:tabs>
          <w:tab w:leader="none" w:pos="27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61" w:lineRule="exact"/>
        <w:rPr>
          <w:rFonts w:ascii="Times New Roman" w:cs="Times New Roman" w:eastAsia="Times New Roman" w:hAnsi="Times New Roman"/>
          <w:sz w:val="18"/>
          <w:szCs w:val="18"/>
          <w:color w:val="auto"/>
        </w:rPr>
      </w:pPr>
    </w:p>
    <w:p>
      <w:pPr>
        <w:jc w:val="both"/>
        <w:ind w:left="660" w:firstLine="1293"/>
        <w:spacing w:after="0" w:line="313" w:lineRule="auto"/>
        <w:tabs>
          <w:tab w:leader="none" w:pos="2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6" w:lineRule="exact"/>
        <w:rPr>
          <w:rFonts w:ascii="Times New Roman" w:cs="Times New Roman" w:eastAsia="Times New Roman" w:hAnsi="Times New Roman"/>
          <w:sz w:val="18"/>
          <w:szCs w:val="18"/>
          <w:color w:val="auto"/>
        </w:rPr>
      </w:pPr>
    </w:p>
    <w:p>
      <w:pPr>
        <w:jc w:val="both"/>
        <w:ind w:left="660" w:firstLine="1293"/>
        <w:spacing w:after="0" w:line="308" w:lineRule="auto"/>
        <w:tabs>
          <w:tab w:leader="none" w:pos="2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79" w:lineRule="exact"/>
        <w:rPr>
          <w:rFonts w:ascii="Times New Roman" w:cs="Times New Roman" w:eastAsia="Times New Roman" w:hAnsi="Times New Roman"/>
          <w:sz w:val="18"/>
          <w:szCs w:val="18"/>
          <w:color w:val="auto"/>
        </w:rPr>
      </w:pPr>
    </w:p>
    <w:p>
      <w:pPr>
        <w:jc w:val="both"/>
        <w:ind w:left="660" w:firstLine="1293"/>
        <w:spacing w:after="0" w:line="313" w:lineRule="auto"/>
        <w:tabs>
          <w:tab w:leader="none" w:pos="27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76"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To the extent required by law, the Corporation shall withhold any taxes required</w:t>
      </w:r>
    </w:p>
    <w:p>
      <w:pPr>
        <w:sectPr>
          <w:pgSz w:w="11900" w:h="16838" w:orient="portrait"/>
          <w:cols w:equalWidth="0" w:num="1">
            <w:col w:w="11420"/>
          </w:cols>
          <w:pgMar w:left="240" w:top="607" w:right="239" w:bottom="1440" w:gutter="0" w:footer="0" w:header="0"/>
          <w:type w:val="continuous"/>
        </w:sectPr>
      </w:pPr>
    </w:p>
    <w:bookmarkStart w:id="47" w:name="page48"/>
    <w:bookmarkEnd w:id="47"/>
    <w:p>
      <w:pPr>
        <w:ind w:left="660"/>
        <w:spacing w:after="0" w:line="329" w:lineRule="auto"/>
        <w:rPr>
          <w:sz w:val="20"/>
          <w:szCs w:val="20"/>
          <w:color w:val="auto"/>
        </w:rPr>
      </w:pPr>
      <w:r>
        <w:rPr>
          <w:rFonts w:ascii="Times New Roman" w:cs="Times New Roman" w:eastAsia="Times New Roman" w:hAnsi="Times New Roman"/>
          <w:sz w:val="18"/>
          <w:szCs w:val="18"/>
          <w:color w:val="auto"/>
        </w:rPr>
        <w:t>to be withheld with respect to this Agreement by the federal, state or local government from payments made hereunder or from other amounts paid to the Executive by the Corporation.</w:t>
      </w:r>
    </w:p>
    <w:p>
      <w:pPr>
        <w:spacing w:after="0" w:line="162" w:lineRule="exact"/>
        <w:rPr>
          <w:sz w:val="20"/>
          <w:szCs w:val="20"/>
          <w:color w:val="auto"/>
        </w:rPr>
      </w:pPr>
    </w:p>
    <w:p>
      <w:pPr>
        <w:jc w:val="both"/>
        <w:ind w:left="660" w:firstLine="1293"/>
        <w:spacing w:after="0" w:line="308" w:lineRule="auto"/>
        <w:tabs>
          <w:tab w:leader="none" w:pos="2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80" w:lineRule="exact"/>
        <w:rPr>
          <w:sz w:val="20"/>
          <w:szCs w:val="20"/>
          <w:color w:val="auto"/>
        </w:rPr>
      </w:pPr>
    </w:p>
    <w:p>
      <w:pPr>
        <w:ind w:left="1300"/>
        <w:spacing w:after="0"/>
        <w:tabs>
          <w:tab w:leader="none" w:pos="35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CLAIMS PROCEDURE.</w:t>
      </w:r>
    </w:p>
    <w:p>
      <w:pPr>
        <w:spacing w:after="0" w:line="266" w:lineRule="exact"/>
        <w:rPr>
          <w:sz w:val="20"/>
          <w:szCs w:val="20"/>
          <w:color w:val="auto"/>
        </w:rPr>
      </w:pPr>
    </w:p>
    <w:p>
      <w:pPr>
        <w:jc w:val="both"/>
        <w:ind w:left="660" w:firstLine="1293"/>
        <w:spacing w:after="0" w:line="302" w:lineRule="auto"/>
        <w:tabs>
          <w:tab w:leader="none" w:pos="28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Times New Roman" w:cs="Times New Roman" w:eastAsia="Times New Roman" w:hAnsi="Times New Roman"/>
          <w:sz w:val="18"/>
          <w:szCs w:val="18"/>
          <w:color w:val="auto"/>
        </w:rPr>
      </w:pPr>
    </w:p>
    <w:p>
      <w:pPr>
        <w:jc w:val="both"/>
        <w:ind w:left="660" w:firstLine="1293"/>
        <w:spacing w:after="0" w:line="303" w:lineRule="auto"/>
        <w:tabs>
          <w:tab w:leader="none" w:pos="2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3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/s/ LEE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Executive - Lee E. Marks</w:t>
      </w:r>
    </w:p>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Vice President - Global Operations and Supply Chain</w:t>
      </w:r>
    </w:p>
    <w:p>
      <w:pPr>
        <w:spacing w:after="0" w:line="3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34290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Interim President and Chief Executive Officer; Senior Vice President and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607"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Felmer, certify that:</w:t>
      </w:r>
    </w:p>
    <w:p>
      <w:pPr>
        <w:spacing w:after="0" w:line="90" w:lineRule="exact"/>
        <w:rPr>
          <w:sz w:val="20"/>
          <w:szCs w:val="20"/>
          <w:color w:val="auto"/>
        </w:rPr>
      </w:pPr>
    </w:p>
    <w:p>
      <w:pPr>
        <w:ind w:left="700" w:hanging="260"/>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40"/>
        <w:spacing w:after="0" w:line="282" w:lineRule="auto"/>
        <w:tabs>
          <w:tab w:leader="none" w:pos="6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40"/>
        <w:spacing w:after="0" w:line="266"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firstLine="440"/>
        <w:spacing w:after="0" w:line="266" w:lineRule="auto"/>
        <w:tabs>
          <w:tab w:leader="none" w:pos="6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firstLine="440"/>
        <w:spacing w:after="0" w:line="282" w:lineRule="auto"/>
        <w:tabs>
          <w:tab w:leader="none" w:pos="6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6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40"/>
        <w:spacing w:after="0" w:line="282" w:lineRule="auto"/>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440"/>
        <w:spacing w:after="0" w:line="282" w:lineRule="auto"/>
        <w:tabs>
          <w:tab w:leader="none" w:pos="6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5, 2014</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Interim President &amp; Chief Executive Officer 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27" w:lineRule="exact"/>
        <w:rPr>
          <w:sz w:val="20"/>
          <w:szCs w:val="20"/>
          <w:color w:val="auto"/>
        </w:rPr>
      </w:pPr>
    </w:p>
    <w:p>
      <w:pPr>
        <w:ind w:firstLine="440"/>
        <w:spacing w:after="0" w:line="282"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2014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5, 2014</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Interim President &amp; Chief Executive Officer and Chief Financial</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2"/>
    </w:lvl>
  </w:abstractNum>
  <w:abstractNum w:abstractNumId="11">
    <w:nsid w:val="6763845E"/>
    <w:multiLevelType w:val="hybridMultilevel"/>
    <w:lvl w:ilvl="0">
      <w:lvlJc w:val="left"/>
      <w:lvlText w:val="%1"/>
      <w:numFmt w:val="lowerLetter"/>
      <w:start w:val="1"/>
    </w:lvl>
    <w:lvl w:ilvl="1">
      <w:lvlJc w:val="left"/>
      <w:lvlText w:val="(%2)"/>
      <w:numFmt w:val="lowerLetter"/>
      <w:start w:val="5"/>
    </w:lvl>
  </w:abstractNum>
  <w:abstractNum w:abstractNumId="12">
    <w:nsid w:val="75A2A8D4"/>
    <w:multiLevelType w:val="hybridMultilevel"/>
    <w:lvl w:ilvl="0">
      <w:lvlJc w:val="left"/>
      <w:lvlText w:val="(%1)"/>
      <w:numFmt w:val="lowerLetter"/>
      <w:start w:val="6"/>
    </w:lvl>
    <w:lvl w:ilvl="1">
      <w:lvlJc w:val="left"/>
      <w:lvlText w:val="%2"/>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lvl w:ilvl="1">
      <w:lvlJc w:val="left"/>
      <w:lvlText w:val="(%2)"/>
      <w:numFmt w:val="lowerLetter"/>
      <w:start w:val="2"/>
    </w:lvl>
  </w:abstractNum>
  <w:abstractNum w:abstractNumId="15">
    <w:nsid w:val="4353D0CD"/>
    <w:multiLevelType w:val="hybridMultilevel"/>
    <w:lvl w:ilvl="0">
      <w:lvlJc w:val="left"/>
      <w:lvlText w:val="(%1)"/>
      <w:numFmt w:val="lowerLetter"/>
      <w:start w:val="5"/>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2"/>
    </w:lvl>
  </w:abstractNum>
  <w:abstractNum w:abstractNumId="20">
    <w:nsid w:val="2CA88611"/>
    <w:multiLevelType w:val="hybridMultilevel"/>
    <w:lvl w:ilvl="0">
      <w:lvlJc w:val="left"/>
      <w:lvlText w:val="(%1)"/>
      <w:numFmt w:val="lowerLetter"/>
      <w:start w:val="5"/>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lvl w:ilvl="1">
      <w:lvlJc w:val="left"/>
      <w:lvlText w:val="(%2)"/>
      <w:numFmt w:val="lowerLetter"/>
      <w:start w:val="2"/>
    </w:lvl>
  </w:abstractNum>
  <w:abstractNum w:abstractNumId="23">
    <w:nsid w:val="3A95F874"/>
    <w:multiLevelType w:val="hybridMultilevel"/>
    <w:lvl w:ilvl="0">
      <w:lvlJc w:val="left"/>
      <w:lvlText w:val="(%1)"/>
      <w:numFmt w:val="lowerLetter"/>
      <w:start w:val="5"/>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5"/>
    </w:lvl>
  </w:abstractNum>
  <w:abstractNum w:abstractNumId="28">
    <w:nsid w:val="6CEAF087"/>
    <w:multiLevelType w:val="hybridMultilevel"/>
    <w:lvl w:ilvl="0">
      <w:lvlJc w:val="left"/>
      <w:lvlText w:val="(%1)"/>
      <w:numFmt w:val="lowerLetter"/>
      <w:start w:val="1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2019-12-05T20:20:32Z</dcterms:created>
  <dcterms:modified xsi:type="dcterms:W3CDTF">2019-12-05T20:20:32Z</dcterms:modified>
</cp:coreProperties>
</file>