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50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r>
      <w:tr>
        <w:trPr>
          <w:trHeight w:val="263"/>
        </w:trPr>
        <w:tc>
          <w:tcPr>
            <w:tcW w:w="760" w:type="dxa"/>
            <w:vAlign w:val="bottom"/>
          </w:tcPr>
          <w:p>
            <w:pPr>
              <w:spacing w:after="0"/>
              <w:rPr>
                <w:sz w:val="22"/>
                <w:szCs w:val="22"/>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r>
      <w:tr>
        <w:trPr>
          <w:trHeight w:val="190"/>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92"/>
              <w:spacing w:after="0"/>
              <w:rPr>
                <w:sz w:val="20"/>
                <w:szCs w:val="20"/>
                <w:color w:val="auto"/>
              </w:rPr>
            </w:pPr>
            <w:r>
              <w:rPr>
                <w:rFonts w:ascii="Times New Roman" w:cs="Times New Roman" w:eastAsia="Times New Roman" w:hAnsi="Times New Roman"/>
                <w:sz w:val="14"/>
                <w:szCs w:val="14"/>
                <w:b w:val="1"/>
                <w:bCs w:val="1"/>
                <w:color w:val="auto"/>
              </w:rPr>
              <w:t>Washington, D.C. 20549</w:t>
            </w:r>
          </w:p>
        </w:tc>
      </w:tr>
      <w:tr>
        <w:trPr>
          <w:trHeight w:val="217"/>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00" w:type="dxa"/>
            <w:vAlign w:val="bottom"/>
          </w:tcPr>
          <w:p>
            <w:pPr>
              <w:spacing w:after="0"/>
              <w:rPr>
                <w:sz w:val="18"/>
                <w:szCs w:val="18"/>
                <w:color w:val="auto"/>
              </w:rPr>
            </w:pPr>
          </w:p>
        </w:tc>
      </w:tr>
      <w:tr>
        <w:trPr>
          <w:trHeight w:val="307"/>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22"/>
                <w:szCs w:val="22"/>
                <w:b w:val="1"/>
                <w:bCs w:val="1"/>
                <w:color w:val="auto"/>
                <w:w w:val="97"/>
              </w:rPr>
              <w:t>FORM 8-K</w:t>
            </w:r>
          </w:p>
        </w:tc>
      </w:tr>
      <w:tr>
        <w:trPr>
          <w:trHeight w:val="159"/>
        </w:trPr>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100" w:type="dxa"/>
            <w:vAlign w:val="bottom"/>
          </w:tcPr>
          <w:p>
            <w:pPr>
              <w:spacing w:after="0"/>
              <w:rPr>
                <w:sz w:val="13"/>
                <w:szCs w:val="13"/>
                <w:color w:val="auto"/>
              </w:rPr>
            </w:pPr>
          </w:p>
        </w:tc>
      </w:tr>
      <w:tr>
        <w:trPr>
          <w:trHeight w:val="246"/>
        </w:trPr>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20" w:type="dxa"/>
            <w:vAlign w:val="bottom"/>
            <w:gridSpan w:val="2"/>
          </w:tcPr>
          <w:p>
            <w:pPr>
              <w:jc w:val="center"/>
              <w:ind w:right="2052"/>
              <w:spacing w:after="0"/>
              <w:rPr>
                <w:sz w:val="20"/>
                <w:szCs w:val="20"/>
                <w:color w:val="auto"/>
              </w:rPr>
            </w:pPr>
            <w:r>
              <w:rPr>
                <w:rFonts w:ascii="Times New Roman" w:cs="Times New Roman" w:eastAsia="Times New Roman" w:hAnsi="Times New Roman"/>
                <w:sz w:val="17"/>
                <w:szCs w:val="17"/>
                <w:b w:val="1"/>
                <w:bCs w:val="1"/>
                <w:color w:val="auto"/>
                <w:w w:val="97"/>
              </w:rPr>
              <w:t>CURRENT REPORT</w:t>
            </w:r>
          </w:p>
        </w:tc>
      </w:tr>
      <w:tr>
        <w:trPr>
          <w:trHeight w:val="263"/>
        </w:trPr>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tc>
      </w:tr>
      <w:tr>
        <w:trPr>
          <w:trHeight w:val="190"/>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tc>
      </w:tr>
      <w:tr>
        <w:trPr>
          <w:trHeight w:val="279"/>
        </w:trPr>
        <w:tc>
          <w:tcPr>
            <w:tcW w:w="760" w:type="dxa"/>
            <w:vAlign w:val="bottom"/>
          </w:tcPr>
          <w:p>
            <w:pPr>
              <w:spacing w:after="0"/>
              <w:rPr>
                <w:sz w:val="24"/>
                <w:szCs w:val="24"/>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20, 2019</w:t>
            </w:r>
          </w:p>
        </w:tc>
      </w:tr>
      <w:tr>
        <w:trPr>
          <w:trHeight w:val="208"/>
        </w:trPr>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00" w:type="dxa"/>
            <w:vAlign w:val="bottom"/>
          </w:tcPr>
          <w:p>
            <w:pPr>
              <w:spacing w:after="0"/>
              <w:rPr>
                <w:sz w:val="18"/>
                <w:szCs w:val="18"/>
                <w:color w:val="auto"/>
              </w:rPr>
            </w:pPr>
          </w:p>
        </w:tc>
      </w:tr>
      <w:tr>
        <w:trPr>
          <w:trHeight w:val="370"/>
        </w:trPr>
        <w:tc>
          <w:tcPr>
            <w:tcW w:w="760" w:type="dxa"/>
            <w:vAlign w:val="bottom"/>
          </w:tcPr>
          <w:p>
            <w:pPr>
              <w:spacing w:after="0"/>
              <w:rPr>
                <w:sz w:val="24"/>
                <w:szCs w:val="24"/>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59"/>
        </w:trPr>
        <w:tc>
          <w:tcPr>
            <w:tcW w:w="760" w:type="dxa"/>
            <w:vAlign w:val="bottom"/>
          </w:tcPr>
          <w:p>
            <w:pPr>
              <w:spacing w:after="0"/>
              <w:rPr>
                <w:sz w:val="13"/>
                <w:szCs w:val="13"/>
                <w:color w:val="auto"/>
              </w:rPr>
            </w:pPr>
          </w:p>
        </w:tc>
        <w:tc>
          <w:tcPr>
            <w:tcW w:w="5840" w:type="dxa"/>
            <w:vAlign w:val="bottom"/>
            <w:gridSpan w:val="3"/>
          </w:tcPr>
          <w:p>
            <w:pPr>
              <w:jc w:val="center"/>
              <w:ind w:right="852"/>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71"/>
        </w:trPr>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187"/>
        </w:trPr>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468"/>
        </w:trPr>
        <w:tc>
          <w:tcPr>
            <w:tcW w:w="760" w:type="dxa"/>
            <w:vAlign w:val="bottom"/>
          </w:tcPr>
          <w:p>
            <w:pPr>
              <w:jc w:val="center"/>
              <w:ind w:right="108"/>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840" w:type="dxa"/>
            <w:vAlign w:val="bottom"/>
            <w:gridSpan w:val="3"/>
          </w:tcPr>
          <w:p>
            <w:pPr>
              <w:jc w:val="center"/>
              <w:ind w:left="4996"/>
              <w:spacing w:after="0"/>
              <w:rPr>
                <w:sz w:val="20"/>
                <w:szCs w:val="20"/>
                <w:color w:val="auto"/>
              </w:rPr>
            </w:pPr>
            <w:r>
              <w:rPr>
                <w:rFonts w:ascii="Times New Roman" w:cs="Times New Roman" w:eastAsia="Times New Roman" w:hAnsi="Times New Roman"/>
                <w:sz w:val="12"/>
                <w:szCs w:val="12"/>
                <w:b w:val="1"/>
                <w:bCs w:val="1"/>
                <w:color w:val="auto"/>
              </w:rPr>
              <w:t>39-0971239</w:t>
            </w:r>
          </w:p>
        </w:tc>
      </w:tr>
      <w:tr>
        <w:trPr>
          <w:trHeight w:val="119"/>
        </w:trPr>
        <w:tc>
          <w:tcPr>
            <w:tcW w:w="760" w:type="dxa"/>
            <w:vAlign w:val="bottom"/>
          </w:tcPr>
          <w:p>
            <w:pPr>
              <w:jc w:val="center"/>
              <w:ind w:right="88"/>
              <w:spacing w:after="0"/>
              <w:rPr>
                <w:sz w:val="20"/>
                <w:szCs w:val="20"/>
                <w:color w:val="auto"/>
              </w:rPr>
            </w:pPr>
            <w:r>
              <w:rPr>
                <w:rFonts w:ascii="Times New Roman" w:cs="Times New Roman" w:eastAsia="Times New Roman" w:hAnsi="Times New Roman"/>
                <w:sz w:val="10"/>
                <w:szCs w:val="10"/>
                <w:b w:val="1"/>
                <w:bCs w:val="1"/>
                <w:color w:val="auto"/>
                <w:w w:val="94"/>
              </w:rPr>
              <w:t>(State of</w:t>
            </w:r>
          </w:p>
        </w:tc>
        <w:tc>
          <w:tcPr>
            <w:tcW w:w="1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00" w:type="dxa"/>
            <w:vAlign w:val="bottom"/>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8"/>
              </w:rPr>
              <w:t>(IRS Employer</w:t>
            </w:r>
          </w:p>
        </w:tc>
      </w:tr>
      <w:tr>
        <w:trPr>
          <w:trHeight w:val="119"/>
        </w:trPr>
        <w:tc>
          <w:tcPr>
            <w:tcW w:w="760" w:type="dxa"/>
            <w:vAlign w:val="bottom"/>
          </w:tcPr>
          <w:p>
            <w:pPr>
              <w:jc w:val="center"/>
              <w:ind w:right="88"/>
              <w:spacing w:after="0"/>
              <w:rPr>
                <w:sz w:val="20"/>
                <w:szCs w:val="20"/>
                <w:color w:val="auto"/>
              </w:rPr>
            </w:pPr>
            <w:r>
              <w:rPr>
                <w:rFonts w:ascii="Times New Roman" w:cs="Times New Roman" w:eastAsia="Times New Roman" w:hAnsi="Times New Roman"/>
                <w:sz w:val="10"/>
                <w:szCs w:val="10"/>
                <w:b w:val="1"/>
                <w:bCs w:val="1"/>
                <w:color w:val="auto"/>
                <w:w w:val="97"/>
              </w:rPr>
              <w:t>Incorporation)</w:t>
            </w:r>
          </w:p>
        </w:tc>
        <w:tc>
          <w:tcPr>
            <w:tcW w:w="12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100" w:type="dxa"/>
            <w:vAlign w:val="bottom"/>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44"/>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20" w:type="dxa"/>
            <w:vAlign w:val="bottom"/>
            <w:gridSpan w:val="2"/>
          </w:tcPr>
          <w:p>
            <w:pPr>
              <w:jc w:val="center"/>
              <w:ind w:right="205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3"/>
        </w:trPr>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20" w:type="dxa"/>
            <w:vAlign w:val="bottom"/>
            <w:gridSpan w:val="2"/>
          </w:tcPr>
          <w:p>
            <w:pPr>
              <w:jc w:val="center"/>
              <w:ind w:right="205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6"/>
        </w:trPr>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51"/>
        </w:trPr>
        <w:tc>
          <w:tcPr>
            <w:tcW w:w="760" w:type="dxa"/>
            <w:vAlign w:val="bottom"/>
          </w:tcPr>
          <w:p>
            <w:pPr>
              <w:spacing w:after="0"/>
              <w:rPr>
                <w:sz w:val="21"/>
                <w:szCs w:val="21"/>
                <w:color w:val="auto"/>
              </w:rPr>
            </w:pPr>
          </w:p>
        </w:tc>
        <w:tc>
          <w:tcPr>
            <w:tcW w:w="3740" w:type="dxa"/>
            <w:vAlign w:val="bottom"/>
            <w:gridSpan w:val="2"/>
          </w:tcPr>
          <w:p>
            <w:pPr>
              <w:jc w:val="center"/>
              <w:ind w:left="1116"/>
              <w:spacing w:after="0"/>
              <w:rPr>
                <w:sz w:val="20"/>
                <w:szCs w:val="20"/>
                <w:color w:val="auto"/>
              </w:rPr>
            </w:pPr>
            <w:r>
              <w:rPr>
                <w:rFonts w:ascii="Times New Roman" w:cs="Times New Roman" w:eastAsia="Times New Roman" w:hAnsi="Times New Roman"/>
                <w:sz w:val="12"/>
                <w:szCs w:val="12"/>
                <w:b w:val="1"/>
                <w:bCs w:val="1"/>
                <w:color w:val="auto"/>
                <w:w w:val="98"/>
              </w:rPr>
              <w:t>(414) 358-6600</w:t>
            </w:r>
          </w:p>
        </w:tc>
        <w:tc>
          <w:tcPr>
            <w:tcW w:w="2100" w:type="dxa"/>
            <w:vAlign w:val="bottom"/>
          </w:tcPr>
          <w:p>
            <w:pPr>
              <w:spacing w:after="0"/>
              <w:rPr>
                <w:sz w:val="21"/>
                <w:szCs w:val="21"/>
                <w:color w:val="auto"/>
              </w:rPr>
            </w:pPr>
          </w:p>
        </w:tc>
      </w:tr>
      <w:tr>
        <w:trPr>
          <w:trHeight w:val="127"/>
        </w:trPr>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20" w:type="dxa"/>
            <w:vAlign w:val="bottom"/>
            <w:gridSpan w:val="2"/>
          </w:tcPr>
          <w:p>
            <w:pPr>
              <w:jc w:val="center"/>
              <w:ind w:right="2072"/>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119380</wp:posOffset>
            </wp:positionV>
            <wp:extent cx="16014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22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9" w:lineRule="exact"/>
        <w:rPr>
          <w:sz w:val="24"/>
          <w:szCs w:val="24"/>
          <w:color w:val="auto"/>
        </w:rPr>
      </w:pPr>
    </w:p>
    <w:tbl>
      <w:tblPr>
        <w:tblLayout w:type="fixed"/>
        <w:tblInd w:w="30" w:type="dxa"/>
        <w:tblCellMar>
          <w:top w:w="0" w:type="dxa"/>
          <w:left w:w="0" w:type="dxa"/>
          <w:bottom w:w="0" w:type="dxa"/>
          <w:right w:w="0" w:type="dxa"/>
        </w:tblCellMar>
      </w:tblPr>
      <w:tr>
        <w:trPr>
          <w:trHeight w:val="156"/>
        </w:trPr>
        <w:tc>
          <w:tcPr>
            <w:tcW w:w="6200" w:type="dxa"/>
            <w:vAlign w:val="bottom"/>
            <w:tcBorders>
              <w:top w:val="single" w:sz="8" w:color="auto"/>
              <w:left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540" w:type="dxa"/>
            <w:vAlign w:val="bottom"/>
            <w:tcBorders>
              <w:top w:val="single" w:sz="8" w:color="auto"/>
              <w:right w:val="single" w:sz="8" w:color="auto"/>
            </w:tcBorders>
          </w:tcPr>
          <w:p>
            <w:pPr>
              <w:spacing w:after="0"/>
              <w:rPr>
                <w:sz w:val="13"/>
                <w:szCs w:val="13"/>
                <w:color w:val="auto"/>
              </w:rPr>
            </w:pPr>
          </w:p>
        </w:tc>
      </w:tr>
      <w:tr>
        <w:trPr>
          <w:trHeight w:val="168"/>
        </w:trPr>
        <w:tc>
          <w:tcPr>
            <w:tcW w:w="6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w:t>
            </w:r>
          </w:p>
        </w:tc>
        <w:tc>
          <w:tcPr>
            <w:tcW w:w="3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69"/>
        </w:trPr>
        <w:tc>
          <w:tcPr>
            <w:tcW w:w="6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Class A Nonvoting Common Stock, par value $0.01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43" w:lineRule="exact"/>
        <w:rPr>
          <w:sz w:val="24"/>
          <w:szCs w:val="24"/>
          <w:color w:val="auto"/>
        </w:rPr>
      </w:pPr>
    </w:p>
    <w:p>
      <w:pPr>
        <w:ind w:right="620"/>
        <w:spacing w:after="0" w:line="18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2"/>
          <w:szCs w:val="12"/>
          <w:color w:val="auto"/>
        </w:rPr>
        <w:t>☐</w:t>
      </w:r>
    </w:p>
    <w:p>
      <w:pPr>
        <w:spacing w:after="0" w:line="41" w:lineRule="exact"/>
        <w:rPr>
          <w:sz w:val="24"/>
          <w:szCs w:val="24"/>
          <w:color w:val="auto"/>
        </w:rPr>
      </w:pPr>
    </w:p>
    <w:p>
      <w:pPr>
        <w:ind w:right="26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60"/>
          </w:cols>
          <w:pgMar w:left="220" w:top="513" w:right="219" w:bottom="1440" w:gutter="0" w:footer="0" w:header="0"/>
        </w:sectPr>
      </w:pPr>
    </w:p>
    <w:bookmarkStart w:id="1" w:name="page2"/>
    <w:bookmarkEnd w:id="1"/>
    <w:p>
      <w:pPr>
        <w:ind w:left="20"/>
        <w:spacing w:after="0"/>
        <w:tabs>
          <w:tab w:leader="none" w:pos="70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168" w:lineRule="exact"/>
        <w:rPr>
          <w:sz w:val="20"/>
          <w:szCs w:val="20"/>
          <w:color w:val="auto"/>
        </w:rPr>
      </w:pPr>
    </w:p>
    <w:p>
      <w:pPr>
        <w:ind w:right="20" w:firstLine="216"/>
        <w:spacing w:after="0" w:line="280" w:lineRule="auto"/>
        <w:rPr>
          <w:sz w:val="20"/>
          <w:szCs w:val="20"/>
          <w:color w:val="auto"/>
        </w:rPr>
      </w:pPr>
      <w:r>
        <w:rPr>
          <w:rFonts w:ascii="Times New Roman" w:cs="Times New Roman" w:eastAsia="Times New Roman" w:hAnsi="Times New Roman"/>
          <w:sz w:val="12"/>
          <w:szCs w:val="12"/>
          <w:color w:val="auto"/>
        </w:rPr>
        <w:t>On November 21, 2019, Brady Corporation (the “Company”) issued a press release announcing its fiscal 2020 first quarter financial results. A copy of the press release is being furnished to the Securities and Exchange Commission as Exhibit 99.1 attached hereto and is incorporated herein by reference.</w:t>
      </w:r>
    </w:p>
    <w:p>
      <w:pPr>
        <w:spacing w:after="0" w:line="327"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2"/>
          <w:szCs w:val="12"/>
          <w:color w:val="auto"/>
        </w:rPr>
        <w:t>Item 5.07</w:t>
      </w:r>
      <w:r>
        <w:rPr>
          <w:sz w:val="20"/>
          <w:szCs w:val="20"/>
          <w:color w:val="auto"/>
        </w:rPr>
        <w:tab/>
      </w:r>
      <w:r>
        <w:rPr>
          <w:rFonts w:ascii="Times New Roman" w:cs="Times New Roman" w:eastAsia="Times New Roman" w:hAnsi="Times New Roman"/>
          <w:sz w:val="11"/>
          <w:szCs w:val="11"/>
          <w:color w:val="auto"/>
        </w:rPr>
        <w:t>SUBMISSIONS OF MATTERS TO A VOTE OF SECURITY HOLDERS</w:t>
      </w:r>
    </w:p>
    <w:p>
      <w:pPr>
        <w:spacing w:after="0" w:line="168" w:lineRule="exact"/>
        <w:rPr>
          <w:sz w:val="20"/>
          <w:szCs w:val="20"/>
          <w:color w:val="auto"/>
        </w:rPr>
      </w:pPr>
    </w:p>
    <w:p>
      <w:pPr>
        <w:ind w:right="20" w:firstLine="225"/>
        <w:spacing w:after="0" w:line="280" w:lineRule="auto"/>
        <w:rPr>
          <w:sz w:val="20"/>
          <w:szCs w:val="20"/>
          <w:color w:val="auto"/>
        </w:rPr>
      </w:pPr>
      <w:r>
        <w:rPr>
          <w:rFonts w:ascii="Times New Roman" w:cs="Times New Roman" w:eastAsia="Times New Roman" w:hAnsi="Times New Roman"/>
          <w:sz w:val="12"/>
          <w:szCs w:val="12"/>
          <w:color w:val="auto"/>
        </w:rPr>
        <w:t>On November 20, 2019,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Patrick W. Allender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Gary S. Balkema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S. Bem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Elizabeth P. Bruno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Nancy L. Gioia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Conrad G. Goodkind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Frank W. Harris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 Michael Nauman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Bradley C. Richardson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Michelle E. Williams</w:t>
      </w:r>
    </w:p>
    <w:p>
      <w:pPr>
        <w:spacing w:after="0" w:line="356"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168" w:lineRule="exact"/>
        <w:rPr>
          <w:sz w:val="20"/>
          <w:szCs w:val="20"/>
          <w:color w:val="auto"/>
        </w:rPr>
      </w:pPr>
    </w:p>
    <w:p>
      <w:pPr>
        <w:ind w:firstLine="216"/>
        <w:spacing w:after="0" w:line="280" w:lineRule="auto"/>
        <w:rPr>
          <w:sz w:val="20"/>
          <w:szCs w:val="20"/>
          <w:color w:val="auto"/>
        </w:rPr>
      </w:pPr>
      <w:r>
        <w:rPr>
          <w:rFonts w:ascii="Times New Roman" w:cs="Times New Roman" w:eastAsia="Times New Roman" w:hAnsi="Times New Roman"/>
          <w:sz w:val="12"/>
          <w:szCs w:val="12"/>
          <w:color w:val="auto"/>
        </w:rPr>
        <w:t>On November 21, 2019, the Company hosted a conference call related to its fiscal 2020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Item 9.01</w:t>
            </w:r>
          </w:p>
        </w:tc>
        <w:tc>
          <w:tcPr>
            <w:tcW w:w="5840" w:type="dxa"/>
            <w:vAlign w:val="bottom"/>
            <w:gridSpan w:val="6"/>
          </w:tcPr>
          <w:p>
            <w:pPr>
              <w:ind w:left="80"/>
              <w:spacing w:after="0"/>
              <w:rPr>
                <w:sz w:val="20"/>
                <w:szCs w:val="20"/>
                <w:color w:val="auto"/>
              </w:rPr>
            </w:pPr>
            <w:r>
              <w:rPr>
                <w:rFonts w:ascii="Times New Roman" w:cs="Times New Roman" w:eastAsia="Times New Roman" w:hAnsi="Times New Roman"/>
                <w:sz w:val="12"/>
                <w:szCs w:val="12"/>
                <w:color w:val="auto"/>
              </w:rPr>
              <w:t>FINANCIAL STATEMENTS AND EXHIBITS</w:t>
            </w:r>
          </w:p>
        </w:tc>
        <w:tc>
          <w:tcPr>
            <w:tcW w:w="0" w:type="dxa"/>
            <w:vAlign w:val="bottom"/>
          </w:tcPr>
          <w:p>
            <w:pPr>
              <w:spacing w:after="0"/>
              <w:rPr>
                <w:sz w:val="1"/>
                <w:szCs w:val="1"/>
                <w:color w:val="auto"/>
              </w:rPr>
            </w:pP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EXHIBIT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NUMBER</w:t>
            </w:r>
          </w:p>
        </w:tc>
        <w:tc>
          <w:tcPr>
            <w:tcW w:w="28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color w:val="auto"/>
              </w:rPr>
              <w:t>DESCRIPTION</w:t>
            </w:r>
          </w:p>
        </w:tc>
        <w:tc>
          <w:tcPr>
            <w:tcW w:w="0" w:type="dxa"/>
            <w:vAlign w:val="bottom"/>
          </w:tcPr>
          <w:p>
            <w:pPr>
              <w:spacing w:after="0"/>
              <w:rPr>
                <w:sz w:val="1"/>
                <w:szCs w:val="1"/>
                <w:color w:val="auto"/>
              </w:rPr>
            </w:pPr>
          </w:p>
        </w:tc>
      </w:tr>
      <w:tr>
        <w:trPr>
          <w:trHeight w:val="160"/>
        </w:trPr>
        <w:tc>
          <w:tcPr>
            <w:tcW w:w="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99.1</w:t>
            </w:r>
          </w:p>
        </w:tc>
        <w:tc>
          <w:tcPr>
            <w:tcW w:w="280" w:type="dxa"/>
            <w:vAlign w:val="bottom"/>
          </w:tcPr>
          <w:p>
            <w:pPr>
              <w:spacing w:after="0"/>
              <w:rPr>
                <w:sz w:val="13"/>
                <w:szCs w:val="13"/>
                <w:color w:val="auto"/>
              </w:rPr>
            </w:pPr>
          </w:p>
        </w:tc>
        <w:tc>
          <w:tcPr>
            <w:tcW w:w="5560" w:type="dxa"/>
            <w:vAlign w:val="bottom"/>
            <w:gridSpan w:val="5"/>
            <w:vMerge w:val="restart"/>
          </w:tcPr>
          <w:p>
            <w:pPr>
              <w:spacing w:after="0"/>
              <w:rPr>
                <w:rFonts w:ascii="Times New Roman" w:cs="Times New Roman" w:eastAsia="Times New Roman" w:hAnsi="Times New Roman"/>
                <w:sz w:val="12"/>
                <w:szCs w:val="12"/>
                <w:color w:val="0000FF"/>
              </w:rPr>
            </w:pPr>
            <w:hyperlink w:anchor="page4">
              <w:r>
                <w:rPr>
                  <w:rFonts w:ascii="Times New Roman" w:cs="Times New Roman" w:eastAsia="Times New Roman" w:hAnsi="Times New Roman"/>
                  <w:sz w:val="12"/>
                  <w:szCs w:val="12"/>
                  <w:color w:val="0000FF"/>
                </w:rPr>
                <w:t>Press Release of Brady Corporation, dated November 21, 2019, relating to first quarter fiscal 2020 financial</w:t>
              </w:r>
            </w:hyperlink>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5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2"/>
                <w:szCs w:val="12"/>
                <w:color w:val="0000FF"/>
                <w:w w:val="98"/>
              </w:rPr>
            </w:pPr>
            <w:hyperlink w:anchor="page4">
              <w:r>
                <w:rPr>
                  <w:rFonts w:ascii="Times New Roman" w:cs="Times New Roman" w:eastAsia="Times New Roman" w:hAnsi="Times New Roman"/>
                  <w:sz w:val="12"/>
                  <w:szCs w:val="12"/>
                  <w:color w:val="0000FF"/>
                  <w:w w:val="98"/>
                </w:rPr>
                <w:t>results.</w:t>
              </w:r>
            </w:hyperlink>
          </w:p>
        </w:tc>
        <w:tc>
          <w:tcPr>
            <w:tcW w:w="4820" w:type="dxa"/>
            <w:vAlign w:val="bottom"/>
            <w:tcBorders>
              <w:top w:val="single" w:sz="8" w:color="0000FF"/>
            </w:tcBorders>
            <w:gridSpan w:val="2"/>
          </w:tcPr>
          <w:p>
            <w:pPr>
              <w:spacing w:after="0"/>
              <w:rPr>
                <w:sz w:val="10"/>
                <w:szCs w:val="10"/>
                <w:color w:val="auto"/>
              </w:rPr>
            </w:pPr>
          </w:p>
        </w:tc>
        <w:tc>
          <w:tcPr>
            <w:tcW w:w="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280" w:type="dxa"/>
            <w:vAlign w:val="bottom"/>
          </w:tcPr>
          <w:p>
            <w:pPr>
              <w:spacing w:after="0"/>
              <w:rPr>
                <w:sz w:val="18"/>
                <w:szCs w:val="18"/>
                <w:color w:val="auto"/>
              </w:rPr>
            </w:pPr>
          </w:p>
        </w:tc>
        <w:tc>
          <w:tcPr>
            <w:tcW w:w="5560" w:type="dxa"/>
            <w:vAlign w:val="bottom"/>
            <w:gridSpan w:val="5"/>
          </w:tcPr>
          <w:p>
            <w:pPr>
              <w:spacing w:after="0"/>
              <w:rPr>
                <w:rFonts w:ascii="Times New Roman" w:cs="Times New Roman" w:eastAsia="Times New Roman" w:hAnsi="Times New Roman"/>
                <w:sz w:val="12"/>
                <w:szCs w:val="12"/>
                <w:color w:val="0000FF"/>
              </w:rPr>
            </w:pPr>
            <w:hyperlink w:anchor="page11">
              <w:r>
                <w:rPr>
                  <w:rFonts w:ascii="Times New Roman" w:cs="Times New Roman" w:eastAsia="Times New Roman" w:hAnsi="Times New Roman"/>
                  <w:sz w:val="12"/>
                  <w:szCs w:val="12"/>
                  <w:color w:val="0000FF"/>
                </w:rPr>
                <w:t>Informational slides provided by Brady Corporation, dated November 21, 2019, relating to first quarter fiscal 2020</w:t>
              </w:r>
            </w:hyperlink>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520" w:type="dxa"/>
            <w:vAlign w:val="bottom"/>
            <w:tcBorders>
              <w:top w:val="single" w:sz="8" w:color="0000FF"/>
            </w:tcBorders>
            <w:gridSpan w:val="4"/>
          </w:tcPr>
          <w:p>
            <w:pPr>
              <w:spacing w:after="0" w:line="124" w:lineRule="exact"/>
              <w:rPr>
                <w:rFonts w:ascii="Times New Roman" w:cs="Times New Roman" w:eastAsia="Times New Roman" w:hAnsi="Times New Roman"/>
                <w:sz w:val="12"/>
                <w:szCs w:val="12"/>
                <w:color w:val="0000FF"/>
              </w:rPr>
            </w:pPr>
            <w:hyperlink w:anchor="page11">
              <w:r>
                <w:rPr>
                  <w:rFonts w:ascii="Times New Roman" w:cs="Times New Roman" w:eastAsia="Times New Roman" w:hAnsi="Times New Roman"/>
                  <w:sz w:val="12"/>
                  <w:szCs w:val="12"/>
                  <w:color w:val="0000FF"/>
                </w:rPr>
                <w:t>financial results.</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20" w:top="525" w:right="199" w:bottom="1440" w:gutter="0" w:footer="0" w:header="0"/>
        </w:sectPr>
      </w:pPr>
    </w:p>
    <w:bookmarkStart w:id="2" w:name="page3"/>
    <w:bookmarkEnd w:id="2"/>
    <w:p>
      <w:pPr>
        <w:ind w:left="540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November 21, 2019</w:t>
      </w:r>
    </w:p>
    <w:p>
      <w:pPr>
        <w:spacing w:after="0" w:line="25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22225</wp:posOffset>
            </wp:positionV>
            <wp:extent cx="35001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0120" cy="5715"/>
                    </a:xfrm>
                    <a:prstGeom prst="rect">
                      <a:avLst/>
                    </a:prstGeom>
                    <a:noFill/>
                  </pic:spPr>
                </pic:pic>
              </a:graphicData>
            </a:graphic>
          </wp:anchor>
        </w:drawing>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Aaron J. Pearce</w:t>
      </w:r>
    </w:p>
    <w:p>
      <w:pPr>
        <w:spacing w:after="0" w:line="4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ectPr>
          <w:pgSz w:w="11900" w:h="16838" w:orient="portrait"/>
          <w:cols w:equalWidth="0" w:num="1">
            <w:col w:w="10239"/>
          </w:cols>
          <w:pgMar w:left="220" w:top="41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2020 First Quarter Results and Increases its Fiscal 2020 EPS Guidance</w:t>
      </w:r>
    </w:p>
    <w:p>
      <w:pPr>
        <w:spacing w:after="0" w:line="24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Income before income taxes increased 4.2 percent to $41.6 million in the first quarter of fiscal 2020 compared to $39.9 million in the same quarter of the prior year.</w:t>
      </w:r>
    </w:p>
    <w:p>
      <w:pPr>
        <w:spacing w:after="0" w:line="75" w:lineRule="exact"/>
        <w:rPr>
          <w:rFonts w:ascii="Times New Roman" w:cs="Times New Roman" w:eastAsia="Times New Roman" w:hAnsi="Times New Roman"/>
          <w:sz w:val="12"/>
          <w:szCs w:val="12"/>
          <w:color w:val="auto"/>
        </w:rPr>
      </w:pPr>
    </w:p>
    <w:p>
      <w:pPr>
        <w:ind w:left="420" w:right="20" w:hanging="212"/>
        <w:spacing w:after="0" w:line="361"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Diluted EPS increased 20.7 percent to $0.70 in the first quarter of fiscal 2020 compared to $0.58 in the same quarter of the prior year. Diluted EPS in the first quarter of fiscal 2020 was impacted by a reduced income tax rate of 9.8 percent primarily due to a favorable tax audit settlement and tax benefits from equity-based compensation.</w:t>
      </w: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Sales for the quarter decreased 2.1 percent. Organic sales decreased 0.4 percent and the impact of foreign currency translation decreased sales by 1.7 percent.</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Diluted EPS guidance for the full year ending July 31, 2020 was increased to a range of $2.50 to $2.60 from the previous range of $2.45 to $2.55.</w:t>
      </w:r>
    </w:p>
    <w:p>
      <w:pPr>
        <w:spacing w:after="0" w:line="283" w:lineRule="exact"/>
        <w:rPr>
          <w:sz w:val="20"/>
          <w:szCs w:val="20"/>
          <w:color w:val="auto"/>
        </w:rPr>
      </w:pPr>
    </w:p>
    <w:p>
      <w:pPr>
        <w:jc w:val="both"/>
        <w:spacing w:after="0" w:line="397" w:lineRule="auto"/>
        <w:rPr>
          <w:sz w:val="20"/>
          <w:szCs w:val="20"/>
          <w:color w:val="auto"/>
        </w:rPr>
      </w:pPr>
      <w:r>
        <w:rPr>
          <w:rFonts w:ascii="Times New Roman" w:cs="Times New Roman" w:eastAsia="Times New Roman" w:hAnsi="Times New Roman"/>
          <w:sz w:val="13"/>
          <w:szCs w:val="13"/>
          <w:color w:val="auto"/>
        </w:rPr>
        <w:t>MILWAUKEE (November 21, 2019)--Brady Corporation (NYSE: BRC) (“Brady” or “Company”), a world leader in identification solutions, today reported its financial results for its fiscal 2020 first quarter ended October 31,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October 31, 2019 Financial Results: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Income before income taxes increased 4.2 percent to $41.6 million for the quarter ended October 31, 2019, compared to $39.9 million in the same quarter last year.</w:t>
      </w:r>
    </w:p>
    <w:p>
      <w:pPr>
        <w:spacing w:after="0" w:line="76" w:lineRule="exact"/>
        <w:rPr>
          <w:sz w:val="20"/>
          <w:szCs w:val="20"/>
          <w:color w:val="auto"/>
        </w:rPr>
      </w:pPr>
    </w:p>
    <w:p>
      <w:pPr>
        <w:jc w:val="both"/>
        <w:ind w:firstLine="432"/>
        <w:spacing w:after="0" w:line="361" w:lineRule="auto"/>
        <w:rPr>
          <w:sz w:val="20"/>
          <w:szCs w:val="20"/>
          <w:color w:val="auto"/>
        </w:rPr>
      </w:pPr>
      <w:r>
        <w:rPr>
          <w:rFonts w:ascii="Times New Roman" w:cs="Times New Roman" w:eastAsia="Times New Roman" w:hAnsi="Times New Roman"/>
          <w:sz w:val="13"/>
          <w:szCs w:val="13"/>
          <w:color w:val="auto"/>
        </w:rPr>
        <w:t>Net income for the quarter ended October 31, 2019 increased 22.4 percent to $37.5 million compared to $30.6 million in the same quarter last year. Earnings per diluted Class A Nonvoting Common Share were $0.70 for the first quarter of fiscal 2020, compared to $0.58 in the same quarter last year. Net income and earnings per diluted Class A Nonvoting Common Share were impacted by a reduced income tax rate of 9.8 percent primarily due to a favorable tax audit settlement and tax benefits from equity-based compensation.</w:t>
      </w:r>
    </w:p>
    <w:p>
      <w:pPr>
        <w:spacing w:after="0" w:line="1" w:lineRule="exact"/>
        <w:rPr>
          <w:sz w:val="20"/>
          <w:szCs w:val="20"/>
          <w:color w:val="auto"/>
        </w:rPr>
      </w:pPr>
    </w:p>
    <w:p>
      <w:pPr>
        <w:jc w:val="both"/>
        <w:ind w:firstLine="432"/>
        <w:spacing w:after="0" w:line="379" w:lineRule="auto"/>
        <w:rPr>
          <w:sz w:val="20"/>
          <w:szCs w:val="20"/>
          <w:color w:val="auto"/>
        </w:rPr>
      </w:pPr>
      <w:r>
        <w:rPr>
          <w:rFonts w:ascii="Times New Roman" w:cs="Times New Roman" w:eastAsia="Times New Roman" w:hAnsi="Times New Roman"/>
          <w:sz w:val="13"/>
          <w:szCs w:val="13"/>
          <w:color w:val="auto"/>
        </w:rPr>
        <w:t>Sales for the quarter ended October 31, 2019 decreased 2.1 percent, which consisted of an organic sales decline of 0.4 percent and a decrease of 1.7 percent from foreign currency translation. Sales for the quarter ended October 31, 2019 were $286.9 million compared to $293.2 million in the same quarter last year. By segment, sales decreased 1.4 percent in Identification Solutions and decreased 4.2 percent in Workplace Safety, which consisted of organic sales declines of 0.2 percent in Identification Solutions and 0.8 percent in Workplace Safety.</w:t>
      </w:r>
    </w:p>
    <w:p>
      <w:pPr>
        <w:sectPr>
          <w:pgSz w:w="11900" w:h="16838" w:orient="portrait"/>
          <w:cols w:equalWidth="0" w:num="1">
            <w:col w:w="11480"/>
          </w:cols>
          <w:pgMar w:left="220" w:top="411" w:right="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45" w:lineRule="exact"/>
        <w:rPr>
          <w:sz w:val="20"/>
          <w:szCs w:val="20"/>
          <w:color w:val="auto"/>
        </w:rPr>
      </w:pPr>
    </w:p>
    <w:p>
      <w:pPr>
        <w:jc w:val="both"/>
        <w:ind w:firstLine="432"/>
        <w:spacing w:after="0" w:line="364" w:lineRule="auto"/>
        <w:rPr>
          <w:sz w:val="20"/>
          <w:szCs w:val="20"/>
          <w:color w:val="auto"/>
        </w:rPr>
      </w:pPr>
      <w:r>
        <w:rPr>
          <w:rFonts w:ascii="Times New Roman" w:cs="Times New Roman" w:eastAsia="Times New Roman" w:hAnsi="Times New Roman"/>
          <w:sz w:val="13"/>
          <w:szCs w:val="13"/>
          <w:color w:val="auto"/>
        </w:rPr>
        <w:t>“This quarter marks our 17</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xml:space="preserve"> consecutive quarter of year-on-year pre-tax earnings growth. Our investment in innovative new products to provide increased value to our customers while executing efficiencies throughout our manufacturing facilities and SG&amp;A structure continue to drive our improved financial results,” said Brady’s President and Chief Executive Officer, J. Michael Nauman. “We see signs of a weakening industrial economic environment, which makes our commitment to the execution of sustainable efficiency gains throughout our businesses essential this fiscal year. Our priorities for fiscal 2020 are consistent with what has allowed us to deliver improved financial results the last four years, which we believe position us well for strong revenue and earnings growth as our end markets recover from the recent macro-economic weakness.”</w:t>
      </w:r>
    </w:p>
    <w:p>
      <w:pPr>
        <w:spacing w:after="0" w:line="199" w:lineRule="exact"/>
        <w:rPr>
          <w:sz w:val="20"/>
          <w:szCs w:val="20"/>
          <w:color w:val="auto"/>
        </w:rPr>
      </w:pPr>
    </w:p>
    <w:p>
      <w:pPr>
        <w:jc w:val="both"/>
        <w:ind w:right="20" w:firstLine="432"/>
        <w:spacing w:after="0" w:line="425" w:lineRule="auto"/>
        <w:rPr>
          <w:sz w:val="20"/>
          <w:szCs w:val="20"/>
          <w:color w:val="auto"/>
        </w:rPr>
      </w:pPr>
      <w:r>
        <w:rPr>
          <w:rFonts w:ascii="Times New Roman" w:cs="Times New Roman" w:eastAsia="Times New Roman" w:hAnsi="Times New Roman"/>
          <w:sz w:val="13"/>
          <w:szCs w:val="13"/>
          <w:color w:val="auto"/>
        </w:rPr>
        <w:t>“Cash provided by operating activities was $38.8 million this quarter and we finished in a net cash position of nearly $245 million at October 31, 2019, an increase of $107 million since October 31, 2018. Our balance sheet continues to provide significant flexibility for future investment and to return funds to our shareholders, which puts Brady in a strong financial position,” said Brady’s Chief Financial Officer, Aaron Pearce.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2020 Guidance:</w:t>
      </w:r>
    </w:p>
    <w:p>
      <w:pPr>
        <w:spacing w:after="0" w:line="78" w:lineRule="exact"/>
        <w:rPr>
          <w:sz w:val="20"/>
          <w:szCs w:val="20"/>
          <w:color w:val="auto"/>
        </w:rPr>
      </w:pPr>
    </w:p>
    <w:p>
      <w:pPr>
        <w:jc w:val="both"/>
        <w:ind w:firstLine="432"/>
        <w:spacing w:after="0" w:line="373" w:lineRule="auto"/>
        <w:rPr>
          <w:sz w:val="20"/>
          <w:szCs w:val="20"/>
          <w:color w:val="auto"/>
        </w:rPr>
      </w:pPr>
      <w:r>
        <w:rPr>
          <w:rFonts w:ascii="Times New Roman" w:cs="Times New Roman" w:eastAsia="Times New Roman" w:hAnsi="Times New Roman"/>
          <w:sz w:val="13"/>
          <w:szCs w:val="13"/>
          <w:color w:val="auto"/>
        </w:rPr>
        <w:t>The Company is increasing its full year fiscal 2020 earnings per diluted Class A Nonvoting Common Share guidance from its previous range of $2.45 to $2.55 to a range of $2.50 to $2.60 due to a reduction in its income tax rate. Included in this guidance is organic sales growth of approximately 1.5 to 2.5 percent, a full-year income tax rate of approximately 20 percent, and depreciation and amortization of approximately $25 million. The Company expects to achieve efficiency gains in its manufacturing facilities and in selling, general and administrative expenses. Capital expenditures are expected to be approximately $35 million during the year ending July 31, 2020. This guidance is based upon foreign currency exchange rates as of October 31, 2019.</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2020 first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83" w:lineRule="exact"/>
        <w:rPr>
          <w:sz w:val="20"/>
          <w:szCs w:val="20"/>
          <w:color w:val="auto"/>
        </w:rPr>
      </w:pPr>
    </w:p>
    <w:p>
      <w:pPr>
        <w:jc w:val="both"/>
        <w:ind w:firstLine="432"/>
        <w:spacing w:after="0" w:line="379"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2019, employed approximately 6,100 people in its worldwide businesses. Brady’s fiscal 2019 sales were approximately $1.16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www.bradycorp.com</w:t>
      </w:r>
      <w:r>
        <w:rPr>
          <w:rFonts w:ascii="Times New Roman" w:cs="Times New Roman" w:eastAsia="Times New Roman" w:hAnsi="Times New Roman"/>
          <w:sz w:val="13"/>
          <w:szCs w:val="13"/>
          <w:color w:val="0000FF"/>
        </w:rPr>
        <w:t>.</w:t>
      </w:r>
    </w:p>
    <w:p>
      <w:pPr>
        <w:sectPr>
          <w:pgSz w:w="11900" w:h="16838" w:orient="portrait"/>
          <w:cols w:equalWidth="0" w:num="1">
            <w:col w:w="11480"/>
          </w:cols>
          <w:pgMar w:left="220" w:top="447" w:right="1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raw material and other cost increases;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the impact of the Tax Reform Act and any other changes in tax legislation and tax rates; potential write-offs of Brady’s substantial intangible assets; differing interests of voting and non-voting shareholders;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80"/>
          </w:cols>
          <w:pgMar w:left="220" w:top="449" w:right="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right"/>
              <w:ind w:right="146"/>
              <w:spacing w:after="0"/>
              <w:rPr>
                <w:sz w:val="20"/>
                <w:szCs w:val="20"/>
                <w:color w:val="auto"/>
              </w:rPr>
            </w:pPr>
            <w:r>
              <w:rPr>
                <w:rFonts w:ascii="Times New Roman" w:cs="Times New Roman" w:eastAsia="Times New Roman" w:hAnsi="Times New Roman"/>
                <w:sz w:val="11"/>
                <w:szCs w:val="11"/>
                <w:color w:val="auto"/>
              </w:rPr>
              <w:t>Three months ended October 31,</w:t>
            </w:r>
          </w:p>
        </w:tc>
      </w:tr>
      <w:tr>
        <w:trPr>
          <w:trHeight w:val="22"/>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7"/>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286,947</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293,196</w:t>
            </w:r>
          </w:p>
        </w:tc>
      </w:tr>
      <w:tr>
        <w:trPr>
          <w:trHeight w:val="158"/>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goods sold</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145,542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146,657</w:t>
            </w: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Gross margin</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141,405</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146,539</w:t>
            </w:r>
          </w:p>
        </w:tc>
      </w:tr>
      <w:tr>
        <w:trPr>
          <w:trHeight w:val="158"/>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10,967</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11,326</w:t>
            </w:r>
          </w:p>
        </w:tc>
      </w:tr>
      <w:tr>
        <w:trPr>
          <w:trHeight w:val="158"/>
        </w:trPr>
        <w:tc>
          <w:tcPr>
            <w:tcW w:w="4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89,547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94,591</w:t>
            </w: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100,514</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105,917</w:t>
            </w:r>
          </w:p>
        </w:tc>
      </w:tr>
      <w:tr>
        <w:trPr>
          <w:trHeight w:val="180"/>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40,891</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40,622</w:t>
            </w:r>
          </w:p>
        </w:tc>
      </w:tr>
      <w:tr>
        <w:trPr>
          <w:trHeight w:val="180"/>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r>
      <w:tr>
        <w:trPr>
          <w:trHeight w:val="158"/>
        </w:trPr>
        <w:tc>
          <w:tcPr>
            <w:tcW w:w="4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 and other income (expense)</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w:t>
            </w:r>
          </w:p>
        </w:tc>
      </w:tr>
      <w:tr>
        <w:trPr>
          <w:trHeight w:val="169"/>
        </w:trPr>
        <w:tc>
          <w:tcPr>
            <w:tcW w:w="46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6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41,570</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39,893</w:t>
            </w:r>
          </w:p>
        </w:tc>
      </w:tr>
      <w:tr>
        <w:trPr>
          <w:trHeight w:val="180"/>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4,072</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9,256</w:t>
            </w:r>
          </w:p>
        </w:tc>
      </w:tr>
      <w:tr>
        <w:trPr>
          <w:trHeight w:val="169"/>
        </w:trPr>
        <w:tc>
          <w:tcPr>
            <w:tcW w:w="46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7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37,498</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30,637</w:t>
            </w:r>
          </w:p>
        </w:tc>
      </w:tr>
      <w:tr>
        <w:trPr>
          <w:trHeight w:val="180"/>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r>
      <w:tr>
        <w:trPr>
          <w:trHeight w:val="158"/>
        </w:trPr>
        <w:tc>
          <w:tcPr>
            <w:tcW w:w="4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0.71</w:t>
            </w:r>
          </w:p>
        </w:tc>
        <w:tc>
          <w:tcPr>
            <w:tcW w:w="6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0.59</w:t>
            </w: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0.70</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0.58</w:t>
            </w:r>
          </w:p>
        </w:tc>
      </w:tr>
      <w:tr>
        <w:trPr>
          <w:trHeight w:val="158"/>
        </w:trPr>
        <w:tc>
          <w:tcPr>
            <w:tcW w:w="4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0.22</w:t>
            </w:r>
          </w:p>
        </w:tc>
        <w:tc>
          <w:tcPr>
            <w:tcW w:w="6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0.21</w:t>
            </w: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4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58"/>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0.69</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0.57</w:t>
            </w:r>
          </w:p>
        </w:tc>
      </w:tr>
      <w:tr>
        <w:trPr>
          <w:trHeight w:val="158"/>
        </w:trPr>
        <w:tc>
          <w:tcPr>
            <w:tcW w:w="4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0.68</w:t>
            </w:r>
          </w:p>
        </w:tc>
        <w:tc>
          <w:tcPr>
            <w:tcW w:w="6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0.56</w:t>
            </w: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Dividends</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0.20</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0.20</w:t>
            </w:r>
          </w:p>
        </w:tc>
      </w:tr>
      <w:tr>
        <w:trPr>
          <w:trHeight w:val="180"/>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r>
      <w:tr>
        <w:trPr>
          <w:trHeight w:val="158"/>
        </w:trPr>
        <w:tc>
          <w:tcPr>
            <w:tcW w:w="4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53,143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52,201</w:t>
            </w:r>
          </w:p>
        </w:tc>
      </w:tr>
      <w:tr>
        <w:trPr>
          <w:trHeight w:val="22"/>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58"/>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53,736</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52,958</w:t>
            </w:r>
          </w:p>
        </w:tc>
      </w:tr>
      <w:tr>
        <w:trPr>
          <w:trHeight w:val="22"/>
        </w:trPr>
        <w:tc>
          <w:tcPr>
            <w:tcW w:w="4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bl>
    <w:p>
      <w:pPr>
        <w:sectPr>
          <w:pgSz w:w="11900" w:h="16838" w:orient="portrait"/>
          <w:cols w:equalWidth="0" w:num="1">
            <w:col w:w="10239"/>
          </w:cols>
          <w:pgMar w:left="220" w:top="41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w w:val="99"/>
              </w:rPr>
              <w:t>October 31, 2019</w:t>
            </w:r>
          </w:p>
        </w:tc>
        <w:tc>
          <w:tcPr>
            <w:tcW w:w="120" w:type="dxa"/>
            <w:vAlign w:val="bottom"/>
          </w:tcPr>
          <w:p>
            <w:pPr>
              <w:spacing w:after="0"/>
              <w:rPr>
                <w:sz w:val="12"/>
                <w:szCs w:val="12"/>
                <w:color w:val="auto"/>
              </w:rPr>
            </w:pPr>
          </w:p>
        </w:tc>
        <w:tc>
          <w:tcPr>
            <w:tcW w:w="7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July 31, 2019</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7"/>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7"/>
              </w:rPr>
              <w:t>(Unaudited)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540" w:type="dxa"/>
            <w:vAlign w:val="bottom"/>
            <w:gridSpan w:val="3"/>
            <w:shd w:val="clear" w:color="auto" w:fill="CCEEFF"/>
          </w:tcPr>
          <w:p>
            <w:pPr>
              <w:jc w:val="center"/>
              <w:ind w:right="2140"/>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8"/>
        </w:trPr>
        <w:tc>
          <w:tcPr>
            <w:tcW w:w="21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3"/>
                <w:szCs w:val="13"/>
                <w:color w:val="auto"/>
              </w:rPr>
            </w:pPr>
          </w:p>
        </w:tc>
        <w:tc>
          <w:tcPr>
            <w:tcW w:w="214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295,093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279,072</w:t>
            </w:r>
          </w:p>
        </w:tc>
      </w:tr>
      <w:tr>
        <w:trPr>
          <w:trHeight w:val="158"/>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Accounts receivable—net</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162,561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158,114</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Inventories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119,612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120,037</w:t>
            </w:r>
          </w:p>
        </w:tc>
      </w:tr>
      <w:tr>
        <w:trPr>
          <w:trHeight w:val="158"/>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16,642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16,056</w:t>
            </w: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gridSpan w:val="5"/>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current assets</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593,908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573,279</w:t>
            </w:r>
          </w:p>
        </w:tc>
      </w:tr>
      <w:tr>
        <w:trPr>
          <w:trHeight w:val="158"/>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112,565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110,048</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411,328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410,987</w:t>
            </w:r>
          </w:p>
        </w:tc>
      </w:tr>
      <w:tr>
        <w:trPr>
          <w:trHeight w:val="158"/>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34,860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36,123</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7,447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7,298</w:t>
            </w:r>
          </w:p>
        </w:tc>
      </w:tr>
      <w:tr>
        <w:trPr>
          <w:trHeight w:val="158"/>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Operating lease assets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52,233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18,881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19,573</w:t>
            </w:r>
          </w:p>
        </w:tc>
      </w:tr>
      <w:tr>
        <w:trPr>
          <w:trHeight w:val="178"/>
        </w:trPr>
        <w:tc>
          <w:tcPr>
            <w:tcW w:w="46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1,231,222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1,157,308</w:t>
            </w:r>
          </w:p>
        </w:tc>
      </w:tr>
      <w:tr>
        <w:trPr>
          <w:trHeight w:val="160"/>
        </w:trPr>
        <w:tc>
          <w:tcPr>
            <w:tcW w:w="1160" w:type="dxa"/>
            <w:vAlign w:val="bottom"/>
            <w:tcBorders>
              <w:bottom w:val="single" w:sz="8" w:color="CCEEFF"/>
            </w:tcBorders>
            <w:shd w:val="clear" w:color="auto" w:fill="CCEEFF"/>
          </w:tcPr>
          <w:p>
            <w:pPr>
              <w:spacing w:after="0"/>
              <w:rPr>
                <w:sz w:val="13"/>
                <w:szCs w:val="13"/>
                <w:color w:val="auto"/>
              </w:rPr>
            </w:pPr>
          </w:p>
        </w:tc>
        <w:tc>
          <w:tcPr>
            <w:tcW w:w="23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EQUITY</w:t>
            </w: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58"/>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Accounts payable</w:t>
            </w: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59,385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64,810</w:t>
            </w:r>
          </w:p>
        </w:tc>
      </w:tr>
      <w:tr>
        <w:trPr>
          <w:trHeight w:val="158"/>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63,794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62,509</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8,885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8,107</w:t>
            </w:r>
          </w:p>
        </w:tc>
      </w:tr>
      <w:tr>
        <w:trPr>
          <w:trHeight w:val="158"/>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Accrued income taxes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6,790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6,557</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14,857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52,092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49,796</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Current maturities on long-term debt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50,144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50,166</w:t>
            </w:r>
          </w:p>
        </w:tc>
      </w:tr>
      <w:tr>
        <w:trPr>
          <w:trHeight w:val="138"/>
        </w:trPr>
        <w:tc>
          <w:tcPr>
            <w:tcW w:w="4660" w:type="dxa"/>
            <w:vAlign w:val="bottom"/>
            <w:gridSpan w:val="5"/>
          </w:tcPr>
          <w:p>
            <w:pPr>
              <w:ind w:left="3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255,947</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241,945</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40,124</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58,616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64,589</w:t>
            </w: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0"/>
        </w:trPr>
        <w:tc>
          <w:tcPr>
            <w:tcW w:w="4660" w:type="dxa"/>
            <w:vAlign w:val="bottom"/>
            <w:tcBorders>
              <w:bottom w:val="single" w:sz="8" w:color="CCEEFF"/>
            </w:tcBorders>
            <w:gridSpan w:val="5"/>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354,687</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306,534</w:t>
            </w:r>
          </w:p>
        </w:tc>
      </w:tr>
      <w:tr>
        <w:trPr>
          <w:trHeight w:val="158"/>
        </w:trPr>
        <w:tc>
          <w:tcPr>
            <w:tcW w:w="466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Common stock:</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44"/>
        </w:trPr>
        <w:tc>
          <w:tcPr>
            <w:tcW w:w="4660" w:type="dxa"/>
            <w:vAlign w:val="bottom"/>
            <w:gridSpan w:val="5"/>
          </w:tcPr>
          <w:p>
            <w:pPr>
              <w:ind w:left="38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49,764,799 and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4660" w:type="dxa"/>
            <w:vAlign w:val="bottom"/>
            <w:gridSpan w:val="5"/>
          </w:tcPr>
          <w:p>
            <w:pPr>
              <w:ind w:left="380"/>
              <w:spacing w:after="0"/>
              <w:rPr>
                <w:sz w:val="20"/>
                <w:szCs w:val="20"/>
                <w:color w:val="auto"/>
              </w:rPr>
            </w:pPr>
            <w:r>
              <w:rPr>
                <w:rFonts w:ascii="Times New Roman" w:cs="Times New Roman" w:eastAsia="Times New Roman" w:hAnsi="Times New Roman"/>
                <w:sz w:val="11"/>
                <w:szCs w:val="11"/>
                <w:color w:val="auto"/>
              </w:rPr>
              <w:t>49,458,841 shares, respectively</w:t>
            </w:r>
          </w:p>
        </w:tc>
        <w:tc>
          <w:tcPr>
            <w:tcW w:w="1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513</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r>
      <w:tr>
        <w:trPr>
          <w:trHeight w:val="158"/>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327,241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329,969</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Retained earnings</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663,808</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637,843</w:t>
            </w:r>
          </w:p>
        </w:tc>
      </w:tr>
      <w:tr>
        <w:trPr>
          <w:trHeight w:val="144"/>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w w:val="99"/>
              </w:rPr>
              <w:t>Treasury stock—1,496,688 and 1,802,646 shares, respectively of Class A nonvoting common 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at cost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(46,332)</w:t>
            </w:r>
          </w:p>
        </w:tc>
      </w:tr>
      <w:tr>
        <w:trPr>
          <w:trHeight w:val="22"/>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46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(71,283)</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(71,254)</w:t>
            </w:r>
          </w:p>
        </w:tc>
      </w:tr>
      <w:tr>
        <w:trPr>
          <w:trHeight w:val="138"/>
        </w:trPr>
        <w:tc>
          <w:tcPr>
            <w:tcW w:w="4660" w:type="dxa"/>
            <w:vAlign w:val="bottom"/>
            <w:gridSpan w:val="5"/>
          </w:tcPr>
          <w:p>
            <w:pPr>
              <w:ind w:left="38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876,535</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850,774</w:t>
            </w:r>
          </w:p>
        </w:tc>
      </w:tr>
      <w:tr>
        <w:trPr>
          <w:trHeight w:val="22"/>
        </w:trPr>
        <w:tc>
          <w:tcPr>
            <w:tcW w:w="1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7"/>
        </w:trPr>
        <w:tc>
          <w:tcPr>
            <w:tcW w:w="4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1,231,222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1,157,308</w:t>
            </w:r>
          </w:p>
        </w:tc>
      </w:tr>
    </w:tbl>
    <w:p>
      <w:pPr>
        <w:sectPr>
          <w:pgSz w:w="11900" w:h="16838" w:orient="portrait"/>
          <w:cols w:equalWidth="0" w:num="1">
            <w:col w:w="10239"/>
          </w:cols>
          <w:pgMar w:left="220" w:top="41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w w:val="99"/>
              </w:rPr>
              <w:t>Three months ended October 31,</w:t>
            </w:r>
          </w:p>
        </w:tc>
      </w:tr>
      <w:tr>
        <w:trPr>
          <w:trHeight w:val="22"/>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activities:</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r>
      <w:tr>
        <w:trPr>
          <w:trHeight w:val="15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37,498</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30,637</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5,960</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Non-cash portion of stock-based compensation expense</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3,618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4,965</w:t>
            </w: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Deferred income taxes</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2,164</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218</w:t>
            </w: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Accounts receivable</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(6,709)</w:t>
            </w:r>
          </w:p>
        </w:tc>
      </w:tr>
      <w:tr>
        <w:trPr>
          <w:trHeight w:val="158"/>
        </w:trPr>
        <w:tc>
          <w:tcPr>
            <w:tcW w:w="48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Inventories</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(3,125)</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(2,197)</w:t>
            </w:r>
          </w:p>
        </w:tc>
      </w:tr>
      <w:tr>
        <w:trPr>
          <w:trHeight w:val="158"/>
        </w:trPr>
        <w:tc>
          <w:tcPr>
            <w:tcW w:w="48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(14,288)</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4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Income taxes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1,193</w:t>
            </w:r>
          </w:p>
        </w:tc>
      </w:tr>
      <w:tr>
        <w:trPr>
          <w:trHeight w:val="138"/>
        </w:trPr>
        <w:tc>
          <w:tcPr>
            <w:tcW w:w="480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38,848</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18,818</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4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5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Investing activities: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(6,009)</w:t>
            </w: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337</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0"/>
        </w:trPr>
        <w:tc>
          <w:tcPr>
            <w:tcW w:w="4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(7,197)</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(5,672)</w:t>
            </w:r>
          </w:p>
        </w:tc>
      </w:tr>
      <w:tr>
        <w:trPr>
          <w:trHeight w:val="189"/>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Financing activities: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Payment of dividends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(11,096)</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3,411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13,001</w:t>
            </w: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(2,937)</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5,737</w:t>
            </w:r>
          </w:p>
        </w:tc>
      </w:tr>
      <w:tr>
        <w:trPr>
          <w:trHeight w:val="158"/>
        </w:trPr>
        <w:tc>
          <w:tcPr>
            <w:tcW w:w="48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Repayment of borrowings on credit facilities</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(2,269)</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(1,772)</w:t>
            </w:r>
          </w:p>
        </w:tc>
      </w:tr>
      <w:tr>
        <w:trPr>
          <w:trHeight w:val="138"/>
        </w:trPr>
        <w:tc>
          <w:tcPr>
            <w:tcW w:w="480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(15,326)</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664</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4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5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(3,061)</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8"/>
        </w:trPr>
        <w:tc>
          <w:tcPr>
            <w:tcW w:w="4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58"/>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10,749</w:t>
            </w:r>
          </w:p>
        </w:tc>
      </w:tr>
      <w:tr>
        <w:trPr>
          <w:trHeight w:val="22"/>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279,072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181,427</w:t>
            </w:r>
          </w:p>
        </w:tc>
      </w:tr>
      <w:tr>
        <w:trPr>
          <w:trHeight w:val="178"/>
        </w:trPr>
        <w:tc>
          <w:tcPr>
            <w:tcW w:w="4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r>
      <w:tr>
        <w:trPr>
          <w:trHeight w:val="17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295,093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192,176</w:t>
            </w:r>
          </w:p>
        </w:tc>
      </w:tr>
    </w:tbl>
    <w:p>
      <w:pPr>
        <w:sectPr>
          <w:pgSz w:w="11900" w:h="16838" w:orient="portrait"/>
          <w:cols w:equalWidth="0" w:num="1">
            <w:col w:w="10239"/>
          </w:cols>
          <w:pgMar w:left="220" w:top="41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26"/>
              <w:spacing w:after="0"/>
              <w:rPr>
                <w:sz w:val="20"/>
                <w:szCs w:val="20"/>
                <w:color w:val="auto"/>
              </w:rPr>
            </w:pPr>
            <w:r>
              <w:rPr>
                <w:rFonts w:ascii="Times New Roman" w:cs="Times New Roman" w:eastAsia="Times New Roman" w:hAnsi="Times New Roman"/>
                <w:sz w:val="11"/>
                <w:szCs w:val="11"/>
                <w:color w:val="auto"/>
                <w:w w:val="98"/>
              </w:rPr>
              <w:t>Three months ended October 31,</w:t>
            </w:r>
          </w:p>
        </w:tc>
      </w:tr>
      <w:tr>
        <w:trPr>
          <w:trHeight w:val="22"/>
        </w:trPr>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7"/>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1"/>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SALES</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ID Solutions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214,987</w:t>
            </w: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218,100</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Workplace Safety</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71,960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75,096</w:t>
            </w:r>
          </w:p>
        </w:tc>
      </w:tr>
      <w:tr>
        <w:trPr>
          <w:trHeight w:val="167"/>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286,947</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293,196</w:t>
            </w:r>
          </w:p>
        </w:tc>
      </w:tr>
      <w:tr>
        <w:trPr>
          <w:trHeight w:val="171"/>
        </w:trPr>
        <w:tc>
          <w:tcPr>
            <w:tcW w:w="4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1"/>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ID Solutions</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Organic</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5.7 %</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Currency</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3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4.0 %</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1"/>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Workplace Safety</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Organic</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Currency</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Divestitures</w:t>
            </w:r>
          </w:p>
        </w:tc>
        <w:tc>
          <w:tcPr>
            <w:tcW w:w="80" w:type="dxa"/>
            <w:vAlign w:val="bottom"/>
          </w:tcPr>
          <w:p>
            <w:pPr>
              <w:spacing w:after="0"/>
              <w:rPr>
                <w:sz w:val="13"/>
                <w:szCs w:val="13"/>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4"/>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25"/>
        </w:trPr>
        <w:tc>
          <w:tcPr>
            <w:tcW w:w="488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Organic</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4.7 %</w:t>
            </w: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Currency</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Divestitures</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67"/>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71"/>
        </w:trPr>
        <w:tc>
          <w:tcPr>
            <w:tcW w:w="4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49"/>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ID Solutions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42,443</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41,562</w:t>
            </w: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Workplace Safety</w:t>
            </w:r>
          </w:p>
        </w:tc>
        <w:tc>
          <w:tcPr>
            <w:tcW w:w="80" w:type="dxa"/>
            <w:vAlign w:val="bottom"/>
          </w:tcPr>
          <w:p>
            <w:pPr>
              <w:spacing w:after="0"/>
              <w:rPr>
                <w:sz w:val="13"/>
                <w:szCs w:val="13"/>
                <w:color w:val="auto"/>
              </w:rPr>
            </w:pPr>
          </w:p>
        </w:tc>
        <w:tc>
          <w:tcPr>
            <w:tcW w:w="6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5,541</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7"/>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47,600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47,103</w:t>
            </w:r>
          </w:p>
        </w:tc>
      </w:tr>
      <w:tr>
        <w:trPr>
          <w:trHeight w:val="171"/>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1"/>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ID Solutions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19.1 %</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Workplace Safety</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r>
      <w:tr>
        <w:trPr>
          <w:trHeight w:val="17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16.6 %</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16.1 %</w:t>
            </w:r>
          </w:p>
        </w:tc>
      </w:tr>
      <w:tr>
        <w:trPr>
          <w:trHeight w:val="372"/>
        </w:trPr>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right"/>
              <w:ind w:right="26"/>
              <w:spacing w:after="0"/>
              <w:rPr>
                <w:sz w:val="20"/>
                <w:szCs w:val="20"/>
                <w:color w:val="auto"/>
              </w:rPr>
            </w:pPr>
            <w:r>
              <w:rPr>
                <w:rFonts w:ascii="Times New Roman" w:cs="Times New Roman" w:eastAsia="Times New Roman" w:hAnsi="Times New Roman"/>
                <w:sz w:val="11"/>
                <w:szCs w:val="11"/>
                <w:color w:val="auto"/>
                <w:w w:val="98"/>
              </w:rPr>
              <w:t>Three months ended October 31,</w:t>
            </w:r>
          </w:p>
        </w:tc>
      </w:tr>
      <w:tr>
        <w:trPr>
          <w:trHeight w:val="22"/>
        </w:trPr>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7"/>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2018</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segment profit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47,600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47,103</w:t>
            </w:r>
          </w:p>
        </w:tc>
      </w:tr>
      <w:tr>
        <w:trPr>
          <w:trHeight w:val="158"/>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Unallocated amounts: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Administrative costs</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(6,481)</w:t>
            </w:r>
          </w:p>
        </w:tc>
      </w:tr>
      <w:tr>
        <w:trPr>
          <w:trHeight w:val="158"/>
        </w:trPr>
        <w:tc>
          <w:tcPr>
            <w:tcW w:w="488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Investment and other income (expense)</w:t>
            </w: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22"/>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Interest expense</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w:t>
            </w:r>
          </w:p>
        </w:tc>
      </w:tr>
      <w:tr>
        <w:trPr>
          <w:trHeight w:val="167"/>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41,570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39,893</w:t>
            </w:r>
          </w:p>
        </w:tc>
      </w:tr>
    </w:tbl>
    <w:p>
      <w:pPr>
        <w:sectPr>
          <w:pgSz w:w="11900" w:h="16838" w:orient="portrait"/>
          <w:cols w:equalWidth="0" w:num="1">
            <w:col w:w="10239"/>
          </w:cols>
          <w:pgMar w:left="220" w:top="416" w:right="1440" w:bottom="1440"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2019-12-28T01:28:43Z</dcterms:created>
  <dcterms:modified xsi:type="dcterms:W3CDTF">2019-12-28T01:28:43Z</dcterms:modified>
</cp:coreProperties>
</file>