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31, 2016</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4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86"/>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900" w:type="dxa"/>
            <w:vAlign w:val="bottom"/>
          </w:tcPr>
          <w:p>
            <w:pPr>
              <w:jc w:val="center"/>
              <w:ind w:right="2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900" w:type="dxa"/>
            <w:vAlign w:val="bottom"/>
          </w:tcPr>
          <w:p>
            <w:pPr>
              <w:jc w:val="right"/>
              <w:ind w:right="1200"/>
              <w:spacing w:after="0"/>
              <w:rPr>
                <w:sz w:val="20"/>
                <w:szCs w:val="20"/>
                <w:color w:val="auto"/>
              </w:rPr>
            </w:pPr>
            <w:r>
              <w:rPr>
                <w:rFonts w:ascii="Arial" w:cs="Arial" w:eastAsia="Arial" w:hAnsi="Arial"/>
                <w:sz w:val="18"/>
                <w:szCs w:val="18"/>
                <w:b w:val="1"/>
                <w:bCs w:val="1"/>
                <w:color w:val="auto"/>
              </w:rPr>
              <w:t>(414) 358-6600</w:t>
            </w:r>
          </w:p>
        </w:tc>
        <w:tc>
          <w:tcPr>
            <w:tcW w:w="1340" w:type="dxa"/>
            <w:vAlign w:val="bottom"/>
          </w:tcPr>
          <w:p>
            <w:pPr>
              <w:spacing w:after="0"/>
              <w:rPr>
                <w:sz w:val="24"/>
                <w:szCs w:val="24"/>
                <w:color w:val="auto"/>
              </w:rPr>
            </w:pPr>
          </w:p>
        </w:tc>
      </w:tr>
      <w:tr>
        <w:trPr>
          <w:trHeight w:val="191"/>
        </w:trPr>
        <w:tc>
          <w:tcPr>
            <w:tcW w:w="690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179070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4">
            <w:col w:w="1320" w:space="560"/>
            <w:col w:w="6120" w:space="720"/>
            <w:col w:w="1660" w:space="720"/>
            <w:col w:w="320"/>
          </w:cols>
          <w:pgMar w:left="240" w:top="229" w:right="23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260" w:space="620"/>
            <w:col w:w="6120" w:space="720"/>
            <w:col w:w="1660" w:space="720"/>
            <w:col w:w="320"/>
          </w:cols>
          <w:pgMar w:left="240" w:top="229"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sectPr>
          <w:pgSz w:w="11900" w:h="16838" w:orient="portrait"/>
          <w:cols w:equalWidth="0" w:num="4">
            <w:col w:w="6540" w:space="140"/>
            <w:col w:w="220" w:space="60"/>
            <w:col w:w="140" w:space="140"/>
            <w:col w:w="4180"/>
          </w:cols>
          <w:pgMar w:left="240" w:top="229" w:right="239" w:bottom="1440" w:gutter="0" w:footer="0" w:header="0"/>
          <w:type w:val="continuous"/>
        </w:sect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6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February 18, 2016, there were 46,697,146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60" w:type="dxa"/>
            <w:vAlign w:val="bottom"/>
            <w:gridSpan w:val="3"/>
          </w:tcPr>
          <w:p>
            <w:pPr>
              <w:jc w:val="center"/>
              <w:ind w:right="3580"/>
              <w:spacing w:after="0"/>
              <w:rPr>
                <w:sz w:val="20"/>
                <w:szCs w:val="20"/>
                <w:color w:val="auto"/>
              </w:rPr>
            </w:pPr>
            <w:r>
              <w:rPr>
                <w:rFonts w:ascii="Arial" w:cs="Arial" w:eastAsia="Arial" w:hAnsi="Arial"/>
                <w:sz w:val="18"/>
                <w:szCs w:val="18"/>
                <w:color w:val="auto"/>
                <w:w w:val="93"/>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5"/>
          </w:tcPr>
          <w:p>
            <w:pPr>
              <w:jc w:val="center"/>
              <w:ind w:right="2900"/>
              <w:spacing w:after="0"/>
              <w:rPr>
                <w:sz w:val="20"/>
                <w:szCs w:val="20"/>
                <w:color w:val="auto"/>
              </w:rPr>
            </w:pPr>
            <w:r>
              <w:rPr>
                <w:rFonts w:ascii="Arial" w:cs="Arial" w:eastAsia="Arial" w:hAnsi="Arial"/>
                <w:sz w:val="18"/>
                <w:szCs w:val="18"/>
                <w:color w:val="auto"/>
                <w:w w:val="96"/>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60" w:type="dxa"/>
            <w:vAlign w:val="bottom"/>
            <w:gridSpan w:val="3"/>
          </w:tcPr>
          <w:p>
            <w:pPr>
              <w:jc w:val="center"/>
              <w:ind w:right="3580"/>
              <w:spacing w:after="0"/>
              <w:rPr>
                <w:sz w:val="20"/>
                <w:szCs w:val="20"/>
                <w:color w:val="auto"/>
              </w:rPr>
            </w:pPr>
            <w:r>
              <w:rPr>
                <w:rFonts w:ascii="Arial" w:cs="Arial" w:eastAsia="Arial" w:hAnsi="Arial"/>
                <w:sz w:val="18"/>
                <w:szCs w:val="18"/>
                <w:color w:val="auto"/>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Page</w:t>
            </w:r>
          </w:p>
        </w:tc>
      </w:tr>
      <w:tr>
        <w:trPr>
          <w:trHeight w:val="196"/>
        </w:trPr>
        <w:tc>
          <w:tcPr>
            <w:tcW w:w="2460" w:type="dxa"/>
            <w:vAlign w:val="bottom"/>
            <w:tcBorders>
              <w:bottom w:val="single" w:sz="8" w:color="0000EE"/>
            </w:tcBorders>
            <w:gridSpan w:val="8"/>
          </w:tcPr>
          <w:p>
            <w:pPr>
              <w:spacing w:after="0" w:line="170" w:lineRule="exact"/>
              <w:rPr>
                <w:rFonts w:ascii="Arial" w:cs="Arial" w:eastAsia="Arial" w:hAnsi="Arial"/>
                <w:sz w:val="18"/>
                <w:szCs w:val="18"/>
                <w:color w:val="0000EE"/>
              </w:rPr>
            </w:pPr>
            <w:hyperlink w:anchor="page2">
              <w:r>
                <w:rPr>
                  <w:rFonts w:ascii="Arial" w:cs="Arial" w:eastAsia="Arial" w:hAnsi="Arial"/>
                  <w:sz w:val="18"/>
                  <w:szCs w:val="18"/>
                  <w:color w:val="0000EE"/>
                </w:rPr>
                <w:t>PART I. Financial Information</w:t>
              </w:r>
            </w:hyperlink>
          </w:p>
        </w:tc>
        <w:tc>
          <w:tcPr>
            <w:tcW w:w="7440" w:type="dxa"/>
            <w:vAlign w:val="bottom"/>
            <w:gridSpan w:val="10"/>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Earnings</w:t>
              </w:r>
            </w:hyperlink>
          </w:p>
        </w:tc>
        <w:tc>
          <w:tcPr>
            <w:tcW w:w="6040" w:type="dxa"/>
            <w:vAlign w:val="bottom"/>
            <w:gridSpan w:val="7"/>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1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w:t>
              </w:r>
            </w:hyperlink>
          </w:p>
        </w:tc>
        <w:tc>
          <w:tcPr>
            <w:tcW w:w="4460" w:type="dxa"/>
            <w:vAlign w:val="bottom"/>
            <w:gridSpan w:val="2"/>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760" w:type="dxa"/>
            <w:vAlign w:val="bottom"/>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Results of Operations and Financial Condition</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0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6480" w:type="dxa"/>
            <w:vAlign w:val="bottom"/>
            <w:gridSpan w:val="14"/>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0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1800" w:type="dxa"/>
            <w:vAlign w:val="bottom"/>
            <w:gridSpan w:val="5"/>
          </w:tcPr>
          <w:p>
            <w:pPr>
              <w:ind w:left="20"/>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2580" w:type="dxa"/>
            <w:vAlign w:val="bottom"/>
            <w:gridSpan w:val="7"/>
          </w:tcPr>
          <w:p>
            <w:pPr>
              <w:spacing w:after="0"/>
              <w:rPr>
                <w:sz w:val="21"/>
                <w:szCs w:val="21"/>
                <w:color w:val="auto"/>
              </w:rPr>
            </w:pPr>
          </w:p>
        </w:tc>
        <w:tc>
          <w:tcPr>
            <w:tcW w:w="4860" w:type="dxa"/>
            <w:vAlign w:val="bottom"/>
            <w:gridSpan w:val="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PART II. Other Information</w:t>
              </w:r>
            </w:hyperlink>
          </w:p>
        </w:tc>
        <w:tc>
          <w:tcPr>
            <w:tcW w:w="790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2.</w:t>
              </w:r>
            </w:hyperlink>
          </w:p>
        </w:tc>
        <w:tc>
          <w:tcPr>
            <w:tcW w:w="9240" w:type="dxa"/>
            <w:vAlign w:val="bottom"/>
            <w:gridSpan w:val="15"/>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80" w:type="dxa"/>
            <w:vAlign w:val="bottom"/>
            <w:gridSpan w:val="9"/>
            <w:shd w:val="clear" w:color="auto" w:fill="0000EE"/>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4300" w:type="dxa"/>
            <w:vAlign w:val="bottom"/>
            <w:gridSpan w:val="11"/>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4940" w:type="dxa"/>
            <w:vAlign w:val="bottom"/>
            <w:gridSpan w:val="4"/>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2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8620" w:type="dxa"/>
            <w:vAlign w:val="bottom"/>
            <w:gridSpan w:val="1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507"/>
        </w:trPr>
        <w:tc>
          <w:tcPr>
            <w:tcW w:w="1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3"/>
          </w:tcPr>
          <w:p>
            <w:pPr>
              <w:jc w:val="center"/>
              <w:ind w:left="3230"/>
              <w:spacing w:after="0"/>
              <w:rPr>
                <w:sz w:val="20"/>
                <w:szCs w:val="20"/>
                <w:color w:val="auto"/>
              </w:rPr>
            </w:pPr>
            <w:r>
              <w:rPr>
                <w:rFonts w:ascii="Arial" w:cs="Arial" w:eastAsia="Arial" w:hAnsi="Arial"/>
                <w:sz w:val="18"/>
                <w:szCs w:val="18"/>
                <w:color w:val="auto"/>
                <w:w w:val="99"/>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January 31, 2016</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114,492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150,615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157,386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62,127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66,700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16,958</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21,681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20,849</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104,507</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35,843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32,197</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405,909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408,582</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433,199</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intangible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63,630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68,888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22,310</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16,497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18,704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Cost: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Land</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5,284</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Buildings and improvements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92,672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94,423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270,086</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Construction in progress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2,577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2,164</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358,305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371,957</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256,849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260,743</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Property, plant and equipment—net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111,214</w:t>
            </w: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1,031,285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1,062,897</w:t>
            </w:r>
          </w:p>
        </w:tc>
      </w:tr>
      <w:tr>
        <w:trPr>
          <w:trHeight w:val="73"/>
        </w:trPr>
        <w:tc>
          <w:tcPr>
            <w:tcW w:w="1020" w:type="dxa"/>
            <w:vAlign w:val="bottom"/>
            <w:tcBorders>
              <w:bottom w:val="single" w:sz="8" w:color="CCEEFF"/>
            </w:tcBorders>
          </w:tcPr>
          <w:p>
            <w:pPr>
              <w:spacing w:after="0"/>
              <w:rPr>
                <w:sz w:val="6"/>
                <w:szCs w:val="6"/>
                <w:color w:val="auto"/>
              </w:rPr>
            </w:pPr>
          </w:p>
        </w:tc>
        <w:tc>
          <w:tcPr>
            <w:tcW w:w="7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77"/>
        </w:trPr>
        <w:tc>
          <w:tcPr>
            <w:tcW w:w="1020" w:type="dxa"/>
            <w:vAlign w:val="bottom"/>
            <w:shd w:val="clear" w:color="auto" w:fill="CCEEFF"/>
          </w:tcPr>
          <w:p>
            <w:pPr>
              <w:spacing w:after="0"/>
              <w:rPr>
                <w:sz w:val="15"/>
                <w:szCs w:val="15"/>
                <w:color w:val="auto"/>
              </w:rPr>
            </w:pPr>
          </w:p>
        </w:tc>
        <w:tc>
          <w:tcPr>
            <w:tcW w:w="7100" w:type="dxa"/>
            <w:vAlign w:val="bottom"/>
            <w:shd w:val="clear" w:color="auto" w:fill="CCEEFF"/>
          </w:tcPr>
          <w:p>
            <w:pPr>
              <w:jc w:val="center"/>
              <w:ind w:right="939"/>
              <w:spacing w:after="0" w:line="177" w:lineRule="exact"/>
              <w:rPr>
                <w:sz w:val="20"/>
                <w:szCs w:val="20"/>
                <w:color w:val="auto"/>
              </w:rPr>
            </w:pPr>
            <w:r>
              <w:rPr>
                <w:rFonts w:ascii="Arial" w:cs="Arial" w:eastAsia="Arial" w:hAnsi="Arial"/>
                <w:sz w:val="16"/>
                <w:szCs w:val="16"/>
                <w:b w:val="1"/>
                <w:bCs w:val="1"/>
                <w:color w:val="auto"/>
              </w:rPr>
              <w:t>LIABILITIES AND STOCKHOLDERS’ INVESTMENT</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7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10,411</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66,189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73,020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30,282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6,682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7,250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7,576</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40,429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38,194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maturities on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42,514</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157,132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209,247</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247,689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200,774</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63,976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65,188</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468,797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475,209</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2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Class A nonvoting common stock—Issued 51,261,487 and 51,261,487 shares, respectively and outstanding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46,705,559 and 47,781,184 shares,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314,403</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Earnings retained in the business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427,637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414,069</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Treasury stock—4,555,928 and 3,480,303 shares, respectively of Class A nonvoting common stock, at cost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(93,234)</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(62,355)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(45,034)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(3,064)</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562,488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587,688</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1,062,897</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24"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2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24"/>
                <w:szCs w:val="24"/>
                <w:color w:val="auto"/>
              </w:rPr>
            </w:pPr>
          </w:p>
        </w:tc>
        <w:tc>
          <w:tcPr>
            <w:tcW w:w="2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Six months ended January 31,</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268,630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282,628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551,703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592,868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135,738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144,425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279,462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304,503</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132,892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138,203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272,241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288,365</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18,579</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100,206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107,565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200,884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216,846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9,157</w:t>
            </w:r>
          </w:p>
        </w:tc>
        <w:tc>
          <w:tcPr>
            <w:tcW w:w="0" w:type="dxa"/>
            <w:vAlign w:val="bottom"/>
          </w:tcPr>
          <w:p>
            <w:pPr>
              <w:spacing w:after="0"/>
              <w:rPr>
                <w:sz w:val="1"/>
                <w:szCs w:val="1"/>
                <w:color w:val="auto"/>
              </w:rPr>
            </w:pP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109,303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121,392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218,550</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244,582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43,783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Other (expense) income: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Investment and other (expense)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(5,891)</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20,467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47,659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38,427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5,177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13,666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11,344</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15,290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33,993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27,083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Loss from discontinued operations, net of income taxes</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(1,915)</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15,290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25,168</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Loss from discontinued operations per Class A Nonvoting Common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51,262</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50,647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51,348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50,868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51,330</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14"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18"/>
                <w:szCs w:val="18"/>
                <w:color w:val="auto"/>
              </w:rPr>
            </w:pPr>
          </w:p>
        </w:tc>
        <w:tc>
          <w:tcPr>
            <w:tcW w:w="2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270"/>
        </w:trPr>
        <w:tc>
          <w:tcPr>
            <w:tcW w:w="5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00" w:type="dxa"/>
            <w:vAlign w:val="bottom"/>
          </w:tcPr>
          <w:p>
            <w:pPr>
              <w:spacing w:after="0"/>
              <w:rPr>
                <w:sz w:val="23"/>
                <w:szCs w:val="23"/>
                <w:color w:val="auto"/>
              </w:rPr>
            </w:pP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15,290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33,993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25,168</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loss recognized in other comprehensive loss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(7,463)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(46,816)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(13,946)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(71,120)</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gains included in net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(34,697)</w:t>
            </w:r>
          </w:p>
        </w:tc>
      </w:tr>
      <w:tr>
        <w:trPr>
          <w:trHeight w:val="217"/>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(7,463)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(46,816)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(13,946)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(105,817)</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Net investment hedge translation adjustments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2,671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12,276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3,542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20,427</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intercompany loan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(loss) gain recognized in other comprehensive loss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(2,396)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882</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gains included in net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17"/>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(2,396)</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(3,820)</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489</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(loss) gain recognized in other comprehensive loss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1,841</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8"/>
              </w:rPr>
              <w:t>Reclassification adjustment for losses (gains) included in net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7"/>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1,746</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Actuarial gain amortization</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Prior service credit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7"/>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(1,358)</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(7,950)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(31,480)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(16,486)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(83,745)</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related to items of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(7,980)</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(8,929)</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(36,134)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(17,321)</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(91,725)</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(66,557)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40" w:type="dxa"/>
            <w:vAlign w:val="bottom"/>
            <w:gridSpan w:val="2"/>
          </w:tcPr>
          <w:p>
            <w:pPr>
              <w:spacing w:after="0"/>
              <w:rPr>
                <w:sz w:val="20"/>
                <w:szCs w:val="20"/>
                <w:color w:val="auto"/>
              </w:rPr>
            </w:pPr>
            <w:r>
              <w:rPr>
                <w:rFonts w:ascii="Arial" w:cs="Arial" w:eastAsia="Arial" w:hAnsi="Arial"/>
                <w:sz w:val="16"/>
                <w:szCs w:val="16"/>
                <w:color w:val="auto"/>
              </w:rPr>
              <w:t>(Dollars in Thousands)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Six months ended January 31,</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(Unaudited)</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020" w:type="dxa"/>
            <w:vAlign w:val="bottom"/>
            <w:shd w:val="clear" w:color="auto" w:fill="CCEEFF"/>
          </w:tcPr>
          <w:p>
            <w:pPr>
              <w:spacing w:after="0"/>
              <w:rPr>
                <w:sz w:val="5"/>
                <w:szCs w:val="5"/>
                <w:color w:val="auto"/>
              </w:rPr>
            </w:pPr>
          </w:p>
        </w:tc>
        <w:tc>
          <w:tcPr>
            <w:tcW w:w="73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6"/>
                <w:szCs w:val="16"/>
                <w:color w:val="auto"/>
              </w:rPr>
              <w:t>Net earnings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33,993</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25,168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17,502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20,066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Non-cash portion of 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2,471</w:t>
            </w:r>
          </w:p>
        </w:tc>
        <w:tc>
          <w:tcPr>
            <w:tcW w:w="0" w:type="dxa"/>
            <w:vAlign w:val="bottom"/>
          </w:tcPr>
          <w:p>
            <w:pPr>
              <w:spacing w:after="0"/>
              <w:rPr>
                <w:sz w:val="1"/>
                <w:szCs w:val="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Non-cash portion of restructuring charges</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Loss on sale of business, net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 (net of effects of business acquisitions/divestitures):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3,204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10,918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(10,840)</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(3,811)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(3,053)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(15,423)</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(2,326)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(5,918)</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58,254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23,930</w:t>
            </w: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(3,928)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(17,808)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Sale of business, net of cash retained</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6,111</w:t>
            </w:r>
          </w:p>
        </w:tc>
        <w:tc>
          <w:tcPr>
            <w:tcW w:w="0" w:type="dxa"/>
            <w:vAlign w:val="bottom"/>
          </w:tcPr>
          <w:p>
            <w:pPr>
              <w:spacing w:after="0"/>
              <w:rPr>
                <w:sz w:val="1"/>
                <w:szCs w:val="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2,521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4,173</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(7,524)</w:t>
            </w: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Payment of dividends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(20,425)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(20,449)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Proceeds from issuance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24"/>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Purchases of treasury stock</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(Repayments) proceeds from borrowing on credit facilities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29,428</w:t>
            </w:r>
          </w:p>
        </w:tc>
        <w:tc>
          <w:tcPr>
            <w:tcW w:w="0" w:type="dxa"/>
            <w:vAlign w:val="bottom"/>
          </w:tcPr>
          <w:p>
            <w:pPr>
              <w:spacing w:after="0"/>
              <w:rPr>
                <w:sz w:val="1"/>
                <w:szCs w:val="1"/>
                <w:color w:val="auto"/>
              </w:rPr>
            </w:pPr>
          </w:p>
        </w:tc>
      </w:tr>
      <w:tr>
        <w:trPr>
          <w:trHeight w:val="224"/>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Debt issuance costs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Income tax on equity-based compensation,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(3,830)</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320" w:type="dxa"/>
            <w:vAlign w:val="bottom"/>
          </w:tcPr>
          <w:p>
            <w:pPr>
              <w:ind w:left="56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(46,308)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020" w:type="dxa"/>
            <w:vAlign w:val="bottom"/>
            <w:shd w:val="clear" w:color="auto" w:fill="CCEEFF"/>
          </w:tcPr>
          <w:p>
            <w:pPr>
              <w:spacing w:after="0"/>
              <w:rPr>
                <w:sz w:val="24"/>
                <w:szCs w:val="24"/>
                <w:color w:val="auto"/>
              </w:rPr>
            </w:pPr>
          </w:p>
        </w:tc>
        <w:tc>
          <w:tcPr>
            <w:tcW w:w="7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(4,833)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(10,937)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020" w:type="dxa"/>
            <w:vAlign w:val="bottom"/>
            <w:shd w:val="clear" w:color="auto" w:fill="CCEEFF"/>
          </w:tcPr>
          <w:p>
            <w:pPr>
              <w:spacing w:after="0"/>
              <w:rPr>
                <w:sz w:val="24"/>
                <w:szCs w:val="24"/>
                <w:color w:val="auto"/>
              </w:rPr>
            </w:pPr>
          </w:p>
        </w:tc>
        <w:tc>
          <w:tcPr>
            <w:tcW w:w="7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5,706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11,465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114,492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81,834</w:t>
            </w: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120,198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93,299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83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January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2016 and July 31, 2015, its results of operations and comprehensive income (loss) for the three and six months ended January 31, 2016 and 2015, and cash flows for the six months ended January 31, 2016 and 2015. The consolidated balance sheet as of July 31, 2015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2015.</w:t>
      </w:r>
    </w:p>
    <w:p>
      <w:pPr>
        <w:spacing w:after="0" w:line="13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results of operations of the Company's Die-Cut business have been reported as discontinued operations within the condensed consolidated statements of earnings for the six months ended January 31, 2015. A portion of the Die-Cut business was divested in fiscal 2014 and the remainder was divested in the first quarter of fiscal 2015. In accordance with the authoritative literature, the Company has elected to not separately disclose the cash flows or other comprehensive income related to discontinued operations. Refer to Note I, "Discontinued Operations" for further discussion regarding the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Other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six months ended January 31, 2016,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IDS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WPS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2015</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382,786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50,413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433,199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Translation adjustments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(2,967)</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(5,739)</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2016</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380,014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47,446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427,460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Goodwill at January 31, 2016 and July 31, 2015 included $118,637 and $209,392 of accumulated impairment losses within the Identification Solutions ("IDS") and Workplace Safety ("WPS") segments, respectively, for a total of $328,029. There were no impairment charges recorded during the six months ended January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January 31, 2016</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2015</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12,147</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(10,851)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1,296</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12,073</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(10,641)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14,270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602</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14,375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1,904</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135,283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(96,784)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38,499</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136,693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(94,537)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42,156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23,214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23,214</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23,352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23,352</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193,836</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(130,206)</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63,630</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195,569</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(126,681)</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68,888</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decrease in the gross carrying amount of other intangible assets as of January 31, 2016 compared to July 31, 2015 was due to the effect of currency fluctuations during the six month period.</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carrying amount of goodwill and other intangible assets in the condensed consolidated balance sheet at January 31, 2016 differs from the value assigned to them in the original allocation of purchase price due to impairments and the effect of currency fluctuations between the date of acquisition and January 31, 2016.</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Amortization expense on intangible assets was $2,595 and $2,982 for the three months ended January 31, 2016 and 2015, respectively, and $5,228 and $6,351 for the six months ended January 31, 2016 and 2015, respectively. The amortization over each of the next five fiscal years is projected to be $8,794, $7,117, $6,442, $6,166 and $5,640 for the fiscal years ending July 31, 2016, 2017, 2018, 2019 and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C — Other Comprehensive Loss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six months ended January 31, 2016:</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Unrealized (loss)</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Foreign currency</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gain on cash flow</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translation</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95"/>
              </w:rPr>
              <w:t>Accumulated other</w:t>
            </w:r>
          </w:p>
        </w:tc>
      </w:tr>
      <w:tr>
        <w:trPr>
          <w:trHeight w:val="206"/>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hedges</w:t>
            </w: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plans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adjustments</w:t>
            </w:r>
          </w:p>
        </w:tc>
        <w:tc>
          <w:tcPr>
            <w:tcW w:w="1360" w:type="dxa"/>
            <w:vAlign w:val="bottom"/>
            <w:gridSpan w:val="2"/>
          </w:tcPr>
          <w:p>
            <w:pPr>
              <w:ind w:left="40"/>
              <w:spacing w:after="0"/>
              <w:rPr>
                <w:sz w:val="20"/>
                <w:szCs w:val="20"/>
                <w:color w:val="auto"/>
              </w:rPr>
            </w:pPr>
            <w:r>
              <w:rPr>
                <w:rFonts w:ascii="Arial" w:cs="Arial" w:eastAsia="Arial" w:hAnsi="Arial"/>
                <w:sz w:val="16"/>
                <w:szCs w:val="16"/>
                <w:color w:val="auto"/>
                <w:w w:val="91"/>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(48,481)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(45,034)</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before reclassification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(15,613)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(15,754)</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(1,567)</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January 31, 2016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2,080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(64,094)</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(62,355)</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increase in accumulated other comprehensive loss as of January 31, 2016 compared to July 31, 2015 was primarily due to the appreciation of the U.S. dollar against other currencies during the six month period. The foreign currency translation adjustments column in the table above includes the impact of foreign currency translation, foreign currency translation on intercompany notes, and the settlements of net investment hedges, net of tax. Of the total $1,567 in amounts reclassified from accumulated other comprehensive loss, the $209 gain on cash flow hedges was reclassified into cost of products sold, and the $1,358 gain on post-retirement plans was reclassified into selling, general and administrative expenses ("SG&amp;A") on the condensed consolidated statement of earnings for the six months ended January 31,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changes in accumulated other comprehensive income (loss) by component, net of tax, for the six months ended January 31, 2015 were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Unrealized gain</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Foreign currency</w:t>
            </w: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2"/>
              </w:rPr>
              <w:t>Accumulated other</w:t>
            </w: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(loss) on cash flow</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translation</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color w:val="auto"/>
                <w:w w:val="90"/>
              </w:rPr>
              <w:t>comprehensive</w:t>
            </w:r>
          </w:p>
        </w:tc>
      </w:tr>
      <w:tr>
        <w:trPr>
          <w:trHeight w:val="206"/>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color w:val="auto"/>
                <w:w w:val="87"/>
              </w:rPr>
              <w:t>hedges</w:t>
            </w: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plans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adjustments</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color w:val="auto"/>
                <w:w w:val="92"/>
              </w:rPr>
              <w:t>income (loss)</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64,156</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(57,598)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(56,380)</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(35,345)</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January 31,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4,264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(32,981)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(27,569)</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decrease in accumulated other comprehensive income (loss) as of January 31, 2015 compared to July 31, 2014 was primarily due the appreciation of the U.S. dollar against other currencies during the six month period. The decrease was also attributable to the accumulated foreign currency translation gains in the China Die-Cut businesses, which were reclassified into net earnings upon the completion of the second phase of the Die-Cut divestiture during the three months ended October 31, 2014. The foreign currency translation adjustments column in the table above includes the impact of foreign currency translation, foreign currency translation on intercompany notes, and the settlements of net investment hedges, net of tax. Of the total $35,345 in amounts reclassified from accumulated other comprehensive income, the $34,697 gain was reclassified to the net loss on the sale of the Die-Cut business, the $58 gain on cash flow hedges was reclassified into cost of products sold, and the $590 gain on post-retirement plans was reclassified into SG&amp;A on the condensed consolidated statement of earnings for the six months ended January 31, 2015.</w:t>
      </w:r>
    </w:p>
    <w:p>
      <w:pPr>
        <w:spacing w:after="0" w:line="1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illustrates the income tax expense on the components of other comprehensive loss for the three and six months ended January 31, 2016 and 2015:</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4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related to items of other comprehensive loss: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4"/>
              </w:rPr>
              <w:t>(1,042)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(4,788)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(1,381)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(7,967)</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intercompany loan settlements</w:t>
            </w:r>
          </w:p>
        </w:tc>
        <w:tc>
          <w:tcPr>
            <w:tcW w:w="9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w:t>
            </w: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tax adjustments and currency translation</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color w:val="auto"/>
              </w:rPr>
              <w:t>Income tax expense related to items of other comprehensive loss</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(4,654)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(7,980)</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D — Net Earnings per Common Share</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rPr>
              <w:t>Earnings from continuing operations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15,290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11,584</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33,993</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27,083</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0"/>
        </w:trPr>
        <w:tc>
          <w:tcPr>
            <w:tcW w:w="5120" w:type="dxa"/>
            <w:vAlign w:val="bottom"/>
          </w:tcPr>
          <w:p>
            <w:pPr>
              <w:ind w:left="380"/>
              <w:spacing w:after="0"/>
              <w:rPr>
                <w:sz w:val="20"/>
                <w:szCs w:val="20"/>
                <w:color w:val="auto"/>
              </w:rPr>
            </w:pPr>
            <w:r>
              <w:rPr>
                <w:rFonts w:ascii="Arial" w:cs="Arial" w:eastAsia="Arial" w:hAnsi="Arial"/>
                <w:sz w:val="16"/>
                <w:szCs w:val="16"/>
                <w:color w:val="auto"/>
                <w:w w:val="97"/>
              </w:rPr>
              <w:t>Numerator for basic and diluted earnings from continuing operations</w:t>
            </w:r>
          </w:p>
        </w:tc>
        <w:tc>
          <w:tcPr>
            <w:tcW w:w="920" w:type="dxa"/>
            <w:vAlign w:val="bottom"/>
            <w:tcBorders>
              <w:top w:val="single" w:sz="8" w:color="auto"/>
            </w:tcBorders>
            <w:vMerge w:val="restart"/>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15,290</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11,584</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33,209</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26,288</w:t>
            </w:r>
          </w:p>
        </w:tc>
        <w:tc>
          <w:tcPr>
            <w:tcW w:w="0" w:type="dxa"/>
            <w:vAlign w:val="bottom"/>
          </w:tcPr>
          <w:p>
            <w:pPr>
              <w:spacing w:after="0"/>
              <w:rPr>
                <w:sz w:val="1"/>
                <w:szCs w:val="1"/>
                <w:color w:val="auto"/>
              </w:rPr>
            </w:pPr>
          </w:p>
        </w:tc>
      </w:tr>
      <w:tr>
        <w:trPr>
          <w:trHeight w:val="259"/>
        </w:trPr>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per Class B Voting Common Share</w:t>
            </w:r>
          </w:p>
        </w:tc>
        <w:tc>
          <w:tcPr>
            <w:tcW w:w="92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(in thousands)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5120" w:type="dxa"/>
            <w:vAlign w:val="bottom"/>
          </w:tcPr>
          <w:p>
            <w:pPr>
              <w:ind w:left="380"/>
              <w:spacing w:after="0"/>
              <w:rPr>
                <w:sz w:val="20"/>
                <w:szCs w:val="20"/>
                <w:color w:val="auto"/>
              </w:rPr>
            </w:pPr>
            <w:r>
              <w:rPr>
                <w:rFonts w:ascii="Arial" w:cs="Arial" w:eastAsia="Arial" w:hAnsi="Arial"/>
                <w:sz w:val="16"/>
                <w:szCs w:val="16"/>
                <w:color w:val="auto"/>
                <w:w w:val="96"/>
              </w:rPr>
              <w:t>Denominator for basic earnings from continuing operations per share</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380"/>
              <w:spacing w:after="0"/>
              <w:rPr>
                <w:sz w:val="20"/>
                <w:szCs w:val="20"/>
                <w:color w:val="auto"/>
              </w:rPr>
            </w:pPr>
            <w:r>
              <w:rPr>
                <w:rFonts w:ascii="Arial" w:cs="Arial" w:eastAsia="Arial" w:hAnsi="Arial"/>
                <w:sz w:val="16"/>
                <w:szCs w:val="16"/>
                <w:color w:val="auto"/>
              </w:rPr>
              <w:t>for both Class A and Class B</w:t>
            </w:r>
          </w:p>
        </w:tc>
        <w:tc>
          <w:tcPr>
            <w:tcW w:w="92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50,527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51,272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50,778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51,262</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0"/>
        </w:trPr>
        <w:tc>
          <w:tcPr>
            <w:tcW w:w="5120" w:type="dxa"/>
            <w:vAlign w:val="bottom"/>
          </w:tcPr>
          <w:p>
            <w:pPr>
              <w:ind w:left="380"/>
              <w:spacing w:after="0"/>
              <w:rPr>
                <w:sz w:val="20"/>
                <w:szCs w:val="20"/>
                <w:color w:val="auto"/>
              </w:rPr>
            </w:pPr>
            <w:r>
              <w:rPr>
                <w:rFonts w:ascii="Arial" w:cs="Arial" w:eastAsia="Arial" w:hAnsi="Arial"/>
                <w:sz w:val="16"/>
                <w:szCs w:val="16"/>
                <w:color w:val="auto"/>
                <w:w w:val="94"/>
              </w:rPr>
              <w:t>Denominator for diluted earnings from continuing operations per share</w:t>
            </w: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50,647</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51,348</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50,868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51,330</w:t>
            </w:r>
          </w:p>
        </w:tc>
        <w:tc>
          <w:tcPr>
            <w:tcW w:w="0" w:type="dxa"/>
            <w:vAlign w:val="bottom"/>
          </w:tcPr>
          <w:p>
            <w:pPr>
              <w:spacing w:after="0"/>
              <w:rPr>
                <w:sz w:val="1"/>
                <w:szCs w:val="1"/>
                <w:color w:val="auto"/>
              </w:rPr>
            </w:pPr>
          </w:p>
        </w:tc>
      </w:tr>
      <w:tr>
        <w:trPr>
          <w:trHeight w:val="206"/>
        </w:trPr>
        <w:tc>
          <w:tcPr>
            <w:tcW w:w="5120" w:type="dxa"/>
            <w:vAlign w:val="bottom"/>
          </w:tcPr>
          <w:p>
            <w:pPr>
              <w:ind w:left="380"/>
              <w:spacing w:after="0"/>
              <w:rPr>
                <w:sz w:val="20"/>
                <w:szCs w:val="20"/>
                <w:color w:val="auto"/>
              </w:rPr>
            </w:pPr>
            <w:r>
              <w:rPr>
                <w:rFonts w:ascii="Arial" w:cs="Arial" w:eastAsia="Arial" w:hAnsi="Arial"/>
                <w:sz w:val="16"/>
                <w:szCs w:val="16"/>
                <w:color w:val="auto"/>
              </w:rPr>
              <w:t>for both Class A and Class B</w:t>
            </w:r>
          </w:p>
        </w:tc>
        <w:tc>
          <w:tcPr>
            <w:tcW w:w="9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86295" cy="19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295" cy="19748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20" w:type="dxa"/>
            <w:vAlign w:val="bottom"/>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0.67</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0.53</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0.67</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0.53</w:t>
            </w:r>
          </w:p>
        </w:tc>
      </w:tr>
      <w:tr>
        <w:trPr>
          <w:trHeight w:val="224"/>
        </w:trPr>
        <w:tc>
          <w:tcPr>
            <w:tcW w:w="5020" w:type="dxa"/>
            <w:vAlign w:val="bottom"/>
          </w:tcPr>
          <w:p>
            <w:pPr>
              <w:ind w:left="40"/>
              <w:spacing w:after="0"/>
              <w:rPr>
                <w:sz w:val="20"/>
                <w:szCs w:val="20"/>
                <w:color w:val="auto"/>
              </w:rPr>
            </w:pPr>
            <w:r>
              <w:rPr>
                <w:rFonts w:ascii="Arial" w:cs="Arial" w:eastAsia="Arial" w:hAnsi="Arial"/>
                <w:sz w:val="16"/>
                <w:szCs w:val="16"/>
                <w:color w:val="auto"/>
                <w:w w:val="96"/>
              </w:rPr>
              <w:t>Earnings from continuing operations per Class B Voting Common Share:</w:t>
            </w: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5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0.65</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0.51</w:t>
            </w: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0.65</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0.51</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Loss from discontinued operations per Class A Nonvoting Common Share:</w:t>
            </w: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color w:val="auto"/>
                <w:w w:val="98"/>
              </w:rPr>
              <w:t>Loss from discontinued operations per Class B Voting Common Share:</w:t>
            </w: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0.67</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0.49</w:t>
            </w: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0.67</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7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6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0.65</w:t>
            </w:r>
          </w:p>
        </w:tc>
        <w:tc>
          <w:tcPr>
            <w:tcW w:w="6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r>
      <w:tr>
        <w:trPr>
          <w:trHeight w:val="237"/>
        </w:trPr>
        <w:tc>
          <w:tcPr>
            <w:tcW w:w="5020" w:type="dxa"/>
            <w:vAlign w:val="bottom"/>
          </w:tcPr>
          <w:p>
            <w:pPr>
              <w:ind w:left="720"/>
              <w:spacing w:after="0"/>
              <w:rPr>
                <w:sz w:val="20"/>
                <w:szCs w:val="20"/>
                <w:color w:val="auto"/>
              </w:rPr>
            </w:pPr>
            <w:r>
              <w:rPr>
                <w:rFonts w:ascii="Arial" w:cs="Arial" w:eastAsia="Arial" w:hAnsi="Arial"/>
                <w:sz w:val="16"/>
                <w:szCs w:val="16"/>
                <w:color w:val="auto"/>
              </w:rPr>
              <w:t>Diluted</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0.23</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0.65</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0.47</w:t>
            </w:r>
          </w:p>
        </w:tc>
      </w:tr>
    </w:tbl>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Options to purchase approximately 3,923,000 and 3,860,000 shares of Class A Nonvoting Common Stock for the three months ended January 31, 2016 and 2015, respectively, and 4,048,000 and 3,878,000 shares for the six months ended January 31, 2016 and 2015, respectively, were not included in the computation of diluted net earnings or loss per share because the option exercise price was greater than the average market price of the common shares and, therefore, the effect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organized and managed on a global basis within three business platforms, ID Solutions, Workplace Safety, and People Identification ("PeopleID"), which aggregate into two reportable segments: IDS and WPS.</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Segment profit or loss does not include certain administrative costs, such as the cost of finance, information technology, human resources, legal, and executive leadership, which are managed as global functions. Restructuring charges, impairment charges, equity compensation costs, interest expense, investment and other income (expense) and income taxes are also excluded when evaluating segment performance.</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Each business platform has a President or Vice-President that reports directly to the Company's chief operating decision maker, its Chief Executive Officer. Each platform has its own distinct operations, which are managed locally by its own management team, maintains its own financial reports and is evaluated based on global segment profit. The Company has determined that these business platforms comprise its three operating segments, which aggregate into two reportable segments based on the information used by the Chief Executive Officer to allocate resources and assess performance.</w:t>
      </w:r>
    </w:p>
    <w:p>
      <w:pPr>
        <w:spacing w:after="0" w:line="1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segment results have been adjusted to reflect continuing operations in all periods presented. The following is a summary of segment information for the three and six months ended January 31, 2016 and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to External Customers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51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184,880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192,065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381,207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404,162</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83,750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90,563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170,496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188,706</w:t>
            </w: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268,630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282,628</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551,703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592,868</w:t>
            </w:r>
          </w:p>
        </w:tc>
      </w:tr>
      <w:tr>
        <w:trPr>
          <w:trHeight w:val="73"/>
        </w:trPr>
        <w:tc>
          <w:tcPr>
            <w:tcW w:w="51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Segment Profit</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37,004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35,719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77,008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79,186</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28,315</w:t>
            </w: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50,399</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48,495</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107,067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107,501</w:t>
            </w: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segment profit to earnings from continuing operations before income taxes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2016 and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50,399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107,067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107,501</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(54,561)</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(9,157)</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(expense)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(5,891)</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38,427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“service-based” stock options, generally expire 10 years from the date of grant.</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RSUs issued under the plan have an issuance price equal to the fair market value of the underlying stock at the date of grant. The RSUs granted under the plan generally vest over a three-year service period, with one-third becoming exercisable one year after the grant date and one-third additional in each of the succeeding two years. Shares issued under the plan are referred to herein as "service-based" RSUs.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January 31, 2016, the Company has reserved 4,741,300 shares of Class A Nonvoting Common Stock for outstanding stock options, RSUs, and restricted shares and 2,295,113 shares of Class A Nonvoting Common Stock remain for future issuance of stock options, RSUs, and restricted and unrestricted shares under the active plan. The Company uses treasury stock or will issue new Class A Nonvoting Common Stock to deliver shares under the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 Total stock-based compensation expense recognized by the Company during the three months ended January 31, 2016 and 2015, was $1,973 ($1,223 net of taxes) and $1,152 ($714 net of taxes), respectively. Expense recognized during the six months ended January 31, 2016 and 2015, was $4,569 ($2,833 net of taxes) and $2,471 ($1,532 net of taxes), respectively.</w:t>
      </w:r>
    </w:p>
    <w:p>
      <w:pPr>
        <w:spacing w:after="0" w:line="10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January 31, 2016, total unrecognized compensation cost related to stock-based compensation awards was $19,136 pre-tax, net of estimated forfeitures, which the Company expects to recognize over a weighted-average period of 2.8 years.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estimated the fair value of its service-based stock option awards granted during the six months ended January 31, 2016 and 2015, using the Black-Scholes option valuation model. The weighted-average assumptions used in the Black-Scholes valuation model are reflected in the following table: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6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 January 31,</w:t>
            </w:r>
          </w:p>
        </w:tc>
      </w:tr>
      <w:tr>
        <w:trPr>
          <w:trHeight w:val="33"/>
        </w:trPr>
        <w:tc>
          <w:tcPr>
            <w:tcW w:w="590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590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r>
      <w:tr>
        <w:trPr>
          <w:trHeight w:val="33"/>
        </w:trPr>
        <w:tc>
          <w:tcPr>
            <w:tcW w:w="5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6.05</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34.03%</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22.70</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22.70</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r>
      <w:tr>
        <w:trPr>
          <w:trHeight w:val="33"/>
        </w:trPr>
        <w:tc>
          <w:tcPr>
            <w:tcW w:w="5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200" w:lineRule="exact"/>
        <w:rPr>
          <w:sz w:val="20"/>
          <w:szCs w:val="20"/>
          <w:color w:val="auto"/>
        </w:rPr>
      </w:pPr>
    </w:p>
    <w:p>
      <w:pPr>
        <w:spacing w:after="0" w:line="3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six months ended January 31, 2016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Options</w:t>
            </w: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3,500,951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380" w:type="dxa"/>
            <w:vAlign w:val="bottom"/>
          </w:tcPr>
          <w:p>
            <w:pPr>
              <w:jc w:val="right"/>
              <w:spacing w:after="0"/>
              <w:rPr>
                <w:sz w:val="20"/>
                <w:szCs w:val="20"/>
                <w:color w:val="auto"/>
              </w:rPr>
            </w:pPr>
            <w:r>
              <w:rPr>
                <w:rFonts w:ascii="Arial" w:cs="Arial" w:eastAsia="Arial" w:hAnsi="Arial"/>
                <w:sz w:val="16"/>
                <w:szCs w:val="16"/>
                <w:color w:val="auto"/>
              </w:rPr>
              <w:t>881,744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(375,756)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32.20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January 31, 2016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4,004,485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1,898,393</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January 31, 2016</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2,723,184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183,307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were 2,723,184 and 3,131,418 options exercisable with a weighted average exercise price of $30.00 and $30.97 at January 31, 2016 and 2015, respectively. The cash received from the exercise of options during the three months ended January 31, 2016 and 2015 was $53 and $756, respectively. The cash received from the exercise of options during the six months ended January 31, 2016 and 2015 was $53 and $847, respectively. The tax benefit on options exercised during the three months ended January 31, 2016 and 2015 was $3 and $41, respectively. The tax benefit on options exercised during the six months ended January 31, 2016 and 2015 was $3 and $44,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intrinsic value of options exercised during the six months ended January 31, 2016 and 2015, based upon the average market price at the time of exercise during the period, was $7 and $115, respectively. The total fair value of stock options vested during the six months ended January 31, 2016 and 2015, was $3,131 and $3,841, respectively.</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RSU activity under the Company's share-based compensation plans for the six months ended January 31, 2016:</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RSUs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677,454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24.72</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173,394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20.07</w:t>
            </w: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25.12</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(41,869)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24.12</w:t>
            </w: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January 31, 2016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736,815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23.62</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service-based RSUs granted during the six months ended January 31, 2015 had a weighted-average grant date fair value of $23.57.</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aggregate intrinsic value of unvested RSUs expected to vest at January 31, 2016 was $16,534. The total fair value of RSUs vested during the six months ended January 31, 2016 and 2015, was $1,471 and $805, respectively.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G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Assets or liabilities for which fair value is based on other significant pricing inputs that are either directly or indirectly observable.</w:t>
      </w:r>
    </w:p>
    <w:p>
      <w:pPr>
        <w:spacing w:after="0" w:line="1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1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our financial assets and liabilities that were accounted for at fair value on a recurring basis at January 31, 2016 and July 31, 2015, according to the valuation techniques the Company used to determine their fair values.</w:t>
      </w:r>
    </w:p>
    <w:p>
      <w:pPr>
        <w:spacing w:after="0" w:line="93"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January 31, 2016</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12,980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12,980</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12,980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13,988</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1,212</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2015</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15,356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15,356</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15,356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16,041</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H, “Derivatives and Hedging Activities,” for additional information.</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six months ended January 31, 2016 and 2015. In addition, the Company had no significant measurements of assets or liabilities at fair value on a nonrecurring basis subsequent to their initial recognition during the six months ended January 31, 2016.</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fiscal 2015, goodwill with carrying amounts of $26,246 and $10,866 in the WPS APAC and WPS Americas reporting units, respectively, was written off entirely, resulting in impairment charges of $37,112. In order to arrive at the implied fair value of goodwill, the Company calculated the fair value of all of the assets and liabilities of the reporting unit as if it had been acquired in a business combination. After assigning fair value to the assets and liabilities of the reporting unit, it was determined there was no excess fair value of the reporting units over the implied fair value of goodwill and thus, the remaining goodwill balances were impaired in fiscal 2015. The goodwill balances represented a Level 3 asset measured at fair value on a nonrecurring basis subsequent to their original recognition.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During fiscal 2015, management evaluated other indefinite-lived intangible assets for recoverability using the income approach. The valuation was based upon current sales projections and profitability for each asset group, and the relief from royalty method was applied. Management evaluated other finite-lived intangible assets for recoverability using an undiscounted cash flow analysis based upon current sales projections and profitability for each asset group. This analysis resulted in an amount that was less than the carrying value of certain finite-lived intangible assets. Management measured the impairment loss of both indefinite and finite-lived intangible assets as the amount by which the carrying amount of the assets exceeded their fair value. As a result, other intangible assets with a carrying amount of $26,194 were written down to their estimated fair value of $19,543. These represented Level 3 assets measured at fair value on a nonrecurring basis subsequent to their original recognition. These items resulted in a total impairment charge of $6,651 in fiscal 2015.</w:t>
      </w:r>
    </w:p>
    <w:p>
      <w:pPr>
        <w:spacing w:after="0" w:line="13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notes payable, accounts payable, and other liabilities. The fair values of these financial instruments approximated carrying values because of their short-term nature.</w:t>
      </w:r>
    </w:p>
    <w:p>
      <w:pPr>
        <w:spacing w:after="0" w:line="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estimated fair value of the Company’s short-term and long-term debt obligations, excluding notes payable, based on the quoted market prices for similar issues and on the current rates offered for debt of similar maturities was $255,450 and $252,254 at January 31, 2016 and July 31, 2015, respectively, as compared to the carrying value of $247,689 and $243,288 at January 31, 2016 and July 31, 2015,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H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January 31, 2016 and July 31, 2015, the notional amount of outstanding forward exchange contracts was $104,759 and $139,300, respectively.</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hedges a portion of known exposures using forward exchange contracts. Main exposures are related to transactions denominated in the British Pound, the Euro, Canadian Dollar, Australian Dollar, Mexican Peso, and Singapore Dollar. Generally, these risk management transactions will involve the use of foreign currency derivatives to minimize the impact of currency movements on non-functional currency transactions.</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OCI and reclassified into earnings in the same period or periods during which the hedged transaction affects earnings. As of January 31, 2016 and 2015, unrealized losses of $608 and unrealized gains of $1,724 have been included in OCI, respectively. Balances are reclassified from OCI to earnings when the hedged transactions impact earnings. For the three months ended January 31, 2016 and 2015, the Company reclassified losses of $115 and gains of $116 from OCI into earnings, respectively. For the six months ended January 31, 2016 and 2015, the Company reclassified gains of $342 and $95 from OCI into earnings, respectively. At January 31, 2016, the U.S. dollar equivalent of these outstanding forward foreign exchange contracts totaled $16,616, including contracts to sell Euros, Canadian Dollars, Australian Dollars, and U.S. Dollars.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has also designated intercompany and third party foreign currency denominated debt instruments as net investment hedges. At January 31, 2016, the Company designated £25,036 of intercompany loans as net investment hedges to hedge portions of its net investment in British foreign operations. On May 13, 2010, the Company completed the private placement of €75 million aggregate principal amount of senior unsecured notes to accredited institutional investors. This Euro-denominated debt obligation was designated as a net investment hedge to selectively hedge portions of its net investment in European operations. The Company’s foreign denominated debt obligations are valued under a market approach using publicized spot prices.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three and six months ended January 31, 2016, the Company recognized losses of $100 and $513 respectively, in “Investment and other income” on the condensed consolidated statements of earnings related to non-designated hedges. For the three and six months ended January 31, 2015, the Company recognized losses of $1,173 and gains of $2,050, respectively.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shd w:val="clear" w:color="auto" w:fill="CCEEFF"/>
          </w:tcPr>
          <w:p>
            <w:pPr>
              <w:spacing w:after="0"/>
              <w:rPr>
                <w:sz w:val="22"/>
                <w:szCs w:val="22"/>
                <w:color w:val="auto"/>
              </w:rPr>
            </w:pPr>
          </w:p>
        </w:tc>
        <w:tc>
          <w:tcPr>
            <w:tcW w:w="2300" w:type="dxa"/>
            <w:vAlign w:val="bottom"/>
            <w:tcBorders>
              <w:bottom w:val="single" w:sz="8" w:color="auto"/>
            </w:tcBorders>
            <w:gridSpan w:val="4"/>
            <w:shd w:val="clear" w:color="auto" w:fill="CCEEFF"/>
          </w:tcPr>
          <w:p>
            <w:pPr>
              <w:ind w:left="620"/>
              <w:spacing w:after="0"/>
              <w:rPr>
                <w:sz w:val="20"/>
                <w:szCs w:val="20"/>
                <w:color w:val="auto"/>
              </w:rPr>
            </w:pPr>
            <w:r>
              <w:rPr>
                <w:rFonts w:ascii="Arial" w:cs="Arial" w:eastAsia="Arial" w:hAnsi="Arial"/>
                <w:sz w:val="14"/>
                <w:szCs w:val="14"/>
                <w:b w:val="1"/>
                <w:bCs w:val="1"/>
                <w:color w:val="auto"/>
              </w:rPr>
              <w:t>January 31, 2016</w:t>
            </w: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gridSpan w:val="3"/>
            <w:shd w:val="clear" w:color="auto" w:fill="CCEEFF"/>
          </w:tcPr>
          <w:p>
            <w:pPr>
              <w:ind w:left="760"/>
              <w:spacing w:after="0"/>
              <w:rPr>
                <w:sz w:val="20"/>
                <w:szCs w:val="20"/>
                <w:color w:val="auto"/>
              </w:rPr>
            </w:pPr>
            <w:r>
              <w:rPr>
                <w:rFonts w:ascii="Arial" w:cs="Arial" w:eastAsia="Arial" w:hAnsi="Arial"/>
                <w:sz w:val="14"/>
                <w:szCs w:val="14"/>
                <w:b w:val="1"/>
                <w:bCs w:val="1"/>
                <w:color w:val="auto"/>
                <w:w w:val="97"/>
              </w:rPr>
              <w:t>July 31, 2015</w:t>
            </w:r>
          </w:p>
        </w:tc>
        <w:tc>
          <w:tcPr>
            <w:tcW w:w="7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60" w:type="dxa"/>
            <w:vAlign w:val="bottom"/>
            <w:tcBorders>
              <w:bottom w:val="single" w:sz="8" w:color="auto"/>
            </w:tcBorders>
            <w:gridSpan w:val="4"/>
            <w:shd w:val="clear" w:color="auto" w:fill="CCEEFF"/>
          </w:tcPr>
          <w:p>
            <w:pPr>
              <w:ind w:left="600"/>
              <w:spacing w:after="0"/>
              <w:rPr>
                <w:sz w:val="20"/>
                <w:szCs w:val="20"/>
                <w:color w:val="auto"/>
              </w:rPr>
            </w:pPr>
            <w:r>
              <w:rPr>
                <w:rFonts w:ascii="Arial" w:cs="Arial" w:eastAsia="Arial" w:hAnsi="Arial"/>
                <w:sz w:val="14"/>
                <w:szCs w:val="14"/>
                <w:b w:val="1"/>
                <w:bCs w:val="1"/>
                <w:color w:val="auto"/>
              </w:rPr>
              <w:t>January 31, 2016</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gridSpan w:val="3"/>
            <w:shd w:val="clear" w:color="auto" w:fill="CCEEFF"/>
          </w:tcPr>
          <w:p>
            <w:pPr>
              <w:ind w:left="720"/>
              <w:spacing w:after="0"/>
              <w:rPr>
                <w:sz w:val="20"/>
                <w:szCs w:val="20"/>
                <w:color w:val="auto"/>
              </w:rPr>
            </w:pPr>
            <w:r>
              <w:rPr>
                <w:rFonts w:ascii="Arial" w:cs="Arial" w:eastAsia="Arial" w:hAnsi="Arial"/>
                <w:sz w:val="14"/>
                <w:szCs w:val="14"/>
                <w:b w:val="1"/>
                <w:bCs w:val="1"/>
                <w:color w:val="auto"/>
                <w:w w:val="97"/>
              </w:rPr>
              <w:t>July 31, 2015</w:t>
            </w:r>
          </w:p>
        </w:tc>
        <w:tc>
          <w:tcPr>
            <w:tcW w:w="6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1,108</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currency</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117,972</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121,514</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119,080</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122,251</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96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Derivatives not designated as</w:t>
            </w: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1,008</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1,212</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1,008</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1,212</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I — Discontinued Operations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an agreement with LTI Flexible Products, Inc. (d/b/a Boyd Corporation) on February 24, 2014, for the sale of the Die-Cut business. The first phase of this divestiture closed on May 1, 2014 and included the Die-Cut businesses in Korea, Thailand and Malaysia, and the Balkhausen business in Europe. The remainder of the Die-Cut business was located in China and it was divested on August 1, 2014. The operating results have been reported as discontinued operations for the three and six month periods ended January 31,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operating results of discontinued operations for the six months ended January 31,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b w:val="1"/>
                <w:bCs w:val="1"/>
                <w:color w:val="auto"/>
                <w:w w:val="88"/>
              </w:rPr>
              <w:t>Six months ended</w:t>
            </w:r>
          </w:p>
        </w:tc>
      </w:tr>
      <w:tr>
        <w:trPr>
          <w:trHeight w:val="210"/>
        </w:trPr>
        <w:tc>
          <w:tcPr>
            <w:tcW w:w="7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January 31, 2015</w:t>
            </w:r>
          </w:p>
        </w:tc>
      </w:tr>
      <w:tr>
        <w:trPr>
          <w:trHeight w:val="33"/>
        </w:trPr>
        <w:tc>
          <w:tcPr>
            <w:tcW w:w="7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color w:val="auto"/>
              </w:rPr>
              <w:t>Loss from operations of discontinued businesses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(1,201)</w:t>
            </w:r>
          </w:p>
        </w:tc>
      </w:tr>
      <w:tr>
        <w:trPr>
          <w:trHeight w:val="33"/>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37"/>
        </w:trPr>
        <w:tc>
          <w:tcPr>
            <w:tcW w:w="7620" w:type="dxa"/>
            <w:vAlign w:val="bottom"/>
          </w:tcPr>
          <w:p>
            <w:pPr>
              <w:ind w:left="40"/>
              <w:spacing w:after="0"/>
              <w:rPr>
                <w:sz w:val="20"/>
                <w:szCs w:val="20"/>
                <w:color w:val="auto"/>
              </w:rPr>
            </w:pPr>
            <w:r>
              <w:rPr>
                <w:rFonts w:ascii="Arial" w:cs="Arial" w:eastAsia="Arial" w:hAnsi="Arial"/>
                <w:sz w:val="16"/>
                <w:szCs w:val="16"/>
                <w:color w:val="auto"/>
              </w:rPr>
              <w:t>Loss on sale of discontinued operations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33"/>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on sale of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57"/>
        </w:trPr>
        <w:tc>
          <w:tcPr>
            <w:tcW w:w="762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income tax</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(1,915)</w:t>
            </w: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assets or liabilities held for sale as of January 31, 2016 and July 31, 2015, respectively. In accordance with authoritative literature, accumulated other comprehensive income of $34,697 was reclassified to the Condensed Consolidated Statements of Earnings upon the closing of the second phase of the Die-Cut divestiture during the three months ended October 31, 2014.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J — New Accounting Pronouncements</w:t>
      </w:r>
    </w:p>
    <w:p>
      <w:pPr>
        <w:spacing w:after="0" w:line="3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November 2015, the FASB issued ASU 2015-17, "Balance Sheet Classification of Deferred Taxes," which requires companies to classify deferred tax assets and liabilities as non-current on the balance sheet. This guidance is effective for annual periods beginning after December 15, 2016, and interim periods within those annual periods. The ASU may be applied either prospectively or retrospectively and early adoption is permitted. The Company is currently evaluating the impact of this update on its consolidated financial statements.</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July 2015, the FASB issued ASU 2015-11, "Simplifying the Measurement of Inventory," which requires that inventory within the scope of the guidance be measured at the lower of cost and net realizable value. Inventory measured using last-in, first-out (“LIFO”) is not impacted by the new standard. This guidance is effective for annual periods beginning after December 15, 2016, and interim periods within those annual periods. Early adoption of the ASU is permitted and the prospective transition method should be applied. The Company is currently evaluating the impact of this update on its consolidated financial statements.</w:t>
      </w:r>
    </w:p>
    <w:p>
      <w:pPr>
        <w:spacing w:after="0" w:line="29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May 2014, the FASB issued ASU 2014-09, "Revenue from Contracts with Customers," which eliminates the transaction-and industry-specific revenue recognition guidance under current GAAP and replaces it with a principles-based approach for determining revenue recognition. The new guidance requires revenue recognition when control of the goods or services transfers to the customer, replacing the existing guidance which requires revenue recognition when the risks and rewards transfer to the customer. Under the new guidance, companies should recognize revenues in amounts that reflect the payment to which a company expects to be entitled in exchange for those goods or services. The standard permits the use of either the retrospective or cumulative effect transition method. In August 2015, the FASB issued ASU 2015-14, "Revenue from Contracts with Customers (Topic 606): Deferral of the Effective Date," which defers the effective date of the new revenue recognition standard by one year. Under the ASU, the new revenue recognition standard is effective for the Company beginning in fiscal 2019. The Company is currently evaluating the impact of this update on its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NOTE K — Subsequent Events</w:t>
      </w:r>
    </w:p>
    <w:p>
      <w:pPr>
        <w:spacing w:after="0" w:line="25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February 16, 2016, the Board of Directors declared a quarterly cash dividend to shareholders of the Company’s Class A and Class B Common Stock of $0.2025 per share payable on April 29, 2016, to shareholders of record at the close of business on April 8, 2016.</w:t>
      </w:r>
    </w:p>
    <w:p>
      <w:pPr>
        <w:spacing w:after="0" w:line="3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February 16, 2016, the Company's Board of Directors also authorized an increase in the Company’s share repurchase program, authorizing the repurchase of up to two million shares of the Company’s Class A Common Stock available for repurchase as of that date, inclusive of the shares in the existing share buyback program. The plan may be implemented by purchasing shares in the open market or in privately negotiated transactions, with repurchased shares available for use in connection with the Company's stock-based compensation plans and for other corporate purposes.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half of which are internally manufactured and half are externally sourced. Approximately 45% of our total sales are derived outside of the United States. Foreign sales within the IDS and WPS segments are approximately 40% and 70%, respectively.</w:t>
      </w:r>
    </w:p>
    <w:p>
      <w:pPr>
        <w:spacing w:after="0" w:line="5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ability to provide customers with a vast array of proprietary, customized and diverse products for use in various applications across multiple customers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IDS business, our strategy for growth includes an increased focus on key customers, industries and products and improving the efficiency and effectiveness of the research and development ("R&amp;D") function. In our WPS business, our strategy for growth includes a focus on workplace safety critical industries, innovative new product offerings, and increased investment in digital capabilities.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targeting the following key initiatives in fiscal 2016:</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Driving operational efficiency within our manufacturing facilities and throughout the organization to improve profitability.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Focusing on operational excellence and providing the Company's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our innovation development process to deliver high-value, innovative products that align with the Company's target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Performing comprehensive product reviews to optimize the Company's product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our digital presence with a heightened focus on mobile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Growing through focused sales and marketing efforts in selected vertical markets and strategic accounts.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our global employee development process to attract and retain key talent.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results of Operating Income for the three and six months ended January 31, 2016, and 2015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9"/>
          </w:tcPr>
          <w:p>
            <w:pPr>
              <w:ind w:left="260"/>
              <w:spacing w:after="0"/>
              <w:rPr>
                <w:sz w:val="20"/>
                <w:szCs w:val="20"/>
                <w:color w:val="auto"/>
              </w:rPr>
            </w:pPr>
            <w:r>
              <w:rPr>
                <w:rFonts w:ascii="Arial" w:cs="Arial" w:eastAsia="Arial" w:hAnsi="Arial"/>
                <w:sz w:val="16"/>
                <w:szCs w:val="16"/>
                <w:b w:val="1"/>
                <w:bCs w:val="1"/>
                <w:color w:val="auto"/>
              </w:rPr>
              <w:t>Three months ended January 31,</w:t>
            </w:r>
          </w:p>
        </w:tc>
        <w:tc>
          <w:tcPr>
            <w:tcW w:w="140" w:type="dxa"/>
            <w:vAlign w:val="bottom"/>
          </w:tcPr>
          <w:p>
            <w:pPr>
              <w:spacing w:after="0"/>
              <w:rPr>
                <w:sz w:val="18"/>
                <w:szCs w:val="18"/>
                <w:color w:val="auto"/>
              </w:rPr>
            </w:pPr>
          </w:p>
        </w:tc>
        <w:tc>
          <w:tcPr>
            <w:tcW w:w="2920" w:type="dxa"/>
            <w:vAlign w:val="bottom"/>
            <w:gridSpan w:val="8"/>
          </w:tcPr>
          <w:p>
            <w:pPr>
              <w:jc w:val="right"/>
              <w:ind w:right="399"/>
              <w:spacing w:after="0"/>
              <w:rPr>
                <w:sz w:val="20"/>
                <w:szCs w:val="20"/>
                <w:color w:val="auto"/>
              </w:rPr>
            </w:pPr>
            <w:r>
              <w:rPr>
                <w:rFonts w:ascii="Arial" w:cs="Arial" w:eastAsia="Arial" w:hAnsi="Arial"/>
                <w:sz w:val="16"/>
                <w:szCs w:val="16"/>
                <w:b w:val="1"/>
                <w:bCs w:val="1"/>
                <w:color w:val="auto"/>
              </w:rPr>
              <w:t>Six months ended January 31,</w:t>
            </w:r>
          </w:p>
        </w:tc>
      </w:tr>
      <w:tr>
        <w:trPr>
          <w:trHeight w:val="33"/>
        </w:trPr>
        <w:tc>
          <w:tcPr>
            <w:tcW w:w="2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92"/>
              </w:rPr>
              <w:t>% Sales</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268,630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282,628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551,703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592,868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132,892</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138,203</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272,241</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288,365</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9,097</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8,948</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17,666</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18,579</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100,206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107,565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200,884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216,846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37"/>
        </w:trPr>
        <w:tc>
          <w:tcPr>
            <w:tcW w:w="298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4,879</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9,157</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109,303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121,392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218,550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244,582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17"/>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23,589</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16,811</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53,691</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43,783</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33"/>
        </w:trPr>
        <w:tc>
          <w:tcPr>
            <w:tcW w:w="2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Sales for the three months ended January 31, 2016, decreased 5.0% to $268.6 million, compared to $282.6 million in the same period of the prior year, which consisted of organic sales growth of 0.4% and a negative currency impact of 5.4% due to the strengthening of the U.S. Dollar against other major currencies. Organic sales grew 0.7% in the IDS segment and declined 0.1% in the WPS segment.</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Sales for the six months ended January 31, 2016, decreased 6.9% to $551.7 million, compared to $592.9 million in the same period of the prior year, which consisted of an organic sales decline of 0.9% and a negative currency impact of 6.0%. Organic sales declined 0.9% in both the IDS and WPS segments.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Gross margin for the three months ended January 31, 2016, decreased 3.8% to $132.9 million, compared to $138.2 million in the same period of the prior year, and decreased 5.6% to $272.2 million for the six months ended January 31, 2016, compared to $288.4 million in the same period of the prior year. The decline in gross margin for both the three and six month periods was primarily due to the decline in net sales.</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Gross margin as a percentage of sales continued its trend from the preceding quarter and increased to 49.5% for the three months ended January 31, 2016, compared to 48.9% in the same period of the prior year, and increased to 49.3% for the six months ended January 31, 2016, from 48.6% in the same period of the prior year. The increase in gross profit margin was primarily due to an improvement in operational efficiencies in our recently consolidated facilities in the Americas and EMEA, as we incurred reduced freight, supplies and labor costs compared to the same periods in the prior year.</w:t>
      </w:r>
    </w:p>
    <w:p>
      <w:pPr>
        <w:spacing w:after="0" w:line="15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R&amp;D expenses for the three months ended January 31, 2016, increased 1.7% to $9.1 million, compared to $8.9 million in the same period of the prior year. As a percentage of sales for the three months ended January 31, 2016, R&amp;D expenses increased to 3.4% from 3.2% in the same period in the prior year. The increase was primarily due to timing of project-related expenditures, partially offset by the negative impact of currency fluctuations.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R&amp;D expenses decreased 4.9% to $17.7 million for the six months ended January 31, 2016, compared to $18.6 million for the same period in the prior year. The decrease in R&amp;D expenses was primarily due to efficiency gains within the R&amp;D function and the strengthening of the U.S. dollar. As a percentage of sales for the six months ended January 31, 2016, R&amp;D expenses increased slightly to 3.2% from 3.1% in the same period of the prior year. The increase in R&amp;D expenses as a percentage of sales for the six month period was primarily due to the impact of currency fluctuations on sales and a higher concentration of R&amp;D spending in the United States.</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Selling, general and administrative expenses (“SG&amp;A”) include selling costs directly attributed to the IDS and WPS segments, as well as administrative expenses including finance, information technology, human resources, legal, and executive leadership. SG&amp;A decreased 6.8% to $100.2 million for the three months ended January 31, 2016, and 7.4% to $200.9 million for the six months ended January 31, 2016, compared to $107.6 million and $216.8 million in the same periods of the prior year, respectively. The declines in both the three and six month periods were primarily driven by the strengthening of the U.S. dollar, as well as efficiencies in selling costs and reduced amortization expense. General and administrative expenses remained flat for the three months and decreased during the six months ended January 31, 2016, compared to the same periods of the prior year due to our continued efforts to control costs.</w:t>
      </w:r>
    </w:p>
    <w:p>
      <w:pPr>
        <w:spacing w:after="0" w:line="16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fiscal 2014, the Company announced a restructuring plan to consolidate facilities in the Americas, Europe and Asia. The Company implemented this restructuring plan to enhance customer service, improve efficiency of operations and reduce operating expenses. Restructuring activities related to the facility consolidation plan were complete at the end of fiscal 2015. The Company expects to realize operational savings from these actions over the longer-term.</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No restructuring charges were incurred by the Company during the three and six months ended January 31, 2016. Restructuring charges were $4.9 million and $9.2 million during the three and six months ended January 31, 2015, respectively, which consisted primarily of employee separation costs, facility closure costs, and contract termination costs. Of the $4.9 million of restructuring charges recognized during the three-month period ended January 31, 2015, $3.9 million was incurred within the IDS segment and $1.0 million was incurred within the WPS segment. Of the $9.2 million of restructuring charges recognized during the six-month period ended January 31, 2015, $6.3 million was incurred within IDS and $2.9 million was incurred within WPS.</w:t>
      </w:r>
    </w:p>
    <w:p>
      <w:pPr>
        <w:spacing w:after="0" w:line="104"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Operating income was $23.6 million during the three months ended January 31, 2016, compared to $16.8 million for the three months ended January 31, 2015. Excluding restructuring charges of $4.9 million from the prior year, operating income was $21.7 million during the three months ended January 31,</w:t>
      </w:r>
    </w:p>
    <w:p>
      <w:pPr>
        <w:jc w:val="both"/>
        <w:spacing w:after="0" w:line="255" w:lineRule="auto"/>
        <w:rPr>
          <w:sz w:val="20"/>
          <w:szCs w:val="20"/>
          <w:color w:val="auto"/>
        </w:rPr>
      </w:pPr>
      <w:r>
        <w:rPr>
          <w:rFonts w:ascii="Arial" w:cs="Arial" w:eastAsia="Arial" w:hAnsi="Arial"/>
          <w:sz w:val="18"/>
          <w:szCs w:val="18"/>
          <w:color w:val="auto"/>
        </w:rPr>
        <w:t>2015. The increase of $1.9 million was primarily due to the improvement in segment profit in both the IDS and WPS segments during the three months ended January 31, 2016, compared to the same period of the prior year. This increase was partially offset by the negative impact of currency fluctuations during the period.</w:t>
      </w:r>
    </w:p>
    <w:p>
      <w:pPr>
        <w:spacing w:after="0" w:line="13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Operating income was $53.7 million during the six months ended January 31, 2016, compared to $43.8 million for the six months ended January 31, 2015. Excluding restructuring charges of $9.2 million, operating income was $53.0 million for the six months ended January 31, 2015. The increase of $0.7 million was primarily due to the improvement in WPS segment profit and a decline in administrative expenses during the six months ended January 31, 2016, compared to the same period of the prior year. This increase was partially offset by the negative impact of currency fluctuations and a decline in segment profit in the IDS segment during the period, which is discussed in further detail within the Business Segment Operating Results section.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3360" w:type="dxa"/>
            <w:vAlign w:val="bottom"/>
            <w:gridSpan w:val="8"/>
          </w:tcPr>
          <w:p>
            <w:pPr>
              <w:ind w:left="500"/>
              <w:spacing w:after="0"/>
              <w:rPr>
                <w:sz w:val="20"/>
                <w:szCs w:val="20"/>
                <w:color w:val="auto"/>
              </w:rPr>
            </w:pPr>
            <w:r>
              <w:rPr>
                <w:rFonts w:ascii="Arial" w:cs="Arial" w:eastAsia="Arial" w:hAnsi="Arial"/>
                <w:sz w:val="16"/>
                <w:szCs w:val="16"/>
                <w:b w:val="1"/>
                <w:bCs w:val="1"/>
                <w:color w:val="auto"/>
              </w:rPr>
              <w:t>Three months ended January 31,</w:t>
            </w:r>
          </w:p>
        </w:tc>
        <w:tc>
          <w:tcPr>
            <w:tcW w:w="3260" w:type="dxa"/>
            <w:vAlign w:val="bottom"/>
            <w:gridSpan w:val="7"/>
          </w:tcPr>
          <w:p>
            <w:pPr>
              <w:jc w:val="right"/>
              <w:ind w:right="499"/>
              <w:spacing w:after="0"/>
              <w:rPr>
                <w:sz w:val="20"/>
                <w:szCs w:val="20"/>
                <w:color w:val="auto"/>
              </w:rPr>
            </w:pPr>
            <w:r>
              <w:rPr>
                <w:rFonts w:ascii="Arial" w:cs="Arial" w:eastAsia="Arial" w:hAnsi="Arial"/>
                <w:sz w:val="16"/>
                <w:szCs w:val="16"/>
                <w:b w:val="1"/>
                <w:bCs w:val="1"/>
                <w:color w:val="auto"/>
              </w:rPr>
              <w:t>Six months ended January 31,</w:t>
            </w:r>
          </w:p>
        </w:tc>
      </w:tr>
      <w:tr>
        <w:trPr>
          <w:trHeight w:val="3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25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 Sales</w:t>
            </w:r>
          </w:p>
        </w:tc>
        <w:tc>
          <w:tcPr>
            <w:tcW w:w="66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 Sales</w:t>
            </w:r>
          </w:p>
        </w:tc>
        <w:tc>
          <w:tcPr>
            <w:tcW w:w="68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 Sales</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$ 23,589</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$ 16,811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$ 53,691</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$ 43,783</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Other income and (expense):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2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258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5"/>
              </w:rPr>
              <w:t>Investment and other (expense)</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37"/>
        </w:trPr>
        <w:tc>
          <w:tcPr>
            <w:tcW w:w="258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700" w:type="dxa"/>
            <w:vAlign w:val="bottom"/>
          </w:tcPr>
          <w:p>
            <w:pPr>
              <w:jc w:val="right"/>
              <w:spacing w:after="0"/>
              <w:rPr>
                <w:sz w:val="20"/>
                <w:szCs w:val="20"/>
                <w:color w:val="auto"/>
              </w:rPr>
            </w:pPr>
            <w:r>
              <w:rPr>
                <w:rFonts w:ascii="Arial" w:cs="Arial" w:eastAsia="Arial" w:hAnsi="Arial"/>
                <w:sz w:val="16"/>
                <w:szCs w:val="16"/>
                <w:color w:val="auto"/>
              </w:rPr>
              <w:t>(2,130)</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(4,281)</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(5,891)</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0"/>
        </w:trPr>
        <w:tc>
          <w:tcPr>
            <w:tcW w:w="25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Earnings from continuing operations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9"/>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before income tax</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20,467</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47,659</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38,427</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6.5 %</w:t>
            </w: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700" w:type="dxa"/>
            <w:vAlign w:val="bottom"/>
          </w:tcPr>
          <w:p>
            <w:pPr>
              <w:jc w:val="right"/>
              <w:spacing w:after="0"/>
              <w:rPr>
                <w:sz w:val="20"/>
                <w:szCs w:val="20"/>
                <w:color w:val="auto"/>
              </w:rPr>
            </w:pPr>
            <w:r>
              <w:rPr>
                <w:rFonts w:ascii="Arial" w:cs="Arial" w:eastAsia="Arial" w:hAnsi="Arial"/>
                <w:sz w:val="16"/>
                <w:szCs w:val="16"/>
                <w:color w:val="auto"/>
              </w:rPr>
              <w:t>5,177</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2,438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13,666</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11,344</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Earnings from continuing operations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$ 15,290</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$ 11,584</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$ 33,993</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$ 27,083</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20"/>
        </w:trPr>
        <w:tc>
          <w:tcPr>
            <w:tcW w:w="2580" w:type="dxa"/>
            <w:vAlign w:val="bottom"/>
          </w:tcPr>
          <w:p>
            <w:pPr>
              <w:ind w:left="40"/>
              <w:spacing w:after="0"/>
              <w:rPr>
                <w:sz w:val="20"/>
                <w:szCs w:val="20"/>
                <w:color w:val="auto"/>
              </w:rPr>
            </w:pPr>
            <w:r>
              <w:rPr>
                <w:rFonts w:ascii="Arial" w:cs="Arial" w:eastAsia="Arial" w:hAnsi="Arial"/>
                <w:sz w:val="16"/>
                <w:szCs w:val="16"/>
                <w:color w:val="auto"/>
                <w:w w:val="91"/>
              </w:rPr>
              <w:t>Loss from discontinued operations, net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2580" w:type="dxa"/>
            <w:vAlign w:val="bottom"/>
          </w:tcPr>
          <w:p>
            <w:pPr>
              <w:ind w:left="40"/>
              <w:spacing w:after="0"/>
              <w:rPr>
                <w:sz w:val="20"/>
                <w:szCs w:val="20"/>
                <w:color w:val="auto"/>
              </w:rPr>
            </w:pPr>
            <w:r>
              <w:rPr>
                <w:rFonts w:ascii="Arial" w:cs="Arial" w:eastAsia="Arial" w:hAnsi="Arial"/>
                <w:sz w:val="16"/>
                <w:szCs w:val="16"/>
                <w:color w:val="auto"/>
              </w:rPr>
              <w:t>of income taxes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400"/>
              <w:spacing w:after="0"/>
              <w:rPr>
                <w:sz w:val="20"/>
                <w:szCs w:val="20"/>
                <w:color w:val="auto"/>
              </w:rPr>
            </w:pPr>
            <w:r>
              <w:rPr>
                <w:rFonts w:ascii="Arial" w:cs="Arial" w:eastAsia="Arial" w:hAnsi="Arial"/>
                <w:sz w:val="16"/>
                <w:szCs w:val="16"/>
                <w:color w:val="auto"/>
              </w:rPr>
              <w:t>— %</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00"/>
              <w:spacing w:after="0"/>
              <w:rPr>
                <w:sz w:val="20"/>
                <w:szCs w:val="20"/>
                <w:color w:val="auto"/>
              </w:rPr>
            </w:pPr>
            <w:r>
              <w:rPr>
                <w:rFonts w:ascii="Arial" w:cs="Arial" w:eastAsia="Arial" w:hAnsi="Arial"/>
                <w:sz w:val="16"/>
                <w:szCs w:val="16"/>
                <w:color w:val="auto"/>
              </w:rPr>
              <w:t>— %</w:t>
            </w:r>
          </w:p>
        </w:tc>
        <w:tc>
          <w:tcPr>
            <w:tcW w:w="700" w:type="dxa"/>
            <w:vAlign w:val="bottom"/>
          </w:tcPr>
          <w:p>
            <w:pPr>
              <w:jc w:val="right"/>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25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$ 15,290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$ 11,584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$ 33,993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$ 25,168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r>
      <w:tr>
        <w:trPr>
          <w:trHeight w:val="20"/>
        </w:trPr>
        <w:tc>
          <w:tcPr>
            <w:tcW w:w="2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Investment and other expense was $1.0 million for the three months ended January 31, 2016, and was $1.8 million for the six months ended January 31, 2016, compared to other income of $0.2 million and $0.5 million in the same periods of the prior year, respectively. These changes during the three and six month periods were primarily due to foreign currency losses and a decline in market value of securities held in executive deferred compensation plans.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decreased to $2.1 million from $3.0 million for the three months, and decreased to $4.3 million from $5.9 million for the six months ended January 31, 2016, compared to the same periods in the prior year. For both the three and six month periods, the decrease was due to the Company’s declining total debt balance and a reduction in the weighted average interest rate on revolving debt.</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income tax rate on continuing operations was 25.3% for the three months ended January 31, 2016, compared to 17.4% for the same period in the prior year. The extension of the U.S. R&amp;D tax credit and other tax provisions passed by Congress in December 2015 and 2014 decreased the tax rate in both quarters; however, the impact was more significant to the prior period income tax rate as earnings before tax was lower for the three months ended January 31, 2015. The income tax rate on continuing operations was 28.7% for the six months ended January 31, 2016, compared to 29.5% for the same period of the prior year. The tax rate for the six month period is consistent with the Company's anticipated annual income tax rate, which is expected to be in the mid-to-upper 20% range for fiscal year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 organized and managed on a global basis within two business platforms: ID Solutions and Workplace Safety. The segment results have been adjusted to reflect continuing operations in all periods presented. The sales and profit of discontinued operations for the six months ended January 31, 2015, are excluded from the following information.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six months ended January 31, 2016, and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Three months ended January 31,</w:t>
            </w:r>
          </w:p>
        </w:tc>
        <w:tc>
          <w:tcPr>
            <w:tcW w:w="180" w:type="dxa"/>
            <w:vAlign w:val="bottom"/>
          </w:tcPr>
          <w:p>
            <w:pPr>
              <w:spacing w:after="0"/>
              <w:rPr>
                <w:sz w:val="18"/>
                <w:szCs w:val="18"/>
                <w:color w:val="auto"/>
              </w:rPr>
            </w:pPr>
          </w:p>
        </w:tc>
        <w:tc>
          <w:tcPr>
            <w:tcW w:w="23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w w:val="92"/>
              </w:rPr>
              <w:t>Six months ended January 31,</w:t>
            </w:r>
          </w:p>
        </w:tc>
      </w:tr>
      <w:tr>
        <w:trPr>
          <w:trHeight w:val="33"/>
        </w:trPr>
        <w:tc>
          <w:tcPr>
            <w:tcW w:w="4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33"/>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4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184,880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192,065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381,207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404,162</w:t>
            </w:r>
          </w:p>
        </w:tc>
      </w:tr>
      <w:tr>
        <w:trPr>
          <w:trHeight w:val="33"/>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83,750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90,563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170,496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188,706</w:t>
            </w:r>
          </w:p>
        </w:tc>
      </w:tr>
      <w:tr>
        <w:trPr>
          <w:trHeight w:val="217"/>
        </w:trPr>
        <w:tc>
          <w:tcPr>
            <w:tcW w:w="4040" w:type="dxa"/>
            <w:vAlign w:val="bottom"/>
          </w:tcPr>
          <w:p>
            <w:pPr>
              <w:ind w:left="3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268,630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282,628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551,703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592,868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48985"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19748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GROWTH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Workplace Safety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37,004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35,719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77,008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79,186</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13,395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12,776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30,059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28,315</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50,399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48,495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107,067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107,501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 AS A PERCENT OF SALES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segment profit to earnings from continuing operations before income taxes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2016 and 2015:</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Three months ended January 31,</w:t>
            </w:r>
          </w:p>
        </w:tc>
        <w:tc>
          <w:tcPr>
            <w:tcW w:w="180" w:type="dxa"/>
            <w:vAlign w:val="bottom"/>
          </w:tcPr>
          <w:p>
            <w:pPr>
              <w:spacing w:after="0"/>
              <w:rPr>
                <w:sz w:val="18"/>
                <w:szCs w:val="18"/>
                <w:color w:val="auto"/>
              </w:rPr>
            </w:pPr>
          </w:p>
        </w:tc>
        <w:tc>
          <w:tcPr>
            <w:tcW w:w="23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w w:val="92"/>
              </w:rPr>
              <w:t>Six months ended January 31,</w:t>
            </w:r>
          </w:p>
        </w:tc>
      </w:tr>
      <w:tr>
        <w:trPr>
          <w:trHeight w:val="33"/>
        </w:trPr>
        <w:tc>
          <w:tcPr>
            <w:tcW w:w="4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r>
      <w:tr>
        <w:trPr>
          <w:trHeight w:val="33"/>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50,399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107,067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107,501</w:t>
            </w:r>
          </w:p>
        </w:tc>
      </w:tr>
      <w:tr>
        <w:trPr>
          <w:trHeight w:val="224"/>
        </w:trPr>
        <w:tc>
          <w:tcPr>
            <w:tcW w:w="404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(54,561)</w:t>
            </w: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(9,157)</w:t>
            </w:r>
          </w:p>
        </w:tc>
      </w:tr>
      <w:tr>
        <w:trPr>
          <w:trHeight w:val="33"/>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(expense) income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(5,891)</w:t>
            </w:r>
          </w:p>
        </w:tc>
      </w:tr>
      <w:tr>
        <w:trPr>
          <w:trHeight w:val="33"/>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Earnings from continuing operations before income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38,427</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Approximately 70% of net sales in the IDS segment were generated in the Americas region, 20% in Europe and 10% in Asia. IDS sales decreased 3.7% to $184.9 million for the three months ended January 31, 2016, compared to $192.1 million for the same period in the prior year, which consisted of organic sales growth of 0.7% and a negative currency impact of 4.4%. IDS sales decreased 5.7% to $381.2 million for the six months ended January 31, 2016, compared to $404.2 million for the same period in the prior year. Organic sales declined 0.9% and currency fluctuations decreased sales by 4.8% during the six month period ended January 31, 2016.</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the Americas were consistent for the three months and declined in the low-single digits for the six months ended January 31, 2016, compared to the same periods in the prior year. The decline in the six month period was primarily due to a slow down in order patterns with certain of our end customers in the healthcare and industrial sectors in the United States and Canada. In addition, we realized double-digit declines in OEM sales in Brazil for both the three and six month periods due to weak economic conditions and increased competitive pressure. The decline was partially offset by strong organic sales growth in Mexico.</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IDS business in Europe realized mid-single digit organic sales growth for the three months ended January 31, 2016, compared to the same period in the prior year. Organic sales grew in the low-single digits for the six months ended January 31, 2016, compared to the same period in the prior year. The increase for both the three and six month periods was primarily driven by our core IDS businesses in Western and Central Europe where we have increased our salesforce and expanded in focused geographies and accounts.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in Asia declined in the low-single digits for the three and six months ended January 31, 2016, as compared to the same periods in the prior year. The decline in sales for both the three and six month periods was primarily due to reduced demand in China as a result of the slowing economy, which also resulted in reduced sales in much of Asia, outside of China.</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increased to $37.0 million for the three months ended January 31, 2016, compared to $35.7 million in the same period of the prior year. As a percentage of sales, segment profit increased to 20.0% for the quarter, from 18.6% in the same period of the prior year. The increase in segment profit margin during the quarter was primarily driven by an improvement in operational efficiencies in our manufacturing processes in the Americas and Europe and the increase in organic sales.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Segment profit decreased to $77.0 million from $79.2 million for the six months ended January 31, 2016, compared to the same period in the prior year. This decrease was primarily due to the negative impact of currency fluctuations during the six months ended January 31, 2016. As a percentage of sales, segment profit increased to 20.2% for the six months ended January 31, 2016, compared to 19.6% for same period in the prior year. Consistent with the three month period, the increase in segment profit margin was primarily driven by an improvement in operational efficiencies, partially offset by the decline in organic sales during the six month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WPS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Approximately 50% of net sales in the WPS segment were generated in Europe, 35% in the Americas and 15% in Australia. WPS sales decreased 7.5% to $83.8 million for the three months and 9.6% to $170.5 million for the six months ended January 31, 2016, compared to $90.6 million and $188.7 million, respectively, for the same periods in the prior year. Currency fluctuations decreased sales by 7.4% and 8.7% for the three and six months ended January 31, 2016, respectively, compared to the same periods in the prior year. Since half of the WPS business is in Europe, the strengthening of the U.S. dollar against the Euro had a larger impact on the WPS segment than it did on the IDS segment.</w:t>
      </w:r>
    </w:p>
    <w:p>
      <w:pPr>
        <w:spacing w:after="0" w:line="2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declined 0.1% and 0.9% in the three and six month periods ended January 31, 2016, respectively, compared to the same periods in the prior year. The organic sales decline in both periods was due to our North American and Australian-based businesses. This decline was partially offset by growth in the European-based business.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WPS business in Europe realized mid-single digit organic sales growth for the three months ended January 31, 2016, compared to the same period in the prior year. Organic sales grew in the low-single digits for the six months ended January 31, 2016, compared to the same period in the prior year. The increase for both the three and six month periods was primarily driven by Germany, France, and Belgium due to improvements in website functionality and key account management. Both traditional catalog and digital sales increased, with digital sales improving by double-digits in both the three and six months ended January 31, 2016, as compared to the same periods in the prior year.</w:t>
      </w:r>
    </w:p>
    <w:p>
      <w:pPr>
        <w:spacing w:after="0" w:line="29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in the Americas declined in the mid-single digits for the three and six months ended January 31, 2016, compared to the same periods in the prior year. This decrease was primarily in North America due to reduced demand in the industrial end markets and a decrease in sales through traditional catalog channels.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Australia realized a low double-digit decline for the three months and a high single-digit decline for the six months ended January 31, 2016, as compared to the same periods of the prior year. The decrease in the Australian business was due to its higher concentration in industries that are experiencing economic challenges which include manufacturing and mining production. We continue to focus on enhancing our expertise in these industries to further differentiate and create value for our customers.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Segment profit increased to $13.4 million from $12.8 million for the three months, and increased to $30.1 million from $28.3 million for the six months ended January 31, 2016, compared to the same periods in the prior year. As a percentage of sales, segment profit increased to 16.0% from 14.1% for the three months, and increased to 17.6% from 15.0% for the six months ended January 31, 2016, compared to the same periods in the prior year. The increase in segment profit margin in both the three and six month periods was mainly driven by a reduction in selling expenses and an improvement in operational efficiencies, partially offset by the decline in organic sales for both the three and six month periods.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increased by $5.7 million and $11.5 million during the six months ended January 31, 2016 and 2015, respectively.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4"/>
              </w:rPr>
              <w:t>Six months ended January 31,</w:t>
            </w:r>
          </w:p>
        </w:tc>
      </w:tr>
      <w:tr>
        <w:trPr>
          <w:trHeight w:val="33"/>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20"/>
                <w:szCs w:val="20"/>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r>
      <w:tr>
        <w:trPr>
          <w:trHeight w:val="33"/>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58,254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23,930</w:t>
            </w:r>
          </w:p>
        </w:tc>
      </w:tr>
      <w:tr>
        <w:trPr>
          <w:trHeight w:val="33"/>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(7,524)</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(46,308)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5,996</w:t>
            </w:r>
          </w:p>
        </w:tc>
      </w:tr>
      <w:tr>
        <w:trPr>
          <w:trHeight w:val="33"/>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(10,937)</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5,706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11,465</w:t>
            </w:r>
          </w:p>
        </w:tc>
      </w:tr>
      <w:tr>
        <w:trPr>
          <w:trHeight w:val="33"/>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cash provided by operating activities increased to $58.3 million for the six months ended January 31, 2016, compared to $23.9 million in the same period of the prior year. The increase in cash provided by operating activities of $34.4 million was primarily due to an improvement in working capital of $23.2 million. Inventory was reduced from elevated levels in the prior year due to the facility consolidation, which generated $14.2 million in cash from operations in the current six-month period. In addition, accounts payable increased by $13.8 million in the current six-month period due to the timing of certain annual payments and the acceleration of corporate credit card payment terms impacting the prior six-month period, which was partially offset by a decrease in Days Payable Outstanding ("DPO") in the Americas and APAC regions compared to the prior six-month period. The remainder of the increase in net cash provided by operating activities was primarily due to an increase in net earnings of $8.8 million.</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Net cash used in investing activities was $1.4 million for the six months ended January 31, 2016, compared to $7.5 million in the same period of the prior year. The decrease in cash used in investing activities was due primarily to a decrease in capital expenditures of $13.9 million due to the completion of facility consolidation activities, partially offset by $6.1 million of cash received from the Die-Cut divestiture during the six months ended January 31, 2015.</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financing activities was $46.3 million during the six months ended January 31, 2016, compared to net cash provided by financing activities of $6.0 million in the same period of the prior year. The increase in cash used in financing activities was primarily due to $23.4 million in share repurchases and $0.4 million in net repayments on the revolving loan agreements during the six months ended January 31, 2016, compared to $29.4 million in net borrowings on the revolving loan agreements in the same period of the prior year. The Company paid dividends of $20.4 million in both the six month periods ended January 31, 2016 and 2015.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Currency had a negative impact on cash of $4.8 million during the six months ended January 31, 2016, due to the strengthening of the U.S. Dollar against other major currencies.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fiscal 2006 and 2007, the Company completed two private placement note issuances totaling $350 million in ten-year fixed rate notes with varying maturity dates to institutional investors at interest rates varying from 5.30% to 5.33%. The notes must be repaid equally over seven years, with final payments due in 2016 and 2017, with interest payable on the notes due semiannually on various dates throughout the year. The notes have certain prepayment penalties for repaying them prior to the maturity date.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13, 2010, the Company completed a private placement of €75 million aggregate principal amount of senior unsecured notes to accredited institutional investors. The €75 million of senior notes consists of €30 million aggregate principal amount of 3.71% Series 2010-A Senior Notes, due May 13, 2017 and €45 million aggregate principal amount of 4.24% Series 2010-A Senior Notes, due May 13, 2020, with interest payable on the notes semiannually. The notes have certain prepayment penalties for repaying them prior to maturity.</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September 25, 2015, the Company and certain of its subsidiaries entered into an unsecured $300 million multi-currency revolving loan agreement with a group of six banks that replaced and terminated the Company’s previous loan agreement that had been entered into on February 1, 2012. Under the new revolving loan agreement, which has a final maturity date of September 25, 2020, the Company has the option to select either a base interest rate (based upon the higher of the federal funds rate plus one-half of 1%, the prime rate of Bank of America plus a margin based on the Company’s consolidated leverage ratio, or the one-month LIBOR rate plus 1%) or a Eurocurrency interest rate (at the LIBOR rate plus a margin based on the Company’s consolidated leverage ratio). At the Company's option, and subject to certain conditions, the available amount under the revolving loan agreement may be increased from $300 million to $450 million. During the six months ended January 31, 2016, the Company drew down an additional $5.0 million in order to fund general corporate needs. As of January 31, 2016, the outstanding balance on the credit facility was $107.0 million, which was also the maximum amount outstanding during the six months ended January 31, 2016. The Company also had letters of credit outstanding under the loan agreement of $3.3 million as of January 31, 2016, and there was $189.7 million available for future borrowing, which can be increased to $339.7 million at the Company's option, subject to certain conditions.</w:t>
      </w:r>
    </w:p>
    <w:p>
      <w:pPr>
        <w:spacing w:after="0" w:line="11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fiscal 2015, the Company entered into two unsecured $10.0 million multi-currency lines of credit in China. These lines of credit support USD-denominated or CNY-denominated borrowing to fund working capital and operations for the Company's Chinese entities and are due on demand. The borrowings under these facilities may be made for a period of up to one year from the date of borrowing with interest incurred equal to U.S. dollar LIBOR on the date of borrowing plus a margin based upon duration. The facilities are subject to periodic review and repricing. The Company is not required to comply with any financial covenants as part of this agreement. During the six months ended January 31, 2016, the Company repaid $5.4 million of these borrowings. As of January 31, 2016, the aggregate outstanding balance of these lines was $5.0 million and there was $15.0 million available for future borrowing under these credit facilities. The maximum amount outstanding on these lines was $10.4 million during the six months ended January 31, 2016.</w:t>
      </w:r>
    </w:p>
    <w:p>
      <w:pPr>
        <w:spacing w:after="0" w:line="11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twelve months EBITDA, as defined in the debt agreements, of not more than a 3.25 to 1.0 ratio (leverage ratio) and the trailing twelve months EBITDA to interest expense of not less than a 3.0 to 1.0 ratio (interest expense coverage). As of January 31, 2016, the Company was in compliance with these financial covenants, with the ratio of debt to EBITDA, as defined by the agreements, equal to 1.8 to 1.0 and the interest expense coverage ratio equal to 14.9 to 1.0.</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cash balances are generated and held in numerous locations throughout the world. At January 31, 2016, approximately 94%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common stock repurchases, scheduled debt repayments, and dividend payments for the next 12 months.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February 16, 2016, the Board of Directors declared a quarterly cash dividend to shareholders of the Company’s Class A and Class B Common Stock of $0.2025 per share payable on April 29, 2016, to shareholders of record at the close of business on April 8, 2016.</w:t>
      </w:r>
    </w:p>
    <w:p>
      <w:pPr>
        <w:spacing w:after="0" w:line="3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February 16, 2016, the Company's Board of Directors also authorized an increase in the Company’s share repurchase program, authorizing the repurchase of up to two million shares of the Company’s Class A Common Stock available for repurchase as of that date, inclusive of the shares in the existing share buyback program. The plan may be implemented by purchasing shares in the open market or in privately negotiated transactions, with repurchased shares available for use in connection with the Company's stock-based compensation plans and for other corporate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may be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71"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Implementation of the Workplace Safety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develop and successfully market technologically advanced new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Technology changes and potential security violations to Brady's information technology systems;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financial performance of major markets Brady serves, which include, without limitation, telecommunications, hard disk drive, manufacturing, electrical, construction, laboratory, education, governmental, public utility, computer, healthcare and transportation;</w:t>
      </w: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currency rates versus the U.S. dollar;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supply of, or price for, parts and components;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price pressure from suppliers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retain significant contracts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associated with loss of key talent;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obtaining governmental approvals and maintaining regulatory compliance;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associated with product liability claims;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health and safety compliance costs and liabilities;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Unforeseen tax consequences;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restructuring plans and maintaining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divestitures;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identifying, completing, and integrating acquisitions;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our ownership structure;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Brady's ability to maintain compliance with its debt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in our level of debt; and</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 filed with the SEC on September 21, 2015.</w:t>
      </w:r>
    </w:p>
    <w:p>
      <w:pPr>
        <w:spacing w:after="0" w:line="13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2015. There has been no material change in this information since July 31,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Vice President and Chief Financial Officer, of the effectiveness of the design and operation of the Company’s disclosure controls and procedures pursuant to Rule 13a-15 of the Exchange Act. Based on that evaluation, the Company’s President and Chief Executive Officer and Senior Vice President and Chief Financial Officer concluded that the Company’s disclosure controls and procedures are effective as of the end of the period covered by this report.</w:t>
      </w:r>
    </w:p>
    <w:p>
      <w:pPr>
        <w:spacing w:after="0" w:line="16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significant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1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As of October 31, 2015, the Company had a share repurchase program with 1,192,308 shares of the Company's Class A Nonvoting Common Stock remaining to be purchased. On November 18, 2015, the Company's Board of Directors authorized an increase in the share repurchase program of 807,692 additional shares. During the three months ended January 31, 2016, the Company purchased 338,579 shares of its Class A Nonvoting Common Stock under its share repurchase plan for $7.2 million. As of January 31, 2016, there remained 1,661,421 shares to purchase in connection with this plan.</w:t>
      </w:r>
    </w:p>
    <w:p>
      <w:pPr>
        <w:spacing w:after="0" w:line="15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information with respect to the purchase of Class A Nonvoting Common Stock during the three months ended January 31,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 Number</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of Shares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Purchased As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Shares That</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Part of</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Total Number</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Publicly</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of Shares</w:t>
            </w: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Average 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Announced</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Under the</w:t>
            </w:r>
          </w:p>
        </w:tc>
      </w:tr>
      <w:tr>
        <w:trPr>
          <w:trHeight w:val="210"/>
        </w:trPr>
        <w:tc>
          <w:tcPr>
            <w:tcW w:w="65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Purchased</w:t>
            </w: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paid per share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Plans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8"/>
              </w:rPr>
              <w:t>Plans</w:t>
            </w:r>
          </w:p>
        </w:tc>
      </w:tr>
      <w:tr>
        <w:trPr>
          <w:trHeight w:val="33"/>
        </w:trPr>
        <w:tc>
          <w:tcPr>
            <w:tcW w:w="6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November 1, 2015 - November 30, 2015</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2,000,000</w:t>
            </w: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 2015 - December 31, 2015</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2,000,000</w:t>
            </w: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January 1, 2016 - January 31, 2016</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338,579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21.37</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338,579</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1,661,421</w:t>
            </w:r>
          </w:p>
        </w:tc>
      </w:tr>
      <w:tr>
        <w:trPr>
          <w:trHeight w:val="33"/>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338,579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338,579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1,661,421</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BRADY CORPORATION</w:t>
      </w:r>
    </w:p>
    <w:p>
      <w:pPr>
        <w:spacing w:after="0" w:line="387" w:lineRule="exact"/>
        <w:rPr>
          <w:sz w:val="20"/>
          <w:szCs w:val="20"/>
          <w:color w:val="auto"/>
        </w:rPr>
      </w:pPr>
    </w:p>
    <w:p>
      <w:pPr>
        <w:ind w:left="40"/>
        <w:spacing w:after="0"/>
        <w:tabs>
          <w:tab w:leader="none" w:pos="7560" w:val="left"/>
        </w:tabs>
        <w:rPr>
          <w:sz w:val="20"/>
          <w:szCs w:val="20"/>
          <w:color w:val="auto"/>
        </w:rPr>
      </w:pPr>
      <w:r>
        <w:rPr>
          <w:rFonts w:ascii="Arial" w:cs="Arial" w:eastAsia="Arial" w:hAnsi="Arial"/>
          <w:sz w:val="18"/>
          <w:szCs w:val="18"/>
          <w:color w:val="auto"/>
        </w:rPr>
        <w:t>Date: February 19, 2016</w:t>
      </w:r>
      <w:r>
        <w:rPr>
          <w:sz w:val="20"/>
          <w:szCs w:val="20"/>
          <w:color w:val="auto"/>
        </w:rPr>
        <w:tab/>
      </w:r>
      <w:r>
        <w:rPr>
          <w:rFonts w:ascii="Arial" w:cs="Arial" w:eastAsia="Arial" w:hAnsi="Arial"/>
          <w:sz w:val="17"/>
          <w:szCs w:val="17"/>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31750</wp:posOffset>
            </wp:positionV>
            <wp:extent cx="2598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 Michael Nauman</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7560" w:val="left"/>
        </w:tabs>
        <w:rPr>
          <w:sz w:val="20"/>
          <w:szCs w:val="20"/>
          <w:color w:val="auto"/>
        </w:rPr>
      </w:pPr>
      <w:r>
        <w:rPr>
          <w:rFonts w:ascii="Arial" w:cs="Arial" w:eastAsia="Arial" w:hAnsi="Arial"/>
          <w:sz w:val="18"/>
          <w:szCs w:val="18"/>
          <w:color w:val="auto"/>
        </w:rPr>
        <w:t>Date: February 19, 2016</w:t>
      </w:r>
      <w:r>
        <w:rPr>
          <w:sz w:val="20"/>
          <w:szCs w:val="20"/>
          <w:color w:val="auto"/>
        </w:rPr>
        <w:tab/>
      </w:r>
      <w:r>
        <w:rPr>
          <w:rFonts w:ascii="Arial" w:cs="Arial" w:eastAsia="Arial" w:hAnsi="Arial"/>
          <w:sz w:val="16"/>
          <w:szCs w:val="16"/>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31750</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Senior Vice President, Chief Financial Officer and</w:t>
      </w:r>
    </w:p>
    <w:p>
      <w:pPr>
        <w:spacing w:after="0" w:line="3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6"/>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19,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19,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 and Chief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7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2016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19,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7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2016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19, 2016</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Financial Officer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Accounting Officer</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2019-12-29T13:55:57Z</dcterms:created>
  <dcterms:modified xsi:type="dcterms:W3CDTF">2019-12-29T13:55:57Z</dcterms:modified>
</cp:coreProperties>
</file>