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8"/>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58"/>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Date of Report (Date of earliest event reported): September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198755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52" w:lineRule="exact"/>
        <w:rPr>
          <w:sz w:val="24"/>
          <w:szCs w:val="24"/>
          <w:color w:val="auto"/>
        </w:rPr>
      </w:pPr>
    </w:p>
    <w:tbl>
      <w:tblPr>
        <w:tblLayout w:type="fixed"/>
        <w:tblInd w:w="2379"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ind w:left="47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319"/>
          </w:cols>
          <w:pgMar w:left="261" w:top="670" w:right="319" w:bottom="1440" w:gutter="0" w:footer="0" w:header="0"/>
        </w:sectPr>
      </w:pPr>
    </w:p>
    <w:bookmarkStart w:id="1" w:name="page2"/>
    <w:bookmarkEnd w:id="1"/>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jc w:val="both"/>
        <w:ind w:right="20" w:firstLine="579"/>
        <w:spacing w:after="0" w:line="265" w:lineRule="auto"/>
        <w:rPr>
          <w:sz w:val="20"/>
          <w:szCs w:val="20"/>
          <w:color w:val="auto"/>
        </w:rPr>
      </w:pPr>
      <w:r>
        <w:rPr>
          <w:rFonts w:ascii="Arial" w:cs="Arial" w:eastAsia="Arial" w:hAnsi="Arial"/>
          <w:sz w:val="16"/>
          <w:szCs w:val="16"/>
          <w:color w:val="auto"/>
        </w:rPr>
        <w:t>On September 11, 2015, Brady Corporation (the "Company") issued a press release announcing its fiscal 2015 fourth quarter financial results. A copy of the press release announcing the fourth quarter financial results is being furnished to the Securities and Exchange Commission as Exhibit 99.1 attached hereto and is incorporated herein by reference.</w:t>
      </w:r>
    </w:p>
    <w:p>
      <w:pPr>
        <w:spacing w:after="0" w:line="307"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2.06</w:t>
      </w:r>
      <w:r>
        <w:rPr>
          <w:sz w:val="20"/>
          <w:szCs w:val="20"/>
          <w:color w:val="auto"/>
        </w:rPr>
        <w:tab/>
      </w:r>
      <w:r>
        <w:rPr>
          <w:rFonts w:ascii="Arial" w:cs="Arial" w:eastAsia="Arial" w:hAnsi="Arial"/>
          <w:sz w:val="15"/>
          <w:szCs w:val="15"/>
          <w:color w:val="auto"/>
        </w:rPr>
        <w:t>MATERIAL IMPAIRMENTS</w:t>
      </w:r>
    </w:p>
    <w:p>
      <w:pPr>
        <w:spacing w:after="0" w:line="226" w:lineRule="exact"/>
        <w:rPr>
          <w:sz w:val="20"/>
          <w:szCs w:val="20"/>
          <w:color w:val="auto"/>
        </w:rPr>
      </w:pPr>
    </w:p>
    <w:p>
      <w:pPr>
        <w:jc w:val="both"/>
        <w:ind w:firstLine="579"/>
        <w:spacing w:after="0" w:line="261" w:lineRule="auto"/>
        <w:rPr>
          <w:sz w:val="20"/>
          <w:szCs w:val="20"/>
          <w:color w:val="auto"/>
        </w:rPr>
      </w:pPr>
      <w:r>
        <w:rPr>
          <w:rFonts w:ascii="Arial" w:cs="Arial" w:eastAsia="Arial" w:hAnsi="Arial"/>
          <w:sz w:val="16"/>
          <w:szCs w:val="16"/>
          <w:color w:val="auto"/>
        </w:rPr>
        <w:t>On September 9, 2015, the Board of Directors of the Company concluded that under generally accepted accounting principles a material charge of approximately $47 million for impairment of goodwill and other long-lived assets primarily within its Workplace Safety APAC and Workplace Safety Americas reporting units will be recorded in the Company’s fourth fiscal quarter ended July 31, 2015. This non-cash impairment charge does not impact the Company’s future cash flow, liquidity, or compliance with its debt covenants in various agreements.</w:t>
      </w:r>
    </w:p>
    <w:p>
      <w:pPr>
        <w:spacing w:after="0" w:line="165" w:lineRule="exact"/>
        <w:rPr>
          <w:sz w:val="20"/>
          <w:szCs w:val="20"/>
          <w:color w:val="auto"/>
        </w:rPr>
      </w:pPr>
    </w:p>
    <w:p>
      <w:pPr>
        <w:jc w:val="both"/>
        <w:ind w:firstLine="579"/>
        <w:spacing w:after="0" w:line="257" w:lineRule="auto"/>
        <w:rPr>
          <w:sz w:val="20"/>
          <w:szCs w:val="20"/>
          <w:color w:val="auto"/>
        </w:rPr>
      </w:pPr>
      <w:r>
        <w:rPr>
          <w:rFonts w:ascii="Arial" w:cs="Arial" w:eastAsia="Arial" w:hAnsi="Arial"/>
          <w:sz w:val="16"/>
          <w:szCs w:val="16"/>
          <w:color w:val="auto"/>
        </w:rPr>
        <w:t>The Workplace Safety APAC reporting unit consists entirely of the Company’s business located in Australia and had goodwill of approximately $26 million at the annual impairment assessment date of May 1, 2015. Organic sales declined in the mid-single digits in fiscal 2015 primarily due to a decline in economic conditions in the reporting unit’s focused industries. Management believes that the investments in digital and the current strategy will result in sales growth and improved profitability over the long-term; however, improved financial performance in this reporting unit may take several years. As such, the Company’s annual goodwill impairment test performed as of May 1, 2015, incorporated revised assumptions for the Workplace Safety APAC reporting unit and resulted in an impairment of approximately $26 million in goodwill and approximately $10 million in other long-lived assets during the three months ended July 31, 2015.</w:t>
      </w:r>
    </w:p>
    <w:p>
      <w:pPr>
        <w:spacing w:after="0" w:line="169" w:lineRule="exact"/>
        <w:rPr>
          <w:sz w:val="20"/>
          <w:szCs w:val="20"/>
          <w:color w:val="auto"/>
        </w:rPr>
      </w:pPr>
    </w:p>
    <w:p>
      <w:pPr>
        <w:jc w:val="both"/>
        <w:ind w:right="20" w:firstLine="579"/>
        <w:spacing w:after="0" w:line="257" w:lineRule="auto"/>
        <w:rPr>
          <w:sz w:val="20"/>
          <w:szCs w:val="20"/>
          <w:color w:val="auto"/>
        </w:rPr>
      </w:pPr>
      <w:r>
        <w:rPr>
          <w:rFonts w:ascii="Arial" w:cs="Arial" w:eastAsia="Arial" w:hAnsi="Arial"/>
          <w:sz w:val="16"/>
          <w:szCs w:val="16"/>
          <w:color w:val="auto"/>
        </w:rPr>
        <w:t>The Workplace Safety Americas reporting unit had goodwill of approximately $11 million at the annual impairment assessment date. Organic sales declined in the low-single digits in fiscal 2015 primarily due to a decline in sales through the traditional catalog model. The business has improved many of its digital capabilities over the past two years and has realized online sales growth; however, sales through the traditional catalog model have decreased at a greater rate than the increase in online sales. Management believes that the investments in digital and the current strategy will result in sales growth and improved profitability over the long-term; however, improved financial performance in this reporting unit may take several years. As such, the Company concluded that the annual goodwill impairment test resulted in an impairment of approximately $11 million in goodwill during the three months ended July 31, 2015.</w:t>
      </w:r>
    </w:p>
    <w:p>
      <w:pPr>
        <w:spacing w:after="0" w:line="31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5.02</w:t>
      </w:r>
      <w:r>
        <w:rPr>
          <w:sz w:val="20"/>
          <w:szCs w:val="20"/>
          <w:color w:val="auto"/>
        </w:rPr>
        <w:tab/>
      </w:r>
      <w:r>
        <w:rPr>
          <w:rFonts w:ascii="Arial" w:cs="Arial" w:eastAsia="Arial" w:hAnsi="Arial"/>
          <w:sz w:val="15"/>
          <w:szCs w:val="15"/>
          <w:color w:val="auto"/>
        </w:rPr>
        <w:t>DEPARTURE OF DIRECTORS OR CERTAIN OFFICERS; ELECTION OF DIRECTORS; APPOINTMENT</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OF CERTAIN OFFICERS; COMPENSATORY ARRANGEMENTS OF CERTAIN OFFICERS</w:t>
      </w:r>
    </w:p>
    <w:p>
      <w:pPr>
        <w:spacing w:after="0" w:line="214" w:lineRule="exact"/>
        <w:rPr>
          <w:sz w:val="20"/>
          <w:szCs w:val="20"/>
          <w:color w:val="auto"/>
        </w:rPr>
      </w:pPr>
    </w:p>
    <w:p>
      <w:pPr>
        <w:jc w:val="both"/>
        <w:ind w:right="20" w:firstLine="579"/>
        <w:spacing w:after="0" w:line="258" w:lineRule="auto"/>
        <w:rPr>
          <w:sz w:val="20"/>
          <w:szCs w:val="20"/>
          <w:color w:val="auto"/>
        </w:rPr>
      </w:pPr>
      <w:r>
        <w:rPr>
          <w:rFonts w:ascii="Arial" w:cs="Arial" w:eastAsia="Arial" w:hAnsi="Arial"/>
          <w:sz w:val="16"/>
          <w:szCs w:val="16"/>
          <w:color w:val="auto"/>
        </w:rPr>
        <w:t>On September 9, 2015, the Management Development and Compensation Committee of the Board of Directors of the Company approved a change of control agreement for Aaron J. Pearce, Senior Vice President and Chief Financial Officer of the Company. The change of control agreement will be in a form substantially the same as the change of control agreements entered into by other executive officers of the Company, and will provide that in the event of a qualifying termination following a change of control, he would receive payment of two times base salary and two times the average bonus payment received in the three years immediately prior to the date of the change of control.</w:t>
      </w:r>
    </w:p>
    <w:p>
      <w:pPr>
        <w:spacing w:after="0" w:line="31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7.01</w:t>
      </w:r>
      <w:r>
        <w:rPr>
          <w:sz w:val="20"/>
          <w:szCs w:val="20"/>
          <w:color w:val="auto"/>
        </w:rPr>
        <w:tab/>
      </w:r>
      <w:r>
        <w:rPr>
          <w:rFonts w:ascii="Arial" w:cs="Arial" w:eastAsia="Arial" w:hAnsi="Arial"/>
          <w:sz w:val="15"/>
          <w:szCs w:val="15"/>
          <w:color w:val="auto"/>
        </w:rPr>
        <w:t>REGULATION FD DISCLOSURE</w:t>
      </w:r>
    </w:p>
    <w:p>
      <w:pPr>
        <w:spacing w:after="0" w:line="226" w:lineRule="exact"/>
        <w:rPr>
          <w:sz w:val="20"/>
          <w:szCs w:val="20"/>
          <w:color w:val="auto"/>
        </w:rPr>
      </w:pPr>
    </w:p>
    <w:p>
      <w:pPr>
        <w:jc w:val="both"/>
        <w:ind w:right="20" w:firstLine="579"/>
        <w:spacing w:after="0" w:line="265" w:lineRule="auto"/>
        <w:rPr>
          <w:sz w:val="20"/>
          <w:szCs w:val="20"/>
          <w:color w:val="auto"/>
        </w:rPr>
      </w:pPr>
      <w:r>
        <w:rPr>
          <w:rFonts w:ascii="Arial" w:cs="Arial" w:eastAsia="Arial" w:hAnsi="Arial"/>
          <w:sz w:val="16"/>
          <w:szCs w:val="16"/>
          <w:color w:val="auto"/>
        </w:rPr>
        <w:t>On September 11, 2015, the Company hosted a conference call related to its fiscal 2015 fourth quarter financial results. A copy of the slides referenced in the conference call, which is also posted on the Corporation’s website, is being furnished to the Securities and Exchange Commission as Exhibit 99.3 attached hereto and is incorporated herein by reference.</w:t>
      </w:r>
    </w:p>
    <w:p>
      <w:pPr>
        <w:sectPr>
          <w:pgSz w:w="11900" w:h="16838" w:orient="portrait"/>
          <w:cols w:equalWidth="0" w:num="1">
            <w:col w:w="11440"/>
          </w:cols>
          <w:pgMar w:left="240" w:top="682" w:right="219" w:bottom="1440" w:gutter="0" w:footer="0" w:header="0"/>
        </w:sectPr>
      </w:pPr>
    </w:p>
    <w:bookmarkStart w:id="2" w:name="page3"/>
    <w:bookmarkEnd w:id="2"/>
    <w:p>
      <w:pPr>
        <w:ind w:left="20"/>
        <w:spacing w:after="0"/>
        <w:tabs>
          <w:tab w:leader="none" w:pos="940" w:val="left"/>
        </w:tabs>
        <w:rPr>
          <w:sz w:val="20"/>
          <w:szCs w:val="20"/>
          <w:color w:val="auto"/>
        </w:rPr>
      </w:pPr>
      <w:r>
        <w:rPr>
          <w:rFonts w:ascii="Arial" w:cs="Arial" w:eastAsia="Arial" w:hAnsi="Arial"/>
          <w:sz w:val="16"/>
          <w:szCs w:val="16"/>
          <w:color w:val="auto"/>
        </w:rPr>
        <w:t>Item 8.01</w:t>
      </w:r>
      <w:r>
        <w:rPr>
          <w:sz w:val="20"/>
          <w:szCs w:val="20"/>
          <w:color w:val="auto"/>
        </w:rPr>
        <w:tab/>
      </w:r>
      <w:r>
        <w:rPr>
          <w:rFonts w:ascii="Arial" w:cs="Arial" w:eastAsia="Arial" w:hAnsi="Arial"/>
          <w:sz w:val="15"/>
          <w:szCs w:val="15"/>
          <w:color w:val="auto"/>
        </w:rPr>
        <w:t>OTHER EVENTS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Increase in Annual Dividend</w:t>
      </w:r>
    </w:p>
    <w:p>
      <w:pPr>
        <w:spacing w:after="0" w:line="202" w:lineRule="exact"/>
        <w:rPr>
          <w:sz w:val="20"/>
          <w:szCs w:val="20"/>
          <w:color w:val="auto"/>
        </w:rPr>
      </w:pPr>
    </w:p>
    <w:p>
      <w:pPr>
        <w:jc w:val="both"/>
        <w:ind w:right="20" w:firstLine="579"/>
        <w:spacing w:after="0" w:line="265" w:lineRule="auto"/>
        <w:rPr>
          <w:sz w:val="20"/>
          <w:szCs w:val="20"/>
          <w:color w:val="auto"/>
        </w:rPr>
      </w:pPr>
      <w:r>
        <w:rPr>
          <w:rFonts w:ascii="Arial" w:cs="Arial" w:eastAsia="Arial" w:hAnsi="Arial"/>
          <w:sz w:val="16"/>
          <w:szCs w:val="16"/>
          <w:color w:val="auto"/>
        </w:rPr>
        <w:t>On September 10, 2015, the Company announced that its Board of Directors had increased the annual cash dividend on its Class A Common Stock from $0.80 to $0.81 per share. A quarterly dividend in the amount of $0.2025 per share will be paid on October 30, 2015, to shareholders of record as of the close of business on October 9, 2015. A copy of the press release regarding the dividend is attached hereto as Exhibit 99.2 and is incorporated herein by reference.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Share Repurchase Program</w:t>
      </w:r>
    </w:p>
    <w:p>
      <w:pPr>
        <w:spacing w:after="0" w:line="202" w:lineRule="exact"/>
        <w:rPr>
          <w:sz w:val="20"/>
          <w:szCs w:val="20"/>
          <w:color w:val="auto"/>
        </w:rPr>
      </w:pPr>
    </w:p>
    <w:p>
      <w:pPr>
        <w:jc w:val="both"/>
        <w:ind w:firstLine="579"/>
        <w:spacing w:after="0" w:line="258" w:lineRule="auto"/>
        <w:rPr>
          <w:sz w:val="20"/>
          <w:szCs w:val="20"/>
          <w:color w:val="auto"/>
        </w:rPr>
      </w:pPr>
      <w:r>
        <w:rPr>
          <w:rFonts w:ascii="Arial" w:cs="Arial" w:eastAsia="Arial" w:hAnsi="Arial"/>
          <w:sz w:val="16"/>
          <w:szCs w:val="16"/>
          <w:color w:val="auto"/>
        </w:rPr>
        <w:t>On September 11, 2015, the Corporation announced that its Board of Directors authorized a share buyback program for up to 1,033,758 million shares of the Corporation’s Class A Common Stock. The share repurchase plan may be implemented from time to time on the open market or in privately negotiated transactions. The repurchased shares will be available for use in connection with the Corporation’s stock-based plans and for other corporate purposes. The share buyback program was described in a press release issued by the Company in connection with its fiscal 2015 fourth quarter financial results, which is attached hereto as Exhibit 99.1 and is incorporated herein by reference.</w:t>
      </w:r>
    </w:p>
    <w:p>
      <w:pPr>
        <w:spacing w:after="0" w:line="31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filed as Exhibits to this Report.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 w:type="dxa"/>
            <w:vAlign w:val="bottom"/>
          </w:tcPr>
          <w:p>
            <w:pPr>
              <w:ind w:left="20"/>
              <w:spacing w:after="0"/>
              <w:rPr>
                <w:sz w:val="20"/>
                <w:szCs w:val="20"/>
                <w:color w:val="auto"/>
              </w:rPr>
            </w:pPr>
            <w:r>
              <w:rPr>
                <w:rFonts w:ascii="Arial" w:cs="Arial" w:eastAsia="Arial" w:hAnsi="Arial"/>
                <w:sz w:val="14"/>
                <w:szCs w:val="14"/>
                <w:color w:val="auto"/>
              </w:rPr>
              <w:t>EXHIBIT</w:t>
            </w:r>
          </w:p>
        </w:tc>
        <w:tc>
          <w:tcPr>
            <w:tcW w:w="7780" w:type="dxa"/>
            <w:vAlign w:val="bottom"/>
          </w:tcPr>
          <w:p>
            <w:pPr>
              <w:ind w:left="24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3"/>
        </w:trPr>
        <w:tc>
          <w:tcPr>
            <w:tcW w:w="900" w:type="dxa"/>
            <w:vAlign w:val="bottom"/>
          </w:tcPr>
          <w:p>
            <w:pPr>
              <w:ind w:left="20"/>
              <w:spacing w:after="0"/>
              <w:rPr>
                <w:sz w:val="20"/>
                <w:szCs w:val="20"/>
                <w:color w:val="auto"/>
              </w:rPr>
            </w:pPr>
            <w:r>
              <w:rPr>
                <w:rFonts w:ascii="Arial" w:cs="Arial" w:eastAsia="Arial" w:hAnsi="Arial"/>
                <w:sz w:val="14"/>
                <w:szCs w:val="14"/>
                <w:color w:val="auto"/>
              </w:rPr>
              <w:t>NUMBER</w:t>
            </w:r>
          </w:p>
        </w:tc>
        <w:tc>
          <w:tcPr>
            <w:tcW w:w="7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90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6"/>
                <w:szCs w:val="16"/>
                <w:color w:val="auto"/>
              </w:rPr>
              <w:t>99.1</w:t>
            </w:r>
          </w:p>
        </w:tc>
        <w:tc>
          <w:tcPr>
            <w:tcW w:w="7780" w:type="dxa"/>
            <w:vAlign w:val="bottom"/>
            <w:vMerge w:val="restart"/>
          </w:tcPr>
          <w:p>
            <w:pPr>
              <w:ind w:left="240"/>
              <w:spacing w:after="0"/>
              <w:rPr>
                <w:sz w:val="20"/>
                <w:szCs w:val="20"/>
                <w:color w:val="auto"/>
              </w:rPr>
            </w:pPr>
            <w:r>
              <w:rPr>
                <w:rFonts w:ascii="Arial" w:cs="Arial" w:eastAsia="Arial" w:hAnsi="Arial"/>
                <w:sz w:val="16"/>
                <w:szCs w:val="16"/>
                <w:color w:val="auto"/>
                <w:w w:val="96"/>
              </w:rPr>
              <w:t>Press Release of Brady Corporation, dated September 11, 2015, relating to fourth quarter fiscal 2015 financial</w:t>
            </w:r>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7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7780" w:type="dxa"/>
            <w:vAlign w:val="bottom"/>
          </w:tcPr>
          <w:p>
            <w:pPr>
              <w:ind w:left="240"/>
              <w:spacing w:after="0"/>
              <w:rPr>
                <w:sz w:val="20"/>
                <w:szCs w:val="20"/>
                <w:color w:val="auto"/>
              </w:rPr>
            </w:pPr>
            <w:r>
              <w:rPr>
                <w:rFonts w:ascii="Arial" w:cs="Arial" w:eastAsia="Arial" w:hAnsi="Arial"/>
                <w:sz w:val="16"/>
                <w:szCs w:val="16"/>
                <w:color w:val="auto"/>
              </w:rPr>
              <w:t>results.</w:t>
            </w:r>
          </w:p>
        </w:tc>
        <w:tc>
          <w:tcPr>
            <w:tcW w:w="0" w:type="dxa"/>
            <w:vAlign w:val="bottom"/>
          </w:tcPr>
          <w:p>
            <w:pPr>
              <w:spacing w:after="0"/>
              <w:rPr>
                <w:sz w:val="1"/>
                <w:szCs w:val="1"/>
                <w:color w:val="auto"/>
              </w:rPr>
            </w:pPr>
          </w:p>
        </w:tc>
      </w:tr>
      <w:tr>
        <w:trPr>
          <w:trHeight w:val="314"/>
        </w:trPr>
        <w:tc>
          <w:tcPr>
            <w:tcW w:w="900" w:type="dxa"/>
            <w:vAlign w:val="bottom"/>
          </w:tcPr>
          <w:p>
            <w:pPr>
              <w:ind w:left="20"/>
              <w:spacing w:after="0"/>
              <w:rPr>
                <w:sz w:val="20"/>
                <w:szCs w:val="20"/>
                <w:color w:val="auto"/>
              </w:rPr>
            </w:pPr>
            <w:r>
              <w:rPr>
                <w:rFonts w:ascii="Arial" w:cs="Arial" w:eastAsia="Arial" w:hAnsi="Arial"/>
                <w:sz w:val="16"/>
                <w:szCs w:val="16"/>
                <w:color w:val="auto"/>
              </w:rPr>
              <w:t>99.2</w:t>
            </w:r>
          </w:p>
        </w:tc>
        <w:tc>
          <w:tcPr>
            <w:tcW w:w="7780" w:type="dxa"/>
            <w:vAlign w:val="bottom"/>
          </w:tcPr>
          <w:p>
            <w:pPr>
              <w:ind w:left="240"/>
              <w:spacing w:after="0"/>
              <w:rPr>
                <w:sz w:val="20"/>
                <w:szCs w:val="20"/>
                <w:color w:val="auto"/>
              </w:rPr>
            </w:pPr>
            <w:r>
              <w:rPr>
                <w:rFonts w:ascii="Arial" w:cs="Arial" w:eastAsia="Arial" w:hAnsi="Arial"/>
                <w:sz w:val="16"/>
                <w:szCs w:val="16"/>
                <w:color w:val="auto"/>
              </w:rPr>
              <w:t>Press Release of Brady Corporation, dated September 10, 2015, relating to increase in quarterly dividend.</w:t>
            </w:r>
          </w:p>
        </w:tc>
        <w:tc>
          <w:tcPr>
            <w:tcW w:w="0" w:type="dxa"/>
            <w:vAlign w:val="bottom"/>
          </w:tcPr>
          <w:p>
            <w:pPr>
              <w:spacing w:after="0"/>
              <w:rPr>
                <w:sz w:val="1"/>
                <w:szCs w:val="1"/>
                <w:color w:val="auto"/>
              </w:rPr>
            </w:pPr>
          </w:p>
        </w:tc>
      </w:tr>
      <w:tr>
        <w:trPr>
          <w:trHeight w:val="241"/>
        </w:trPr>
        <w:tc>
          <w:tcPr>
            <w:tcW w:w="900" w:type="dxa"/>
            <w:vAlign w:val="bottom"/>
          </w:tcPr>
          <w:p>
            <w:pPr>
              <w:ind w:left="20"/>
              <w:spacing w:after="0"/>
              <w:rPr>
                <w:sz w:val="20"/>
                <w:szCs w:val="20"/>
                <w:color w:val="auto"/>
              </w:rPr>
            </w:pPr>
            <w:r>
              <w:rPr>
                <w:rFonts w:ascii="Arial" w:cs="Arial" w:eastAsia="Arial" w:hAnsi="Arial"/>
                <w:sz w:val="16"/>
                <w:szCs w:val="16"/>
                <w:color w:val="auto"/>
              </w:rPr>
              <w:t>99.3</w:t>
            </w:r>
          </w:p>
        </w:tc>
        <w:tc>
          <w:tcPr>
            <w:tcW w:w="7780" w:type="dxa"/>
            <w:vAlign w:val="bottom"/>
            <w:vMerge w:val="restart"/>
          </w:tcPr>
          <w:p>
            <w:pPr>
              <w:ind w:left="240"/>
              <w:spacing w:after="0"/>
              <w:rPr>
                <w:sz w:val="20"/>
                <w:szCs w:val="20"/>
                <w:color w:val="auto"/>
              </w:rPr>
            </w:pPr>
            <w:r>
              <w:rPr>
                <w:rFonts w:ascii="Arial" w:cs="Arial" w:eastAsia="Arial" w:hAnsi="Arial"/>
                <w:sz w:val="16"/>
                <w:szCs w:val="16"/>
                <w:color w:val="auto"/>
                <w:w w:val="96"/>
              </w:rPr>
              <w:t>Informational slides provided by Brady Corporation, dated September 11, 2015, relating to fourth quarter fiscal</w:t>
            </w:r>
          </w:p>
        </w:tc>
        <w:tc>
          <w:tcPr>
            <w:tcW w:w="0" w:type="dxa"/>
            <w:vAlign w:val="bottom"/>
          </w:tcPr>
          <w:p>
            <w:pPr>
              <w:spacing w:after="0"/>
              <w:rPr>
                <w:sz w:val="1"/>
                <w:szCs w:val="1"/>
                <w:color w:val="auto"/>
              </w:rPr>
            </w:pPr>
          </w:p>
        </w:tc>
      </w:tr>
      <w:tr>
        <w:trPr>
          <w:trHeight w:val="72"/>
        </w:trPr>
        <w:tc>
          <w:tcPr>
            <w:tcW w:w="90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6"/>
          <w:szCs w:val="16"/>
          <w:color w:val="auto"/>
        </w:rPr>
        <w:t>2015 financial results.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5940" w:val="left"/>
        </w:tabs>
        <w:rPr>
          <w:sz w:val="20"/>
          <w:szCs w:val="20"/>
          <w:color w:val="auto"/>
        </w:rPr>
      </w:pPr>
      <w:r>
        <w:rPr>
          <w:rFonts w:ascii="Arial" w:cs="Arial" w:eastAsia="Arial" w:hAnsi="Arial"/>
          <w:sz w:val="16"/>
          <w:szCs w:val="16"/>
          <w:color w:val="auto"/>
        </w:rPr>
        <w:t>Date: September 11, 2015</w:t>
      </w:r>
      <w:r>
        <w:rPr>
          <w:sz w:val="20"/>
          <w:szCs w:val="20"/>
          <w:color w:val="auto"/>
        </w:rPr>
        <w:tab/>
      </w:r>
      <w:r>
        <w:rPr>
          <w:rFonts w:ascii="Arial" w:cs="Arial" w:eastAsia="Arial" w:hAnsi="Arial"/>
          <w:sz w:val="15"/>
          <w:szCs w:val="15"/>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29210</wp:posOffset>
            </wp:positionV>
            <wp:extent cx="3484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Aaron J. Pearce</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Senior Vice President, Chief Financial Officer and Chief Accounting Officer</w:t>
      </w:r>
    </w:p>
    <w:p>
      <w:pPr>
        <w:sectPr>
          <w:pgSz w:w="11900" w:h="16838" w:orient="portrait"/>
          <w:cols w:equalWidth="0" w:num="1">
            <w:col w:w="11440"/>
          </w:cols>
          <w:pgMar w:left="240" w:top="682"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900" w:type="dxa"/>
            <w:vAlign w:val="bottom"/>
          </w:tcPr>
          <w:p>
            <w:pPr>
              <w:spacing w:after="0"/>
              <w:rPr>
                <w:sz w:val="17"/>
                <w:szCs w:val="17"/>
                <w:color w:val="auto"/>
              </w:rPr>
            </w:pPr>
          </w:p>
        </w:tc>
        <w:tc>
          <w:tcPr>
            <w:tcW w:w="7780" w:type="dxa"/>
            <w:vAlign w:val="bottom"/>
          </w:tcPr>
          <w:p>
            <w:pPr>
              <w:ind w:left="4220"/>
              <w:spacing w:after="0"/>
              <w:rPr>
                <w:sz w:val="20"/>
                <w:szCs w:val="20"/>
                <w:color w:val="auto"/>
              </w:rPr>
            </w:pPr>
            <w:r>
              <w:rPr>
                <w:rFonts w:ascii="Arial" w:cs="Arial" w:eastAsia="Arial" w:hAnsi="Arial"/>
                <w:sz w:val="16"/>
                <w:szCs w:val="16"/>
                <w:color w:val="auto"/>
              </w:rPr>
              <w:t>EXHIBIT INDEX</w:t>
            </w:r>
          </w:p>
        </w:tc>
        <w:tc>
          <w:tcPr>
            <w:tcW w:w="0" w:type="dxa"/>
            <w:vAlign w:val="bottom"/>
          </w:tcPr>
          <w:p>
            <w:pPr>
              <w:spacing w:after="0"/>
              <w:rPr>
                <w:sz w:val="1"/>
                <w:szCs w:val="1"/>
                <w:color w:val="auto"/>
              </w:rPr>
            </w:pPr>
          </w:p>
        </w:tc>
      </w:tr>
      <w:tr>
        <w:trPr>
          <w:trHeight w:val="511"/>
        </w:trPr>
        <w:tc>
          <w:tcPr>
            <w:tcW w:w="900" w:type="dxa"/>
            <w:vAlign w:val="bottom"/>
          </w:tcPr>
          <w:p>
            <w:pPr>
              <w:ind w:left="20"/>
              <w:spacing w:after="0"/>
              <w:rPr>
                <w:sz w:val="20"/>
                <w:szCs w:val="20"/>
                <w:color w:val="auto"/>
              </w:rPr>
            </w:pPr>
            <w:r>
              <w:rPr>
                <w:rFonts w:ascii="Arial" w:cs="Arial" w:eastAsia="Arial" w:hAnsi="Arial"/>
                <w:sz w:val="14"/>
                <w:szCs w:val="14"/>
                <w:color w:val="auto"/>
              </w:rPr>
              <w:t>EXHIBIT</w:t>
            </w:r>
          </w:p>
        </w:tc>
        <w:tc>
          <w:tcPr>
            <w:tcW w:w="7780" w:type="dxa"/>
            <w:vAlign w:val="bottom"/>
          </w:tcPr>
          <w:p>
            <w:pPr>
              <w:ind w:left="24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3"/>
        </w:trPr>
        <w:tc>
          <w:tcPr>
            <w:tcW w:w="900" w:type="dxa"/>
            <w:vAlign w:val="bottom"/>
          </w:tcPr>
          <w:p>
            <w:pPr>
              <w:ind w:left="20"/>
              <w:spacing w:after="0"/>
              <w:rPr>
                <w:sz w:val="20"/>
                <w:szCs w:val="20"/>
                <w:color w:val="auto"/>
              </w:rPr>
            </w:pPr>
            <w:r>
              <w:rPr>
                <w:rFonts w:ascii="Arial" w:cs="Arial" w:eastAsia="Arial" w:hAnsi="Arial"/>
                <w:sz w:val="14"/>
                <w:szCs w:val="14"/>
                <w:color w:val="auto"/>
              </w:rPr>
              <w:t>NUMBER</w:t>
            </w:r>
          </w:p>
        </w:tc>
        <w:tc>
          <w:tcPr>
            <w:tcW w:w="7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90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6"/>
                <w:szCs w:val="16"/>
                <w:color w:val="auto"/>
              </w:rPr>
              <w:t>99.1</w:t>
            </w:r>
          </w:p>
        </w:tc>
        <w:tc>
          <w:tcPr>
            <w:tcW w:w="7780" w:type="dxa"/>
            <w:vAlign w:val="bottom"/>
            <w:vMerge w:val="restart"/>
          </w:tcPr>
          <w:p>
            <w:pPr>
              <w:ind w:left="240"/>
              <w:spacing w:after="0"/>
              <w:rPr>
                <w:sz w:val="20"/>
                <w:szCs w:val="20"/>
                <w:color w:val="auto"/>
              </w:rPr>
            </w:pPr>
            <w:r>
              <w:rPr>
                <w:rFonts w:ascii="Arial" w:cs="Arial" w:eastAsia="Arial" w:hAnsi="Arial"/>
                <w:sz w:val="16"/>
                <w:szCs w:val="16"/>
                <w:color w:val="auto"/>
                <w:w w:val="96"/>
              </w:rPr>
              <w:t>Press Release of Brady Corporation, dated September 11, 2015, relating to fourth quarter fiscal 2015 financial</w:t>
            </w:r>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7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7780" w:type="dxa"/>
            <w:vAlign w:val="bottom"/>
          </w:tcPr>
          <w:p>
            <w:pPr>
              <w:ind w:left="240"/>
              <w:spacing w:after="0"/>
              <w:rPr>
                <w:sz w:val="20"/>
                <w:szCs w:val="20"/>
                <w:color w:val="auto"/>
              </w:rPr>
            </w:pPr>
            <w:r>
              <w:rPr>
                <w:rFonts w:ascii="Arial" w:cs="Arial" w:eastAsia="Arial" w:hAnsi="Arial"/>
                <w:sz w:val="16"/>
                <w:szCs w:val="16"/>
                <w:color w:val="auto"/>
              </w:rPr>
              <w:t>results.</w:t>
            </w:r>
          </w:p>
        </w:tc>
        <w:tc>
          <w:tcPr>
            <w:tcW w:w="0" w:type="dxa"/>
            <w:vAlign w:val="bottom"/>
          </w:tcPr>
          <w:p>
            <w:pPr>
              <w:spacing w:after="0"/>
              <w:rPr>
                <w:sz w:val="1"/>
                <w:szCs w:val="1"/>
                <w:color w:val="auto"/>
              </w:rPr>
            </w:pPr>
          </w:p>
        </w:tc>
      </w:tr>
      <w:tr>
        <w:trPr>
          <w:trHeight w:val="314"/>
        </w:trPr>
        <w:tc>
          <w:tcPr>
            <w:tcW w:w="900" w:type="dxa"/>
            <w:vAlign w:val="bottom"/>
          </w:tcPr>
          <w:p>
            <w:pPr>
              <w:ind w:left="20"/>
              <w:spacing w:after="0"/>
              <w:rPr>
                <w:sz w:val="20"/>
                <w:szCs w:val="20"/>
                <w:color w:val="auto"/>
              </w:rPr>
            </w:pPr>
            <w:r>
              <w:rPr>
                <w:rFonts w:ascii="Arial" w:cs="Arial" w:eastAsia="Arial" w:hAnsi="Arial"/>
                <w:sz w:val="16"/>
                <w:szCs w:val="16"/>
                <w:color w:val="auto"/>
              </w:rPr>
              <w:t>99.2</w:t>
            </w:r>
          </w:p>
        </w:tc>
        <w:tc>
          <w:tcPr>
            <w:tcW w:w="7780" w:type="dxa"/>
            <w:vAlign w:val="bottom"/>
            <w:vMerge w:val="restart"/>
          </w:tcPr>
          <w:p>
            <w:pPr>
              <w:ind w:left="240"/>
              <w:spacing w:after="0"/>
              <w:rPr>
                <w:sz w:val="20"/>
                <w:szCs w:val="20"/>
                <w:color w:val="auto"/>
              </w:rPr>
            </w:pPr>
            <w:r>
              <w:rPr>
                <w:rFonts w:ascii="Arial" w:cs="Arial" w:eastAsia="Arial" w:hAnsi="Arial"/>
                <w:sz w:val="16"/>
                <w:szCs w:val="16"/>
                <w:color w:val="auto"/>
              </w:rPr>
              <w:t>Press Release of Brady Corporation, dated September 10, 2015, relating to increase in quarterly dividend.</w:t>
            </w:r>
          </w:p>
        </w:tc>
        <w:tc>
          <w:tcPr>
            <w:tcW w:w="0" w:type="dxa"/>
            <w:vAlign w:val="bottom"/>
          </w:tcPr>
          <w:p>
            <w:pPr>
              <w:spacing w:after="0"/>
              <w:rPr>
                <w:sz w:val="1"/>
                <w:szCs w:val="1"/>
                <w:color w:val="auto"/>
              </w:rPr>
            </w:pPr>
          </w:p>
        </w:tc>
      </w:tr>
      <w:tr>
        <w:trPr>
          <w:trHeight w:val="72"/>
        </w:trPr>
        <w:tc>
          <w:tcPr>
            <w:tcW w:w="90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900" w:type="dxa"/>
            <w:vAlign w:val="bottom"/>
          </w:tcPr>
          <w:p>
            <w:pPr>
              <w:ind w:left="20"/>
              <w:spacing w:after="0"/>
              <w:rPr>
                <w:sz w:val="20"/>
                <w:szCs w:val="20"/>
                <w:color w:val="auto"/>
              </w:rPr>
            </w:pPr>
            <w:r>
              <w:rPr>
                <w:rFonts w:ascii="Arial" w:cs="Arial" w:eastAsia="Arial" w:hAnsi="Arial"/>
                <w:sz w:val="14"/>
                <w:szCs w:val="14"/>
                <w:color w:val="auto"/>
              </w:rPr>
              <w:t>99.3</w:t>
            </w:r>
          </w:p>
        </w:tc>
        <w:tc>
          <w:tcPr>
            <w:tcW w:w="7780" w:type="dxa"/>
            <w:vAlign w:val="bottom"/>
          </w:tcPr>
          <w:p>
            <w:pPr>
              <w:ind w:left="240"/>
              <w:spacing w:after="0"/>
              <w:rPr>
                <w:sz w:val="20"/>
                <w:szCs w:val="20"/>
                <w:color w:val="auto"/>
              </w:rPr>
            </w:pPr>
            <w:r>
              <w:rPr>
                <w:rFonts w:ascii="Arial" w:cs="Arial" w:eastAsia="Arial" w:hAnsi="Arial"/>
                <w:sz w:val="16"/>
                <w:szCs w:val="16"/>
                <w:color w:val="auto"/>
                <w:w w:val="96"/>
              </w:rPr>
              <w:t>Informational slides provided by Brady Corporation, dated September 11, 2015, relating to fourth quarter fiscal</w:t>
            </w: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7780" w:type="dxa"/>
            <w:vAlign w:val="bottom"/>
          </w:tcPr>
          <w:p>
            <w:pPr>
              <w:ind w:left="240"/>
              <w:spacing w:after="0"/>
              <w:rPr>
                <w:sz w:val="20"/>
                <w:szCs w:val="20"/>
                <w:color w:val="auto"/>
              </w:rPr>
            </w:pPr>
            <w:r>
              <w:rPr>
                <w:rFonts w:ascii="Arial" w:cs="Arial" w:eastAsia="Arial" w:hAnsi="Arial"/>
                <w:sz w:val="16"/>
                <w:szCs w:val="16"/>
                <w:color w:val="auto"/>
              </w:rPr>
              <w:t>2015 financial results.</w:t>
            </w:r>
          </w:p>
        </w:tc>
        <w:tc>
          <w:tcPr>
            <w:tcW w:w="0" w:type="dxa"/>
            <w:vAlign w:val="bottom"/>
          </w:tcPr>
          <w:p>
            <w:pPr>
              <w:spacing w:after="0"/>
              <w:rPr>
                <w:sz w:val="1"/>
                <w:szCs w:val="1"/>
                <w:color w:val="auto"/>
              </w:rPr>
            </w:pPr>
          </w:p>
        </w:tc>
      </w:tr>
      <w:tr>
        <w:trPr>
          <w:trHeight w:val="24"/>
        </w:trPr>
        <w:tc>
          <w:tcPr>
            <w:tcW w:w="90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3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Ann Thornton 414-438-6887</w:t>
      </w:r>
    </w:p>
    <w:p>
      <w:pPr>
        <w:spacing w:after="0"/>
        <w:rPr>
          <w:sz w:val="20"/>
          <w:szCs w:val="20"/>
          <w:color w:val="auto"/>
        </w:rPr>
      </w:pPr>
      <w:r>
        <w:rPr>
          <w:rFonts w:ascii="Arial" w:cs="Arial" w:eastAsia="Arial" w:hAnsi="Arial"/>
          <w:sz w:val="18"/>
          <w:szCs w:val="18"/>
          <w:color w:val="auto"/>
        </w:rPr>
        <w:t>Media contact: Carole Herbstreit 414-438-6882</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2015 Fourth Quarter Results and Impairment Charges, and Announces Share Buyback Program</w:t>
      </w:r>
    </w:p>
    <w:p>
      <w:pPr>
        <w:spacing w:after="0" w:line="245" w:lineRule="exact"/>
        <w:rPr>
          <w:sz w:val="20"/>
          <w:szCs w:val="20"/>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Fourth quarter organic revenue decline of 1.2 percent.</w:t>
      </w:r>
    </w:p>
    <w:p>
      <w:pPr>
        <w:spacing w:after="0" w:line="94" w:lineRule="exact"/>
        <w:rPr>
          <w:rFonts w:ascii="Arial" w:cs="Arial" w:eastAsia="Arial" w:hAnsi="Arial"/>
          <w:sz w:val="16"/>
          <w:szCs w:val="16"/>
          <w:color w:val="auto"/>
        </w:rPr>
      </w:pPr>
    </w:p>
    <w:p>
      <w:pPr>
        <w:ind w:left="580" w:right="2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Non-GAAP net earnings from continuing operations* of $14.4 million in the fourth quarter of fiscal 2015 compared to $21.0 million in the same quarter of the prior year.</w:t>
      </w:r>
    </w:p>
    <w:p>
      <w:pPr>
        <w:spacing w:after="0" w:line="1" w:lineRule="exact"/>
        <w:rPr>
          <w:rFonts w:ascii="Arial" w:cs="Arial" w:eastAsia="Arial" w:hAnsi="Arial"/>
          <w:sz w:val="16"/>
          <w:szCs w:val="16"/>
          <w:color w:val="auto"/>
        </w:rPr>
      </w:pPr>
    </w:p>
    <w:p>
      <w:pPr>
        <w:ind w:left="580" w:right="2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GAAP earnings from continuing operations were impacted by the impairment charges of $46.9 million primarily due to the write down of intangible assets in the Company’s Workplace Safety segment.</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Net cash provided by operating activities of $40.6 million during the fourth quarter of fiscal 2015.</w:t>
      </w:r>
    </w:p>
    <w:p>
      <w:pPr>
        <w:spacing w:after="0" w:line="94" w:lineRule="exact"/>
        <w:rPr>
          <w:rFonts w:ascii="Arial" w:cs="Arial" w:eastAsia="Arial" w:hAnsi="Arial"/>
          <w:sz w:val="16"/>
          <w:szCs w:val="16"/>
          <w:color w:val="auto"/>
        </w:rPr>
      </w:pPr>
    </w:p>
    <w:p>
      <w:pPr>
        <w:ind w:left="580" w:right="2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Non-GAAP net earnings from continuing operations per diluted Class A Nonvoting Common Share* of $0.28 in the fourth quarter of fiscal 2015 compared to $0.41 in the same quarter of the prior year.</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7"/>
          <w:szCs w:val="17"/>
          <w:color w:val="auto"/>
        </w:rPr>
        <w:t>Share buyback program increased to a total share repurchase authorization of up to 2 million shares of the Company’s Class A Common Stock.</w:t>
      </w:r>
    </w:p>
    <w:p>
      <w:pPr>
        <w:spacing w:after="0" w:line="384" w:lineRule="exact"/>
        <w:rPr>
          <w:sz w:val="20"/>
          <w:szCs w:val="20"/>
          <w:color w:val="auto"/>
        </w:rPr>
      </w:pPr>
    </w:p>
    <w:p>
      <w:pPr>
        <w:jc w:val="both"/>
        <w:ind w:right="20"/>
        <w:spacing w:after="0" w:line="368" w:lineRule="auto"/>
        <w:rPr>
          <w:sz w:val="20"/>
          <w:szCs w:val="20"/>
          <w:color w:val="auto"/>
        </w:rPr>
      </w:pPr>
      <w:r>
        <w:rPr>
          <w:rFonts w:ascii="Arial" w:cs="Arial" w:eastAsia="Arial" w:hAnsi="Arial"/>
          <w:sz w:val="18"/>
          <w:szCs w:val="18"/>
          <w:color w:val="auto"/>
        </w:rPr>
        <w:t>MILWAUKEE (September 11, 2015)--Brady Corporation (NYSE: BRC) (“Brady” or “Company”), a world leader in identification solutions, today reported its financial results for its fiscal 2015 fourth quarter and year ended July 31, 2015.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July 31, 2015 Financial Results:</w:t>
      </w:r>
    </w:p>
    <w:p>
      <w:pPr>
        <w:spacing w:after="0" w:line="101" w:lineRule="exact"/>
        <w:rPr>
          <w:sz w:val="20"/>
          <w:szCs w:val="20"/>
          <w:color w:val="auto"/>
        </w:rPr>
      </w:pPr>
    </w:p>
    <w:p>
      <w:pPr>
        <w:jc w:val="both"/>
        <w:ind w:right="20" w:firstLine="579"/>
        <w:spacing w:after="0" w:line="349" w:lineRule="auto"/>
        <w:rPr>
          <w:sz w:val="20"/>
          <w:szCs w:val="20"/>
          <w:color w:val="auto"/>
        </w:rPr>
      </w:pPr>
      <w:r>
        <w:rPr>
          <w:rFonts w:ascii="Arial" w:cs="Arial" w:eastAsia="Arial" w:hAnsi="Arial"/>
          <w:sz w:val="18"/>
          <w:szCs w:val="18"/>
          <w:color w:val="auto"/>
        </w:rPr>
        <w:t>Sales for the quarter ended July 31, 2015 decreased 8.9 percent to $288.6 million compared to $316.7 million in the fourth quarter of fiscal 2014. Total organic sales decreased 1.2 percent and foreign currency translation decreased sales by 7.7 percent. By segment, organic sales decreased 0.3 percent in Identification Solutions and decreased 3.2 percent in Workplace Safety.</w:t>
      </w:r>
    </w:p>
    <w:p>
      <w:pPr>
        <w:spacing w:after="0" w:line="2" w:lineRule="exact"/>
        <w:rPr>
          <w:sz w:val="20"/>
          <w:szCs w:val="20"/>
          <w:color w:val="auto"/>
        </w:rPr>
      </w:pPr>
    </w:p>
    <w:p>
      <w:pPr>
        <w:jc w:val="both"/>
        <w:ind w:right="20" w:firstLine="579"/>
        <w:spacing w:after="0" w:line="349" w:lineRule="auto"/>
        <w:rPr>
          <w:sz w:val="20"/>
          <w:szCs w:val="20"/>
          <w:color w:val="auto"/>
        </w:rPr>
      </w:pPr>
      <w:r>
        <w:rPr>
          <w:rFonts w:ascii="Arial" w:cs="Arial" w:eastAsia="Arial" w:hAnsi="Arial"/>
          <w:sz w:val="18"/>
          <w:szCs w:val="18"/>
          <w:color w:val="auto"/>
        </w:rPr>
        <w:t>During the fourth quarter ended July 31, 2015, the Company recorded an impairment charge of $46.9 million primarily related to the write down of intangible assets in the Company’s Workplace Safety segment. These impairment charges were primarily driven by sales and profitability reductions and reduced forecasts for future sales and profitability growth. In the fourth quarter of last year, the Company also incurred an impairment charge of $148.6 million related to its PeopleID reporting unit.</w:t>
      </w:r>
    </w:p>
    <w:p>
      <w:pPr>
        <w:spacing w:after="0" w:line="2" w:lineRule="exact"/>
        <w:rPr>
          <w:sz w:val="20"/>
          <w:szCs w:val="20"/>
          <w:color w:val="auto"/>
        </w:rPr>
      </w:pPr>
    </w:p>
    <w:p>
      <w:pPr>
        <w:jc w:val="both"/>
        <w:ind w:right="20" w:firstLine="579"/>
        <w:spacing w:after="0" w:line="359" w:lineRule="auto"/>
        <w:rPr>
          <w:sz w:val="20"/>
          <w:szCs w:val="20"/>
          <w:color w:val="auto"/>
        </w:rPr>
      </w:pPr>
      <w:r>
        <w:rPr>
          <w:rFonts w:ascii="Arial" w:cs="Arial" w:eastAsia="Arial" w:hAnsi="Arial"/>
          <w:sz w:val="18"/>
          <w:szCs w:val="18"/>
          <w:color w:val="auto"/>
        </w:rPr>
        <w:t>The Company’s loss from continuing operations for the quarter ended July 31, 2015 was $(39.4) million compared to a loss of $(97.0) million in the same quarter of last year. Non-GAAP earnings from continuing operations* for the current quarter were $14.4 million compared to $21.0 million in the fourth quarter of fiscal 2014.</w:t>
      </w:r>
    </w:p>
    <w:p>
      <w:pPr>
        <w:sectPr>
          <w:pgSz w:w="11900" w:h="16838" w:orient="portrait"/>
          <w:cols w:equalWidth="0" w:num="1">
            <w:col w:w="11440"/>
          </w:cols>
          <w:pgMar w:left="240" w:top="734" w:right="219" w:bottom="1440" w:gutter="0" w:footer="0" w:header="0"/>
        </w:sectPr>
      </w:pPr>
    </w:p>
    <w:bookmarkStart w:id="5" w:name="page6"/>
    <w:bookmarkEnd w:id="5"/>
    <w:p>
      <w:pPr>
        <w:jc w:val="both"/>
        <w:ind w:firstLine="579"/>
        <w:spacing w:after="0" w:line="359" w:lineRule="auto"/>
        <w:rPr>
          <w:sz w:val="20"/>
          <w:szCs w:val="20"/>
          <w:color w:val="auto"/>
        </w:rPr>
      </w:pPr>
      <w:r>
        <w:rPr>
          <w:rFonts w:ascii="Arial" w:cs="Arial" w:eastAsia="Arial" w:hAnsi="Arial"/>
          <w:sz w:val="18"/>
          <w:szCs w:val="18"/>
          <w:color w:val="auto"/>
        </w:rPr>
        <w:t>The Company’s loss from continuing operations per diluted Class A Nonvoting Common Share was $(0.77) for the quarter ended July 31, 2015 compared to a loss of $(1.89) in the same quarter last year. Non-GAAP earnings from continuing operations per diluted Class A Nonvoting Common Share* for the current quarter were $0.28 compared to earnings of $0.41 per share in the fourth quarter of fiscal 2014.</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July 31, 2015 Financial Results:</w:t>
      </w:r>
    </w:p>
    <w:p>
      <w:pPr>
        <w:spacing w:after="0" w:line="101" w:lineRule="exact"/>
        <w:rPr>
          <w:sz w:val="20"/>
          <w:szCs w:val="20"/>
          <w:color w:val="auto"/>
        </w:rPr>
      </w:pPr>
    </w:p>
    <w:p>
      <w:pPr>
        <w:jc w:val="both"/>
        <w:ind w:firstLine="579"/>
        <w:spacing w:after="0" w:line="349" w:lineRule="auto"/>
        <w:rPr>
          <w:sz w:val="20"/>
          <w:szCs w:val="20"/>
          <w:color w:val="auto"/>
        </w:rPr>
      </w:pPr>
      <w:r>
        <w:rPr>
          <w:rFonts w:ascii="Arial" w:cs="Arial" w:eastAsia="Arial" w:hAnsi="Arial"/>
          <w:sz w:val="18"/>
          <w:szCs w:val="18"/>
          <w:color w:val="auto"/>
        </w:rPr>
        <w:t>Sales for the year ended July 31, 2015 decreased 4.4 percent to $1.17 billion compared to $1.23 billion in fiscal 2014. Total organic sales increased 1.0 percent and the impact of foreign currency translation decreased sales by 5.4 percent. By segment, organic sales increased 1.7 percent in Identification Solutions and decreased 0.4 percent in Workplace Safety.</w:t>
      </w:r>
    </w:p>
    <w:p>
      <w:pPr>
        <w:spacing w:after="0" w:line="2" w:lineRule="exact"/>
        <w:rPr>
          <w:sz w:val="20"/>
          <w:szCs w:val="20"/>
          <w:color w:val="auto"/>
        </w:rPr>
      </w:pPr>
    </w:p>
    <w:p>
      <w:pPr>
        <w:jc w:val="both"/>
        <w:ind w:right="20" w:firstLine="579"/>
        <w:spacing w:after="0" w:line="349" w:lineRule="auto"/>
        <w:rPr>
          <w:sz w:val="20"/>
          <w:szCs w:val="20"/>
          <w:color w:val="auto"/>
        </w:rPr>
      </w:pPr>
      <w:r>
        <w:rPr>
          <w:rFonts w:ascii="Arial" w:cs="Arial" w:eastAsia="Arial" w:hAnsi="Arial"/>
          <w:sz w:val="18"/>
          <w:szCs w:val="18"/>
          <w:color w:val="auto"/>
        </w:rPr>
        <w:t>Earnings (loss) from continuing operations for the year ended July 31, 2015 were $4.9 million compared to $(48.1) million for the year ended July 31, 2014. Non-GAAP earnings from continuing operations* for the year ended July 31, 2015 were $65.5 million compared to $79.5 million for the year ended July 31, 2014.</w:t>
      </w:r>
    </w:p>
    <w:p>
      <w:pPr>
        <w:spacing w:after="0" w:line="2" w:lineRule="exact"/>
        <w:rPr>
          <w:sz w:val="20"/>
          <w:szCs w:val="20"/>
          <w:color w:val="auto"/>
        </w:rPr>
      </w:pPr>
    </w:p>
    <w:p>
      <w:pPr>
        <w:jc w:val="both"/>
        <w:ind w:right="20" w:firstLine="579"/>
        <w:spacing w:after="0" w:line="359" w:lineRule="auto"/>
        <w:rPr>
          <w:sz w:val="20"/>
          <w:szCs w:val="20"/>
          <w:color w:val="auto"/>
        </w:rPr>
      </w:pPr>
      <w:r>
        <w:rPr>
          <w:rFonts w:ascii="Arial" w:cs="Arial" w:eastAsia="Arial" w:hAnsi="Arial"/>
          <w:sz w:val="18"/>
          <w:szCs w:val="18"/>
          <w:color w:val="auto"/>
        </w:rPr>
        <w:t>Earnings (loss) from continuing operations per diluted Class A Nonvoting Common share were $0.10 for the year ended July 31, 2015 compared to $(0.93) for the year ended July 31, 2014. Non-GAAP earnings from continuing operations per diluted Class A Common Share* were $1.27 for the year ended July 31, 2015 compared to $1.53 for the year ended July 31, 2014.</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Buyback Program:</w:t>
      </w:r>
    </w:p>
    <w:p>
      <w:pPr>
        <w:spacing w:after="0" w:line="101" w:lineRule="exact"/>
        <w:rPr>
          <w:sz w:val="20"/>
          <w:szCs w:val="20"/>
          <w:color w:val="auto"/>
        </w:rPr>
      </w:pPr>
    </w:p>
    <w:p>
      <w:pPr>
        <w:jc w:val="both"/>
        <w:ind w:right="20" w:firstLine="579"/>
        <w:spacing w:after="0" w:line="359" w:lineRule="auto"/>
        <w:rPr>
          <w:sz w:val="20"/>
          <w:szCs w:val="20"/>
          <w:color w:val="auto"/>
        </w:rPr>
      </w:pPr>
      <w:r>
        <w:rPr>
          <w:rFonts w:ascii="Arial" w:cs="Arial" w:eastAsia="Arial" w:hAnsi="Arial"/>
          <w:sz w:val="18"/>
          <w:szCs w:val="18"/>
          <w:color w:val="auto"/>
        </w:rPr>
        <w:t>On September 10, 2015, Brady’s Board of Directors authorized an increase in the Company’s share buyback program, authorizing the repurchase of up to a total of two million shares of the Company’s Class A Common Stock, inclusive of the shares in the existing share buyback program. The share buyback plan may be implemented from time to time on the open market or in privately negotiated transactions.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w:t>
      </w:r>
    </w:p>
    <w:p>
      <w:pPr>
        <w:spacing w:after="0" w:line="101" w:lineRule="exact"/>
        <w:rPr>
          <w:sz w:val="20"/>
          <w:szCs w:val="20"/>
          <w:color w:val="auto"/>
        </w:rPr>
      </w:pPr>
    </w:p>
    <w:p>
      <w:pPr>
        <w:jc w:val="both"/>
        <w:ind w:firstLine="579"/>
        <w:spacing w:after="0" w:line="377" w:lineRule="auto"/>
        <w:rPr>
          <w:sz w:val="20"/>
          <w:szCs w:val="20"/>
          <w:color w:val="auto"/>
        </w:rPr>
      </w:pPr>
      <w:r>
        <w:rPr>
          <w:rFonts w:ascii="Arial" w:cs="Arial" w:eastAsia="Arial" w:hAnsi="Arial"/>
          <w:sz w:val="17"/>
          <w:szCs w:val="17"/>
          <w:color w:val="auto"/>
        </w:rPr>
        <w:t>“Our fourth quarter financial results did not meet our expectations. We realized an organic sales decline in our Identification Solutions business, and our gross profit margin deteriorated more than anticipated,” said Brady President and Chief Executive Officer J. Michael Nauman. “We completed the facility consolidations this quarter, but we continue to face operational inefficiencies. We have a full-time team dedicated to the facilities most impacted, we’re making improvements every day, and we expect to realize operational improvements and improved organic sales in the back half of fiscal 2016. We are increasing our focus on customer service and are making foundational improvements in our cost structure, which combined with disciplined capital allocation, will drive increased shareholder value over the long-term.”</w:t>
      </w:r>
    </w:p>
    <w:p>
      <w:pPr>
        <w:sectPr>
          <w:pgSz w:w="11900" w:h="16838" w:orient="portrait"/>
          <w:cols w:equalWidth="0" w:num="1">
            <w:col w:w="11440"/>
          </w:cols>
          <w:pgMar w:left="240" w:top="583" w:right="219" w:bottom="1440" w:gutter="0" w:footer="0" w:header="0"/>
        </w:sectPr>
      </w:pPr>
    </w:p>
    <w:bookmarkStart w:id="6" w:name="page7"/>
    <w:bookmarkEnd w:id="6"/>
    <w:p>
      <w:pPr>
        <w:jc w:val="both"/>
        <w:ind w:firstLine="579"/>
        <w:spacing w:after="0" w:line="389" w:lineRule="auto"/>
        <w:rPr>
          <w:sz w:val="20"/>
          <w:szCs w:val="20"/>
          <w:color w:val="auto"/>
        </w:rPr>
      </w:pPr>
      <w:r>
        <w:rPr>
          <w:rFonts w:ascii="Arial" w:cs="Arial" w:eastAsia="Arial" w:hAnsi="Arial"/>
          <w:sz w:val="16"/>
          <w:szCs w:val="16"/>
          <w:color w:val="auto"/>
        </w:rPr>
        <w:t>“Our cash generation continued to show improvements in the fourth quarter as the cash outlays from our prior restructuring programs and the elevated levels of capital expenditures have subsided,” said Brady’s Chief Financial Officer, Aaron Pearce. “Cash provided by operating activities increased to $40.6 million during the quarter ended July 31, 2015 compared to $17.6 million in last year’s fourth quarter. With the significant improvement in cash generation in the second half of this fiscal year, our conservative net debt-to-EBITDA ratio of 1.1 to 1, and our confidence in the continued turnaround of Brady, yesterday our Board of Directors increased our dividend for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consecutive year and increased our share buyback program to a total of two million shares.”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Guidance:</w:t>
      </w:r>
    </w:p>
    <w:p>
      <w:pPr>
        <w:spacing w:after="0" w:line="101" w:lineRule="exact"/>
        <w:rPr>
          <w:sz w:val="20"/>
          <w:szCs w:val="20"/>
          <w:color w:val="auto"/>
        </w:rPr>
      </w:pPr>
    </w:p>
    <w:p>
      <w:pPr>
        <w:jc w:val="both"/>
        <w:ind w:right="20" w:firstLine="579"/>
        <w:spacing w:after="0" w:line="354" w:lineRule="auto"/>
        <w:rPr>
          <w:sz w:val="20"/>
          <w:szCs w:val="20"/>
          <w:color w:val="auto"/>
        </w:rPr>
      </w:pPr>
      <w:r>
        <w:rPr>
          <w:rFonts w:ascii="Arial" w:cs="Arial" w:eastAsia="Arial" w:hAnsi="Arial"/>
          <w:sz w:val="18"/>
          <w:szCs w:val="18"/>
          <w:color w:val="auto"/>
        </w:rPr>
        <w:t>The Company anticipates approximately flat to low single-digit organic sales growth in fiscal 2016, with organic sales growth in both the Identification Solutions and Workplace Safety businesses increasing as the year progresses. Brady expects earnings from continuing operations per diluted Class A Nonvoting Common Share of between $1.10 and $1.30. This guidance is based on exchange rates as of July 31, 2015, a full-year income tax rate in the upper 20 percent range, capital expenditures moderating back to the Company’s historical norm of approximately $25 million, and depreciation and amortization of approximately $40 million.</w:t>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2015 fourth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pacing w:after="0" w:line="396" w:lineRule="exact"/>
        <w:rPr>
          <w:sz w:val="20"/>
          <w:szCs w:val="20"/>
          <w:color w:val="auto"/>
        </w:rPr>
      </w:pPr>
    </w:p>
    <w:p>
      <w:pPr>
        <w:jc w:val="both"/>
        <w:ind w:firstLine="579"/>
        <w:spacing w:after="0" w:line="377"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August 1, 2015, employed approximately 6,400 people in its worldwide businesses. Brady’s fiscal 2015 sales were approximately $1.17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See accompanying notes for Non-GAAP measures.</w:t>
      </w:r>
    </w:p>
    <w:p>
      <w:pPr>
        <w:sectPr>
          <w:pgSz w:w="11900" w:h="16838" w:orient="portrait"/>
          <w:cols w:equalWidth="0" w:num="1">
            <w:col w:w="11440"/>
          </w:cols>
          <w:pgMar w:left="240" w:top="583"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healthcare strategy; implementation of the Workplace Safety strategy; future competition; Brady’s ability to develop and successfully market new products; future financial performance of major markets Brady serves, which include, without limitation, telecommunications, hard disk drive, manufacturing, electrical, construction, laboratory, education, governmental, public utility, computer, healthcare and transportation; technology changes and potential security violations to the Company's information technology system; fluctuations in currency rates versus the U.S. dollar; risks associated with international operations; difficulties associated with exports; risks associated with restructuring plans; risks associated with identifying, completing, and integrating acquisitions; changes in the supply of, or price for, parts and components; increased price pressure from suppliers and customers; Brady's ability to retain significant contracts and customers; risk associated with loss of key talent; risks associated with divestitures and businesses held for sale; risks associated with obtaining governmental approvals and maintaining regulatory compliance; risk associated with product liability claims; environmental, health and safety compliance costs and liabilities; potential write-offs of Brady's substantial intangible assets; risks associated with our ownership structure; unforeseen tax consequences; Brady's ability to maintain compliance with its debt covenants; increase in our level of debt;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2014.</w:t>
      </w:r>
    </w:p>
    <w:p>
      <w:pPr>
        <w:spacing w:after="0" w:line="166"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40"/>
          </w:cols>
          <w:pgMar w:left="240" w:top="861" w:right="2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5"/>
          </w:tcPr>
          <w:p>
            <w:pPr>
              <w:ind w:left="100"/>
              <w:spacing w:after="0"/>
              <w:rPr>
                <w:sz w:val="20"/>
                <w:szCs w:val="20"/>
                <w:color w:val="auto"/>
              </w:rPr>
            </w:pPr>
            <w:r>
              <w:rPr>
                <w:rFonts w:ascii="Arial" w:cs="Arial" w:eastAsia="Arial" w:hAnsi="Arial"/>
                <w:sz w:val="14"/>
                <w:szCs w:val="14"/>
                <w:color w:val="auto"/>
              </w:rPr>
              <w:t>Three months ended July 31,</w:t>
            </w:r>
          </w:p>
        </w:tc>
        <w:tc>
          <w:tcPr>
            <w:tcW w:w="180" w:type="dxa"/>
            <w:vAlign w:val="bottom"/>
          </w:tcPr>
          <w:p>
            <w:pPr>
              <w:spacing w:after="0"/>
              <w:rPr>
                <w:sz w:val="15"/>
                <w:szCs w:val="15"/>
                <w:color w:val="auto"/>
              </w:rPr>
            </w:pPr>
          </w:p>
        </w:tc>
        <w:tc>
          <w:tcPr>
            <w:tcW w:w="2060" w:type="dxa"/>
            <w:vAlign w:val="bottom"/>
            <w:gridSpan w:val="4"/>
          </w:tcPr>
          <w:p>
            <w:pPr>
              <w:jc w:val="right"/>
              <w:ind w:right="148"/>
              <w:spacing w:after="0"/>
              <w:rPr>
                <w:sz w:val="20"/>
                <w:szCs w:val="20"/>
                <w:color w:val="auto"/>
              </w:rPr>
            </w:pPr>
            <w:r>
              <w:rPr>
                <w:rFonts w:ascii="Arial" w:cs="Arial" w:eastAsia="Arial" w:hAnsi="Arial"/>
                <w:sz w:val="14"/>
                <w:szCs w:val="14"/>
                <w:color w:val="auto"/>
                <w:w w:val="96"/>
              </w:rPr>
              <w:t>Twelve months ended July 31,</w:t>
            </w:r>
          </w:p>
        </w:tc>
      </w:tr>
      <w:tr>
        <w:trPr>
          <w:trHeight w:val="30"/>
        </w:trPr>
        <w:tc>
          <w:tcPr>
            <w:tcW w:w="4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2014</w:t>
            </w:r>
          </w:p>
        </w:tc>
      </w:tr>
      <w:tr>
        <w:trPr>
          <w:trHeight w:val="30"/>
        </w:trPr>
        <w:tc>
          <w:tcPr>
            <w:tcW w:w="4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288,636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316,733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1,171,731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1,225,034</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159,567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162,672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613,299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615,470</w:t>
            </w:r>
          </w:p>
        </w:tc>
      </w:tr>
      <w:tr>
        <w:trPr>
          <w:trHeight w:val="30"/>
        </w:trPr>
        <w:tc>
          <w:tcPr>
            <w:tcW w:w="4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Gross margin</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129,069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154,061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558,432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609,564</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Research and development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9,227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9,373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36,734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35,048</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102,908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111,340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422,704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452,164</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Restructuring charges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2,830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16,821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15,012</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Impairment charges</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46,867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148,551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46,867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148,551</w:t>
            </w:r>
          </w:p>
        </w:tc>
      </w:tr>
      <w:tr>
        <w:trPr>
          <w:trHeight w:val="30"/>
        </w:trPr>
        <w:tc>
          <w:tcPr>
            <w:tcW w:w="4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161,832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270,074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523,126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650,775</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(loss) income</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(32,763)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(116,013)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35,306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(41,211)</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Investment and other (expense) income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2,402</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(11,156)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(14,300)</w:t>
            </w:r>
          </w:p>
        </w:tc>
      </w:tr>
      <w:tr>
        <w:trPr>
          <w:trHeight w:val="185"/>
        </w:trPr>
        <w:tc>
          <w:tcPr>
            <w:tcW w:w="4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earnings from continuing operations before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(35,648)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24,995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(53,109)</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3,746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20,093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(4,963)</w:t>
            </w:r>
          </w:p>
        </w:tc>
      </w:tr>
      <w:tr>
        <w:trPr>
          <w:trHeight w:val="185"/>
        </w:trPr>
        <w:tc>
          <w:tcPr>
            <w:tcW w:w="4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earnings from continuing operations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(39,394)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(96,981)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4,902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(48,146)</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(Loss) earnings from discontinued operations, net of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2,178</w:t>
            </w:r>
          </w:p>
        </w:tc>
      </w:tr>
      <w:tr>
        <w:trPr>
          <w:trHeight w:val="185"/>
        </w:trPr>
        <w:tc>
          <w:tcPr>
            <w:tcW w:w="4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earnings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(39,394)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2,987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(45,968)</w:t>
            </w:r>
          </w:p>
        </w:tc>
      </w:tr>
      <w:tr>
        <w:trPr>
          <w:trHeight w:val="20"/>
        </w:trPr>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7"/>
        </w:trPr>
        <w:tc>
          <w:tcPr>
            <w:tcW w:w="4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7"/>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(Loss) earnings from continuing operations per Class A Nonvoting</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(0.77)</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0.10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(0.93)</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(0.93)</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earnings from continuing operations per Class B Voting</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(0.77)</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0.08</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(0.95)</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(0.95)</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(Loss) earnings from discontinued operations per Class A Nonvoting</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0.04</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0.04</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earnings from discontinued operations per Class B Voting</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0.05</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0.05</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earnings per Class A Nonvoting Common Share:</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(0.77)</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0.06</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(0.89)</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(0.89)</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Dividends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0.195</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0.80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0.78</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Net (loss) earnings per Class B Voting Common Share: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(0.90)</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(0.77)</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(0.90)</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Dividends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0.195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0.78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0.76</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51,317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51,250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51,285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51,866</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1"/>
        </w:trPr>
        <w:tc>
          <w:tcPr>
            <w:tcW w:w="41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51,250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51,866</w:t>
            </w:r>
          </w:p>
        </w:tc>
      </w:tr>
      <w:tr>
        <w:trPr>
          <w:trHeight w:val="30"/>
        </w:trPr>
        <w:tc>
          <w:tcPr>
            <w:tcW w:w="4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ectPr>
          <w:pgSz w:w="11900" w:h="16838" w:orient="portrait"/>
          <w:cols w:equalWidth="0" w:num="1">
            <w:col w:w="10219"/>
          </w:cols>
          <w:pgMar w:left="240" w:top="537"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July 31, 2015</w:t>
            </w:r>
          </w:p>
        </w:tc>
        <w:tc>
          <w:tcPr>
            <w:tcW w:w="160" w:type="dxa"/>
            <w:vAlign w:val="bottom"/>
          </w:tcPr>
          <w:p>
            <w:pPr>
              <w:spacing w:after="0"/>
              <w:rPr>
                <w:sz w:val="15"/>
                <w:szCs w:val="15"/>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July 31, 2014</w:t>
            </w:r>
          </w:p>
        </w:tc>
      </w:tr>
      <w:tr>
        <w:trPr>
          <w:trHeight w:val="30"/>
        </w:trPr>
        <w:tc>
          <w:tcPr>
            <w:tcW w:w="27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9"/>
        </w:trPr>
        <w:tc>
          <w:tcPr>
            <w:tcW w:w="270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64"/>
        </w:trPr>
        <w:tc>
          <w:tcPr>
            <w:tcW w:w="27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99"/>
        </w:trPr>
        <w:tc>
          <w:tcPr>
            <w:tcW w:w="5960" w:type="dxa"/>
            <w:vAlign w:val="bottom"/>
            <w:gridSpan w:val="3"/>
          </w:tcPr>
          <w:p>
            <w:pPr>
              <w:ind w:left="20"/>
              <w:spacing w:after="0"/>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2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59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114,492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81,834</w:t>
            </w:r>
          </w:p>
        </w:tc>
      </w:tr>
      <w:tr>
        <w:trPr>
          <w:trHeight w:val="211"/>
        </w:trPr>
        <w:tc>
          <w:tcPr>
            <w:tcW w:w="5960" w:type="dxa"/>
            <w:vAlign w:val="bottom"/>
            <w:gridSpan w:val="3"/>
          </w:tcPr>
          <w:p>
            <w:pPr>
              <w:ind w:left="340"/>
              <w:spacing w:after="0"/>
              <w:rPr>
                <w:sz w:val="20"/>
                <w:szCs w:val="20"/>
                <w:color w:val="auto"/>
              </w:rPr>
            </w:pPr>
            <w:r>
              <w:rPr>
                <w:rFonts w:ascii="Arial" w:cs="Arial" w:eastAsia="Arial" w:hAnsi="Arial"/>
                <w:sz w:val="14"/>
                <w:szCs w:val="14"/>
                <w:color w:val="auto"/>
              </w:rPr>
              <w:t>Accounts receivable—net</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157,386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177,648</w:t>
            </w:r>
          </w:p>
        </w:tc>
      </w:tr>
      <w:tr>
        <w:trPr>
          <w:trHeight w:val="30"/>
        </w:trPr>
        <w:tc>
          <w:tcPr>
            <w:tcW w:w="2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59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11"/>
        </w:trPr>
        <w:tc>
          <w:tcPr>
            <w:tcW w:w="5960" w:type="dxa"/>
            <w:vAlign w:val="bottom"/>
            <w:gridSpan w:val="3"/>
          </w:tcPr>
          <w:p>
            <w:pPr>
              <w:ind w:left="620"/>
              <w:spacing w:after="0"/>
              <w:rPr>
                <w:sz w:val="20"/>
                <w:szCs w:val="20"/>
                <w:color w:val="auto"/>
              </w:rPr>
            </w:pPr>
            <w:r>
              <w:rPr>
                <w:rFonts w:ascii="Arial" w:cs="Arial" w:eastAsia="Arial" w:hAnsi="Arial"/>
                <w:sz w:val="14"/>
                <w:szCs w:val="14"/>
                <w:color w:val="auto"/>
              </w:rPr>
              <w:t>Finished products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66,700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73,096</w:t>
            </w:r>
          </w:p>
        </w:tc>
      </w:tr>
      <w:tr>
        <w:trPr>
          <w:trHeight w:val="30"/>
        </w:trPr>
        <w:tc>
          <w:tcPr>
            <w:tcW w:w="2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596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Work-in-process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16,958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17,689</w:t>
            </w:r>
          </w:p>
        </w:tc>
      </w:tr>
      <w:tr>
        <w:trPr>
          <w:trHeight w:val="211"/>
        </w:trPr>
        <w:tc>
          <w:tcPr>
            <w:tcW w:w="5960" w:type="dxa"/>
            <w:vAlign w:val="bottom"/>
            <w:gridSpan w:val="3"/>
          </w:tcPr>
          <w:p>
            <w:pPr>
              <w:ind w:left="620"/>
              <w:spacing w:after="0"/>
              <w:rPr>
                <w:sz w:val="20"/>
                <w:szCs w:val="20"/>
                <w:color w:val="auto"/>
              </w:rPr>
            </w:pPr>
            <w:r>
              <w:rPr>
                <w:rFonts w:ascii="Arial" w:cs="Arial" w:eastAsia="Arial" w:hAnsi="Arial"/>
                <w:sz w:val="14"/>
                <w:szCs w:val="14"/>
                <w:color w:val="auto"/>
              </w:rPr>
              <w:t>Raw materials and supplies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20,849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22,490</w:t>
            </w:r>
          </w:p>
        </w:tc>
      </w:tr>
      <w:tr>
        <w:trPr>
          <w:trHeight w:val="30"/>
        </w:trPr>
        <w:tc>
          <w:tcPr>
            <w:tcW w:w="27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596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4"/>
                <w:szCs w:val="14"/>
                <w:color w:val="auto"/>
              </w:rPr>
              <w:t>Total inventories</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104,507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113,275</w:t>
            </w:r>
          </w:p>
        </w:tc>
      </w:tr>
      <w:tr>
        <w:trPr>
          <w:trHeight w:val="211"/>
        </w:trPr>
        <w:tc>
          <w:tcPr>
            <w:tcW w:w="5960" w:type="dxa"/>
            <w:vAlign w:val="bottom"/>
            <w:gridSpan w:val="3"/>
          </w:tcPr>
          <w:p>
            <w:pPr>
              <w:ind w:left="340"/>
              <w:spacing w:after="0"/>
              <w:rPr>
                <w:sz w:val="20"/>
                <w:szCs w:val="20"/>
                <w:color w:val="auto"/>
              </w:rPr>
            </w:pPr>
            <w:r>
              <w:rPr>
                <w:rFonts w:ascii="Arial" w:cs="Arial" w:eastAsia="Arial" w:hAnsi="Arial"/>
                <w:sz w:val="14"/>
                <w:szCs w:val="14"/>
                <w:color w:val="auto"/>
              </w:rPr>
              <w:t>Assets held for sale</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49,542</w:t>
            </w:r>
          </w:p>
        </w:tc>
      </w:tr>
      <w:tr>
        <w:trPr>
          <w:trHeight w:val="30"/>
        </w:trPr>
        <w:tc>
          <w:tcPr>
            <w:tcW w:w="2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59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32,197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41,543</w:t>
            </w:r>
          </w:p>
        </w:tc>
      </w:tr>
      <w:tr>
        <w:trPr>
          <w:trHeight w:val="191"/>
        </w:trPr>
        <w:tc>
          <w:tcPr>
            <w:tcW w:w="5960" w:type="dxa"/>
            <w:vAlign w:val="bottom"/>
            <w:gridSpan w:val="3"/>
          </w:tcPr>
          <w:p>
            <w:pPr>
              <w:ind w:left="620"/>
              <w:spacing w:after="0"/>
              <w:rPr>
                <w:sz w:val="20"/>
                <w:szCs w:val="20"/>
                <w:color w:val="auto"/>
              </w:rPr>
            </w:pPr>
            <w:r>
              <w:rPr>
                <w:rFonts w:ascii="Arial" w:cs="Arial" w:eastAsia="Arial" w:hAnsi="Arial"/>
                <w:sz w:val="14"/>
                <w:szCs w:val="14"/>
                <w:b w:val="1"/>
                <w:bCs w:val="1"/>
                <w:color w:val="auto"/>
              </w:rPr>
              <w:t>Total current assets</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408,582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463,842</w:t>
            </w:r>
          </w:p>
        </w:tc>
      </w:tr>
      <w:tr>
        <w:trPr>
          <w:trHeight w:val="30"/>
        </w:trPr>
        <w:tc>
          <w:tcPr>
            <w:tcW w:w="2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5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11"/>
        </w:trPr>
        <w:tc>
          <w:tcPr>
            <w:tcW w:w="5960" w:type="dxa"/>
            <w:vAlign w:val="bottom"/>
            <w:gridSpan w:val="3"/>
          </w:tcPr>
          <w:p>
            <w:pPr>
              <w:ind w:left="34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433,199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515,004</w:t>
            </w:r>
          </w:p>
        </w:tc>
      </w:tr>
      <w:tr>
        <w:trPr>
          <w:trHeight w:val="30"/>
        </w:trPr>
        <w:tc>
          <w:tcPr>
            <w:tcW w:w="2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59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Other intangible assets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68,888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91,014</w:t>
            </w:r>
          </w:p>
        </w:tc>
      </w:tr>
      <w:tr>
        <w:trPr>
          <w:trHeight w:val="211"/>
        </w:trPr>
        <w:tc>
          <w:tcPr>
            <w:tcW w:w="5960" w:type="dxa"/>
            <w:vAlign w:val="bottom"/>
            <w:gridSpan w:val="3"/>
          </w:tcPr>
          <w:p>
            <w:pPr>
              <w:ind w:left="34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22,310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27,320</w:t>
            </w:r>
          </w:p>
        </w:tc>
      </w:tr>
      <w:tr>
        <w:trPr>
          <w:trHeight w:val="30"/>
        </w:trPr>
        <w:tc>
          <w:tcPr>
            <w:tcW w:w="2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59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18,704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22,314</w:t>
            </w:r>
          </w:p>
        </w:tc>
      </w:tr>
      <w:tr>
        <w:trPr>
          <w:trHeight w:val="199"/>
        </w:trPr>
        <w:tc>
          <w:tcPr>
            <w:tcW w:w="59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2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59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Cost:</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11"/>
        </w:trPr>
        <w:tc>
          <w:tcPr>
            <w:tcW w:w="5960" w:type="dxa"/>
            <w:vAlign w:val="bottom"/>
            <w:gridSpan w:val="3"/>
          </w:tcPr>
          <w:p>
            <w:pPr>
              <w:ind w:left="620"/>
              <w:spacing w:after="0"/>
              <w:rPr>
                <w:sz w:val="20"/>
                <w:szCs w:val="20"/>
                <w:color w:val="auto"/>
              </w:rPr>
            </w:pPr>
            <w:r>
              <w:rPr>
                <w:rFonts w:ascii="Arial" w:cs="Arial" w:eastAsia="Arial" w:hAnsi="Arial"/>
                <w:sz w:val="14"/>
                <w:szCs w:val="14"/>
                <w:color w:val="auto"/>
              </w:rPr>
              <w:t>Land</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5,284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7,875</w:t>
            </w:r>
          </w:p>
        </w:tc>
      </w:tr>
      <w:tr>
        <w:trPr>
          <w:trHeight w:val="30"/>
        </w:trPr>
        <w:tc>
          <w:tcPr>
            <w:tcW w:w="2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596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Buildings and improvements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94,423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101,866</w:t>
            </w:r>
          </w:p>
        </w:tc>
      </w:tr>
      <w:tr>
        <w:trPr>
          <w:trHeight w:val="211"/>
        </w:trPr>
        <w:tc>
          <w:tcPr>
            <w:tcW w:w="5960" w:type="dxa"/>
            <w:vAlign w:val="bottom"/>
            <w:gridSpan w:val="3"/>
          </w:tcPr>
          <w:p>
            <w:pPr>
              <w:ind w:left="620"/>
              <w:spacing w:after="0"/>
              <w:rPr>
                <w:sz w:val="20"/>
                <w:szCs w:val="20"/>
                <w:color w:val="auto"/>
              </w:rPr>
            </w:pPr>
            <w:r>
              <w:rPr>
                <w:rFonts w:ascii="Arial" w:cs="Arial" w:eastAsia="Arial" w:hAnsi="Arial"/>
                <w:sz w:val="14"/>
                <w:szCs w:val="14"/>
                <w:color w:val="auto"/>
              </w:rPr>
              <w:t>Machinery and equipment</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270,086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288,409</w:t>
            </w:r>
          </w:p>
        </w:tc>
      </w:tr>
      <w:tr>
        <w:trPr>
          <w:trHeight w:val="30"/>
        </w:trPr>
        <w:tc>
          <w:tcPr>
            <w:tcW w:w="2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596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Construction in progress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12,500</w:t>
            </w:r>
          </w:p>
        </w:tc>
      </w:tr>
      <w:tr>
        <w:trPr>
          <w:trHeight w:val="191"/>
        </w:trPr>
        <w:tc>
          <w:tcPr>
            <w:tcW w:w="2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371,957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410,650</w:t>
            </w:r>
          </w:p>
        </w:tc>
      </w:tr>
      <w:tr>
        <w:trPr>
          <w:trHeight w:val="30"/>
        </w:trPr>
        <w:tc>
          <w:tcPr>
            <w:tcW w:w="2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59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Less accumulated depreciation</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260,743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276,479</w:t>
            </w:r>
          </w:p>
        </w:tc>
      </w:tr>
      <w:tr>
        <w:trPr>
          <w:trHeight w:val="191"/>
        </w:trPr>
        <w:tc>
          <w:tcPr>
            <w:tcW w:w="5960" w:type="dxa"/>
            <w:vAlign w:val="bottom"/>
            <w:gridSpan w:val="3"/>
          </w:tcPr>
          <w:p>
            <w:pPr>
              <w:ind w:left="620"/>
              <w:spacing w:after="0"/>
              <w:rPr>
                <w:sz w:val="20"/>
                <w:szCs w:val="20"/>
                <w:color w:val="auto"/>
              </w:rPr>
            </w:pPr>
            <w:r>
              <w:rPr>
                <w:rFonts w:ascii="Arial" w:cs="Arial" w:eastAsia="Arial" w:hAnsi="Arial"/>
                <w:sz w:val="14"/>
                <w:szCs w:val="14"/>
                <w:b w:val="1"/>
                <w:bCs w:val="1"/>
                <w:color w:val="auto"/>
              </w:rPr>
              <w:t>Property, plant and equipment—net</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111,214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134,171</w:t>
            </w:r>
          </w:p>
        </w:tc>
      </w:tr>
      <w:tr>
        <w:trPr>
          <w:trHeight w:val="30"/>
        </w:trPr>
        <w:tc>
          <w:tcPr>
            <w:tcW w:w="27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6"/>
        </w:trPr>
        <w:tc>
          <w:tcPr>
            <w:tcW w:w="5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1,062,897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1,253,665</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ind w:left="1200"/>
        <w:spacing w:after="0"/>
        <w:rPr>
          <w:sz w:val="20"/>
          <w:szCs w:val="20"/>
          <w:color w:val="auto"/>
        </w:rPr>
      </w:pPr>
      <w:r>
        <w:rPr>
          <w:rFonts w:ascii="Arial" w:cs="Arial" w:eastAsia="Arial" w:hAnsi="Arial"/>
          <w:sz w:val="14"/>
          <w:szCs w:val="14"/>
          <w:b w:val="1"/>
          <w:bCs w:val="1"/>
          <w:u w:val="single" w:color="auto"/>
          <w:color w:val="auto"/>
        </w:rPr>
        <w:t>LIABILITIES AND STOCKHOLDERS’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50800</wp:posOffset>
            </wp:positionV>
            <wp:extent cx="5453380" cy="153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Current liabilities:</w:t>
      </w:r>
    </w:p>
    <w:p>
      <w:pPr>
        <w:sectPr>
          <w:pgSz w:w="11900" w:h="16838" w:orient="portrait"/>
          <w:cols w:equalWidth="0" w:num="1">
            <w:col w:w="10219"/>
          </w:cols>
          <w:pgMar w:left="240" w:top="537" w:right="1440" w:bottom="1440" w:gutter="0" w:footer="0" w:header="0"/>
        </w:sectPr>
      </w:pPr>
    </w:p>
    <w:p>
      <w:pPr>
        <w:spacing w:after="0" w:line="84" w:lineRule="exact"/>
        <w:rPr>
          <w:sz w:val="20"/>
          <w:szCs w:val="20"/>
          <w:color w:val="auto"/>
        </w:rPr>
      </w:pPr>
    </w:p>
    <w:p>
      <w:pPr>
        <w:ind w:left="340"/>
        <w:spacing w:after="0"/>
        <w:tabs>
          <w:tab w:leader="none" w:pos="5960" w:val="left"/>
        </w:tabs>
        <w:rPr>
          <w:sz w:val="20"/>
          <w:szCs w:val="20"/>
          <w:color w:val="auto"/>
        </w:rPr>
      </w:pPr>
      <w:r>
        <w:rPr>
          <w:rFonts w:ascii="Arial" w:cs="Arial" w:eastAsia="Arial" w:hAnsi="Arial"/>
          <w:sz w:val="14"/>
          <w:szCs w:val="14"/>
          <w:color w:val="auto"/>
        </w:rPr>
        <w:t>Notes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payable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Wages and amounts withheld from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Liabilities held for sale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income taxes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maturities on long-term debt</w:t>
      </w:r>
    </w:p>
    <w:p>
      <w:pPr>
        <w:spacing w:after="0" w:line="7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Long-term obligations, less current maturities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liabilities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Stockholders’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Common Stock:</w:t>
      </w:r>
    </w:p>
    <w:p>
      <w:pPr>
        <w:spacing w:after="0" w:line="80" w:lineRule="exact"/>
        <w:rPr>
          <w:sz w:val="20"/>
          <w:szCs w:val="20"/>
          <w:color w:val="auto"/>
        </w:rPr>
      </w:pPr>
    </w:p>
    <w:p>
      <w:pPr>
        <w:ind w:left="620" w:right="180"/>
        <w:spacing w:after="0" w:line="302" w:lineRule="auto"/>
        <w:rPr>
          <w:sz w:val="20"/>
          <w:szCs w:val="20"/>
          <w:color w:val="auto"/>
        </w:rPr>
      </w:pPr>
      <w:r>
        <w:rPr>
          <w:rFonts w:ascii="Arial" w:cs="Arial" w:eastAsia="Arial" w:hAnsi="Arial"/>
          <w:sz w:val="14"/>
          <w:szCs w:val="14"/>
          <w:color w:val="auto"/>
        </w:rPr>
        <w:t>Class A nonvoting common stock—Issued 51,261,487 and 51,261,487 shares, respectively and outstanding 47,781,184 and 47,704,196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453380" cy="15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ind w:left="620"/>
        <w:spacing w:after="0"/>
        <w:rPr>
          <w:sz w:val="20"/>
          <w:szCs w:val="20"/>
          <w:color w:val="auto"/>
        </w:rPr>
      </w:pPr>
      <w:r>
        <w:rPr>
          <w:rFonts w:ascii="Arial" w:cs="Arial" w:eastAsia="Arial" w:hAnsi="Arial"/>
          <w:sz w:val="14"/>
          <w:szCs w:val="14"/>
          <w:color w:val="auto"/>
        </w:rPr>
        <w:t>Class B voting common stock—Issued and outstanding, 3,538,628 shares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Earnings retained in the business</w:t>
      </w:r>
    </w:p>
    <w:p>
      <w:pPr>
        <w:spacing w:after="0" w:line="80" w:lineRule="exact"/>
        <w:rPr>
          <w:sz w:val="20"/>
          <w:szCs w:val="20"/>
          <w:color w:val="auto"/>
        </w:rPr>
      </w:pPr>
    </w:p>
    <w:p>
      <w:pPr>
        <w:ind w:left="340" w:right="320"/>
        <w:spacing w:after="0" w:line="302" w:lineRule="auto"/>
        <w:rPr>
          <w:sz w:val="20"/>
          <w:szCs w:val="20"/>
          <w:color w:val="auto"/>
        </w:rPr>
      </w:pPr>
      <w:r>
        <w:rPr>
          <w:rFonts w:ascii="Arial" w:cs="Arial" w:eastAsia="Arial" w:hAnsi="Arial"/>
          <w:sz w:val="14"/>
          <w:szCs w:val="14"/>
          <w:color w:val="auto"/>
        </w:rPr>
        <w:t>Treasury stock—3,480,303 and 3,477,291 shares, respectively of Class A nonvoting common stock,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453380" cy="153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auto"/>
        </w:rPr>
        <w:t>Accumulated other comprehensive (loss) income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5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stockholders’ investment</w:t>
      </w:r>
    </w:p>
    <w:p>
      <w:pPr>
        <w:spacing w:after="0" w:line="80" w:lineRule="exact"/>
        <w:rPr>
          <w:sz w:val="20"/>
          <w:szCs w:val="20"/>
          <w:color w:val="auto"/>
        </w:rPr>
      </w:pPr>
    </w:p>
    <w:p>
      <w:pPr>
        <w:ind w:left="20"/>
        <w:spacing w:after="0"/>
        <w:tabs>
          <w:tab w:leader="none" w:pos="596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183"/>
        </w:trPr>
        <w:tc>
          <w:tcPr>
            <w:tcW w:w="480" w:type="dxa"/>
            <w:vAlign w:val="bottom"/>
          </w:tcPr>
          <w:p>
            <w:pPr>
              <w:jc w:val="right"/>
              <w:ind w:right="28"/>
              <w:spacing w:after="0"/>
              <w:rPr>
                <w:sz w:val="20"/>
                <w:szCs w:val="20"/>
                <w:color w:val="auto"/>
              </w:rPr>
            </w:pPr>
            <w:r>
              <w:rPr>
                <w:rFonts w:ascii="Arial" w:cs="Arial" w:eastAsia="Arial" w:hAnsi="Arial"/>
                <w:sz w:val="14"/>
                <w:szCs w:val="14"/>
                <w:color w:val="auto"/>
                <w:w w:val="83"/>
              </w:rPr>
              <w:t>10,411</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61,422</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w w:val="83"/>
              </w:rPr>
              <w:t>73,020</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88,099</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w w:val="83"/>
              </w:rPr>
              <w:t>30,282</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38,064</w:t>
            </w:r>
          </w:p>
        </w:tc>
      </w:tr>
    </w:tbl>
    <w:p>
      <w:pPr>
        <w:spacing w:after="0" w:line="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10,640</w:t>
      </w:r>
    </w:p>
    <w:p>
      <w:pPr>
        <w:spacing w:after="0" w:line="80"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7,250</w:t>
            </w:r>
          </w:p>
        </w:tc>
        <w:tc>
          <w:tcPr>
            <w:tcW w:w="1260" w:type="dxa"/>
            <w:vAlign w:val="bottom"/>
          </w:tcPr>
          <w:p>
            <w:pPr>
              <w:jc w:val="right"/>
              <w:spacing w:after="0"/>
              <w:rPr>
                <w:sz w:val="20"/>
                <w:szCs w:val="20"/>
                <w:color w:val="auto"/>
              </w:rPr>
            </w:pPr>
            <w:r>
              <w:rPr>
                <w:rFonts w:ascii="Arial" w:cs="Arial" w:eastAsia="Arial" w:hAnsi="Arial"/>
                <w:sz w:val="14"/>
                <w:szCs w:val="14"/>
                <w:color w:val="auto"/>
              </w:rPr>
              <w:t>7,994</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7,576</w:t>
            </w:r>
          </w:p>
        </w:tc>
        <w:tc>
          <w:tcPr>
            <w:tcW w:w="1260" w:type="dxa"/>
            <w:vAlign w:val="bottom"/>
          </w:tcPr>
          <w:p>
            <w:pPr>
              <w:jc w:val="right"/>
              <w:spacing w:after="0"/>
              <w:rPr>
                <w:sz w:val="20"/>
                <w:szCs w:val="20"/>
                <w:color w:val="auto"/>
              </w:rPr>
            </w:pPr>
            <w:r>
              <w:rPr>
                <w:rFonts w:ascii="Arial" w:cs="Arial" w:eastAsia="Arial" w:hAnsi="Arial"/>
                <w:sz w:val="14"/>
                <w:szCs w:val="14"/>
                <w:color w:val="auto"/>
              </w:rPr>
              <w:t>7,893</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38,194</w:t>
            </w:r>
          </w:p>
        </w:tc>
        <w:tc>
          <w:tcPr>
            <w:tcW w:w="1260" w:type="dxa"/>
            <w:vAlign w:val="bottom"/>
          </w:tcPr>
          <w:p>
            <w:pPr>
              <w:jc w:val="right"/>
              <w:spacing w:after="0"/>
              <w:rPr>
                <w:sz w:val="20"/>
                <w:szCs w:val="20"/>
                <w:color w:val="auto"/>
              </w:rPr>
            </w:pPr>
            <w:r>
              <w:rPr>
                <w:rFonts w:ascii="Arial" w:cs="Arial" w:eastAsia="Arial" w:hAnsi="Arial"/>
                <w:sz w:val="14"/>
                <w:szCs w:val="14"/>
                <w:color w:val="auto"/>
              </w:rPr>
              <w:t>35,319</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42,514</w:t>
            </w:r>
          </w:p>
        </w:tc>
        <w:tc>
          <w:tcPr>
            <w:tcW w:w="1260" w:type="dxa"/>
            <w:vAlign w:val="bottom"/>
          </w:tcPr>
          <w:p>
            <w:pPr>
              <w:jc w:val="right"/>
              <w:spacing w:after="0"/>
              <w:rPr>
                <w:sz w:val="20"/>
                <w:szCs w:val="20"/>
                <w:color w:val="auto"/>
              </w:rPr>
            </w:pPr>
            <w:r>
              <w:rPr>
                <w:rFonts w:ascii="Arial" w:cs="Arial" w:eastAsia="Arial" w:hAnsi="Arial"/>
                <w:sz w:val="14"/>
                <w:szCs w:val="14"/>
                <w:color w:val="auto"/>
              </w:rPr>
              <w:t>42,514</w:t>
            </w:r>
          </w:p>
        </w:tc>
      </w:tr>
      <w:tr>
        <w:trPr>
          <w:trHeight w:val="30"/>
        </w:trPr>
        <w:tc>
          <w:tcPr>
            <w:tcW w:w="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640" w:type="dxa"/>
            <w:vAlign w:val="bottom"/>
          </w:tcPr>
          <w:p>
            <w:pPr>
              <w:jc w:val="right"/>
              <w:ind w:right="108"/>
              <w:spacing w:after="0"/>
              <w:rPr>
                <w:sz w:val="20"/>
                <w:szCs w:val="20"/>
                <w:color w:val="auto"/>
              </w:rPr>
            </w:pPr>
            <w:r>
              <w:rPr>
                <w:rFonts w:ascii="Arial" w:cs="Arial" w:eastAsia="Arial" w:hAnsi="Arial"/>
                <w:sz w:val="14"/>
                <w:szCs w:val="14"/>
                <w:color w:val="auto"/>
                <w:w w:val="86"/>
              </w:rPr>
              <w:t>209,247</w:t>
            </w:r>
          </w:p>
        </w:tc>
        <w:tc>
          <w:tcPr>
            <w:tcW w:w="1260" w:type="dxa"/>
            <w:vAlign w:val="bottom"/>
          </w:tcPr>
          <w:p>
            <w:pPr>
              <w:jc w:val="right"/>
              <w:spacing w:after="0"/>
              <w:rPr>
                <w:sz w:val="20"/>
                <w:szCs w:val="20"/>
                <w:color w:val="auto"/>
              </w:rPr>
            </w:pPr>
            <w:r>
              <w:rPr>
                <w:rFonts w:ascii="Arial" w:cs="Arial" w:eastAsia="Arial" w:hAnsi="Arial"/>
                <w:sz w:val="14"/>
                <w:szCs w:val="14"/>
                <w:color w:val="auto"/>
              </w:rPr>
              <w:t>291,945</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w w:val="86"/>
              </w:rPr>
              <w:t>200,774</w:t>
            </w:r>
          </w:p>
        </w:tc>
        <w:tc>
          <w:tcPr>
            <w:tcW w:w="1260" w:type="dxa"/>
            <w:vAlign w:val="bottom"/>
          </w:tcPr>
          <w:p>
            <w:pPr>
              <w:jc w:val="right"/>
              <w:spacing w:after="0"/>
              <w:rPr>
                <w:sz w:val="20"/>
                <w:szCs w:val="20"/>
                <w:color w:val="auto"/>
              </w:rPr>
            </w:pPr>
            <w:r>
              <w:rPr>
                <w:rFonts w:ascii="Arial" w:cs="Arial" w:eastAsia="Arial" w:hAnsi="Arial"/>
                <w:sz w:val="14"/>
                <w:szCs w:val="14"/>
                <w:color w:val="auto"/>
              </w:rPr>
              <w:t>159,296</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65,188</w:t>
            </w:r>
          </w:p>
        </w:tc>
        <w:tc>
          <w:tcPr>
            <w:tcW w:w="1260" w:type="dxa"/>
            <w:vAlign w:val="bottom"/>
          </w:tcPr>
          <w:p>
            <w:pPr>
              <w:jc w:val="right"/>
              <w:spacing w:after="0"/>
              <w:rPr>
                <w:sz w:val="20"/>
                <w:szCs w:val="20"/>
                <w:color w:val="auto"/>
              </w:rPr>
            </w:pPr>
            <w:r>
              <w:rPr>
                <w:rFonts w:ascii="Arial" w:cs="Arial" w:eastAsia="Arial" w:hAnsi="Arial"/>
                <w:sz w:val="14"/>
                <w:szCs w:val="14"/>
                <w:color w:val="auto"/>
              </w:rPr>
              <w:t>69,348</w:t>
            </w:r>
          </w:p>
        </w:tc>
      </w:tr>
      <w:tr>
        <w:trPr>
          <w:trHeight w:val="30"/>
        </w:trPr>
        <w:tc>
          <w:tcPr>
            <w:tcW w:w="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640" w:type="dxa"/>
            <w:vAlign w:val="bottom"/>
          </w:tcPr>
          <w:p>
            <w:pPr>
              <w:jc w:val="right"/>
              <w:ind w:right="108"/>
              <w:spacing w:after="0"/>
              <w:rPr>
                <w:sz w:val="20"/>
                <w:szCs w:val="20"/>
                <w:color w:val="auto"/>
              </w:rPr>
            </w:pPr>
            <w:r>
              <w:rPr>
                <w:rFonts w:ascii="Arial" w:cs="Arial" w:eastAsia="Arial" w:hAnsi="Arial"/>
                <w:sz w:val="14"/>
                <w:szCs w:val="14"/>
                <w:color w:val="auto"/>
                <w:w w:val="86"/>
              </w:rPr>
              <w:t>475,209</w:t>
            </w:r>
          </w:p>
        </w:tc>
        <w:tc>
          <w:tcPr>
            <w:tcW w:w="1260" w:type="dxa"/>
            <w:vAlign w:val="bottom"/>
          </w:tcPr>
          <w:p>
            <w:pPr>
              <w:jc w:val="right"/>
              <w:spacing w:after="0"/>
              <w:rPr>
                <w:sz w:val="20"/>
                <w:szCs w:val="20"/>
                <w:color w:val="auto"/>
              </w:rPr>
            </w:pPr>
            <w:r>
              <w:rPr>
                <w:rFonts w:ascii="Arial" w:cs="Arial" w:eastAsia="Arial" w:hAnsi="Arial"/>
                <w:sz w:val="14"/>
                <w:szCs w:val="14"/>
                <w:color w:val="auto"/>
              </w:rPr>
              <w:t>520,589</w:t>
            </w:r>
          </w:p>
        </w:tc>
      </w:tr>
      <w:tr>
        <w:trPr>
          <w:trHeight w:val="893"/>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513</w:t>
            </w:r>
          </w:p>
        </w:tc>
        <w:tc>
          <w:tcPr>
            <w:tcW w:w="1260" w:type="dxa"/>
            <w:vAlign w:val="bottom"/>
          </w:tcPr>
          <w:p>
            <w:pPr>
              <w:jc w:val="right"/>
              <w:spacing w:after="0"/>
              <w:rPr>
                <w:sz w:val="20"/>
                <w:szCs w:val="20"/>
                <w:color w:val="auto"/>
              </w:rPr>
            </w:pPr>
            <w:r>
              <w:rPr>
                <w:rFonts w:ascii="Arial" w:cs="Arial" w:eastAsia="Arial" w:hAnsi="Arial"/>
                <w:sz w:val="14"/>
                <w:szCs w:val="14"/>
                <w:color w:val="auto"/>
              </w:rPr>
              <w:t>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-1159510</wp:posOffset>
            </wp:positionV>
            <wp:extent cx="8045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4545" cy="7620"/>
                    </a:xfrm>
                    <a:prstGeom prst="rect">
                      <a:avLst/>
                    </a:prstGeom>
                    <a:noFill/>
                  </pic:spPr>
                </pic:pic>
              </a:graphicData>
            </a:graphic>
          </wp:anchor>
        </w:drawing>
      </w:r>
    </w:p>
    <w:p>
      <w:pPr>
        <w:spacing w:after="0" w:line="38" w:lineRule="exact"/>
        <w:rPr>
          <w:sz w:val="20"/>
          <w:szCs w:val="20"/>
          <w:color w:val="auto"/>
        </w:rPr>
      </w:pPr>
    </w:p>
    <w:p>
      <w:pPr>
        <w:ind w:left="1780" w:hanging="1355"/>
        <w:spacing w:after="0"/>
        <w:tabs>
          <w:tab w:leader="none" w:pos="1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35</w:t>
      </w:r>
    </w:p>
    <w:p>
      <w:pPr>
        <w:spacing w:after="0" w:line="80"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4"/>
          <w:szCs w:val="14"/>
          <w:color w:val="auto"/>
        </w:rPr>
        <w:t>314,403</w:t>
      </w:r>
      <w:r>
        <w:rPr>
          <w:rFonts w:ascii="Arial" w:cs="Arial" w:eastAsia="Arial" w:hAnsi="Arial"/>
          <w:sz w:val="12"/>
          <w:szCs w:val="12"/>
          <w:color w:val="auto"/>
        </w:rPr>
        <w:t>311,811</w:t>
      </w:r>
    </w:p>
    <w:p>
      <w:pPr>
        <w:spacing w:after="0" w:line="80"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4"/>
          <w:szCs w:val="14"/>
          <w:color w:val="auto"/>
        </w:rPr>
        <w:t>414,069</w:t>
      </w:r>
      <w:r>
        <w:rPr>
          <w:rFonts w:ascii="Arial" w:cs="Arial" w:eastAsia="Arial" w:hAnsi="Arial"/>
          <w:sz w:val="13"/>
          <w:szCs w:val="13"/>
          <w:color w:val="auto"/>
        </w:rPr>
        <w:t>452,057</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(93,234)</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(93,337)</w:t>
            </w:r>
          </w:p>
        </w:tc>
      </w:tr>
      <w:tr>
        <w:trPr>
          <w:trHeight w:val="241"/>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(45,034)</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64,156</w:t>
            </w:r>
          </w:p>
        </w:tc>
      </w:tr>
      <w:tr>
        <w:trPr>
          <w:trHeight w:val="241"/>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(3,064)</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(2,159)</w:t>
            </w:r>
          </w:p>
        </w:tc>
      </w:tr>
      <w:tr>
        <w:trPr>
          <w:trHeight w:val="30"/>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1"/>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587,688</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733,076</w:t>
            </w:r>
          </w:p>
        </w:tc>
      </w:tr>
      <w:tr>
        <w:trPr>
          <w:trHeight w:val="30"/>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1"/>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86"/>
              </w:rPr>
              <w:t>1,062,897</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1,253,665</w:t>
            </w:r>
          </w:p>
        </w:tc>
      </w:tr>
      <w:tr>
        <w:trPr>
          <w:trHeight w:val="30"/>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-22225</wp:posOffset>
            </wp:positionV>
            <wp:extent cx="80454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4545" cy="762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-6985</wp:posOffset>
            </wp:positionV>
            <wp:extent cx="80454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4545" cy="762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-175260</wp:posOffset>
            </wp:positionV>
            <wp:extent cx="80454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4545" cy="7620"/>
                    </a:xfrm>
                    <a:prstGeom prst="rect">
                      <a:avLst/>
                    </a:prstGeom>
                    <a:noFill/>
                  </pic:spPr>
                </pic:pic>
              </a:graphicData>
            </a:graphic>
          </wp:anchor>
        </w:drawing>
      </w:r>
    </w:p>
    <w:p>
      <w:pPr>
        <w:sectPr>
          <w:pgSz w:w="11900" w:h="16838" w:orient="portrait"/>
          <w:cols w:equalWidth="0" w:num="2">
            <w:col w:w="6060" w:space="520"/>
            <w:col w:w="3639"/>
          </w:cols>
          <w:pgMar w:left="240" w:top="537"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4"/>
          </w:tcPr>
          <w:p>
            <w:pPr>
              <w:jc w:val="right"/>
              <w:ind w:right="148"/>
              <w:spacing w:after="0"/>
              <w:rPr>
                <w:sz w:val="20"/>
                <w:szCs w:val="20"/>
                <w:color w:val="auto"/>
              </w:rPr>
            </w:pPr>
            <w:r>
              <w:rPr>
                <w:rFonts w:ascii="Arial" w:cs="Arial" w:eastAsia="Arial" w:hAnsi="Arial"/>
                <w:sz w:val="14"/>
                <w:szCs w:val="14"/>
                <w:color w:val="auto"/>
                <w:w w:val="96"/>
              </w:rPr>
              <w:t>Twelve months ended July 31,</w:t>
            </w:r>
          </w:p>
        </w:tc>
      </w:tr>
      <w:tr>
        <w:trPr>
          <w:trHeight w:val="30"/>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6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2014</w:t>
            </w:r>
          </w:p>
        </w:tc>
      </w:tr>
      <w:tr>
        <w:trPr>
          <w:trHeight w:val="30"/>
        </w:trPr>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Net earnings (loss)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2,987</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(45,968)</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Adjustments to reconcile net earnings (loss) to net cash provided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39,458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44,598</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Non-cash portion of restructuring charges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4,164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566</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Non-cash portion of stock-based compensation expense</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4,471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5,214</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Impairment charges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46,867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148,551</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Loss on sale of business, net</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1,238</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Deferred income taxes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(27,516)</w:t>
            </w:r>
          </w:p>
        </w:tc>
      </w:tr>
      <w:tr>
        <w:trPr>
          <w:trHeight w:val="199"/>
        </w:trPr>
        <w:tc>
          <w:tcPr>
            <w:tcW w:w="6440" w:type="dxa"/>
            <w:vAlign w:val="bottom"/>
          </w:tcPr>
          <w:p>
            <w:pPr>
              <w:ind w:left="340"/>
              <w:spacing w:after="0"/>
              <w:rPr>
                <w:sz w:val="20"/>
                <w:szCs w:val="20"/>
                <w:color w:val="auto"/>
              </w:rPr>
            </w:pPr>
            <w:r>
              <w:rPr>
                <w:rFonts w:ascii="Arial" w:cs="Arial" w:eastAsia="Arial" w:hAnsi="Arial"/>
                <w:sz w:val="14"/>
                <w:szCs w:val="14"/>
                <w:color w:val="auto"/>
              </w:rPr>
              <w:t>Changes in operating assets and liabilities (net of effects of business acquisitions/divestitures):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2"/>
        </w:trPr>
        <w:tc>
          <w:tcPr>
            <w:tcW w:w="6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1"/>
        </w:trPr>
        <w:tc>
          <w:tcPr>
            <w:tcW w:w="6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Accounts receivable</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1,317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(3,600)</w:t>
            </w:r>
          </w:p>
        </w:tc>
      </w:tr>
      <w:tr>
        <w:trPr>
          <w:trHeight w:val="211"/>
        </w:trPr>
        <w:tc>
          <w:tcPr>
            <w:tcW w:w="6440" w:type="dxa"/>
            <w:vAlign w:val="bottom"/>
          </w:tcPr>
          <w:p>
            <w:pPr>
              <w:ind w:left="1000"/>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(12,608)</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9,188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w:t>
            </w:r>
          </w:p>
        </w:tc>
      </w:tr>
      <w:tr>
        <w:trPr>
          <w:trHeight w:val="211"/>
        </w:trPr>
        <w:tc>
          <w:tcPr>
            <w:tcW w:w="6440" w:type="dxa"/>
            <w:vAlign w:val="bottom"/>
          </w:tcPr>
          <w:p>
            <w:pPr>
              <w:ind w:left="1000"/>
              <w:spacing w:after="0"/>
              <w:rPr>
                <w:sz w:val="20"/>
                <w:szCs w:val="20"/>
                <w:color w:val="auto"/>
              </w:rPr>
            </w:pPr>
            <w:r>
              <w:rPr>
                <w:rFonts w:ascii="Arial" w:cs="Arial" w:eastAsia="Arial" w:hAnsi="Arial"/>
                <w:sz w:val="14"/>
                <w:szCs w:val="14"/>
                <w:color w:val="auto"/>
              </w:rPr>
              <w:t>Accounts payable and accrued liabilities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(20,508)</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982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3,731</w:t>
            </w:r>
          </w:p>
        </w:tc>
      </w:tr>
      <w:tr>
        <w:trPr>
          <w:trHeight w:val="191"/>
        </w:trPr>
        <w:tc>
          <w:tcPr>
            <w:tcW w:w="6440" w:type="dxa"/>
            <w:vAlign w:val="bottom"/>
          </w:tcPr>
          <w:p>
            <w:pPr>
              <w:ind w:left="140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93,348</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93,420</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199"/>
        </w:trPr>
        <w:tc>
          <w:tcPr>
            <w:tcW w:w="644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2"/>
        </w:trPr>
        <w:tc>
          <w:tcPr>
            <w:tcW w:w="6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Purchases of property, plant and equipment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(26,673)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(43,398)</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Sale of business, net of cash retained</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6,111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54,242</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6,197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(637)</w:t>
            </w:r>
          </w:p>
        </w:tc>
      </w:tr>
      <w:tr>
        <w:trPr>
          <w:trHeight w:val="191"/>
        </w:trPr>
        <w:tc>
          <w:tcPr>
            <w:tcW w:w="6440" w:type="dxa"/>
            <w:vAlign w:val="bottom"/>
          </w:tcPr>
          <w:p>
            <w:pPr>
              <w:ind w:left="1400"/>
              <w:spacing w:after="0"/>
              <w:rPr>
                <w:sz w:val="20"/>
                <w:szCs w:val="20"/>
                <w:color w:val="auto"/>
              </w:rPr>
            </w:pPr>
            <w:r>
              <w:rPr>
                <w:rFonts w:ascii="Arial" w:cs="Arial" w:eastAsia="Arial" w:hAnsi="Arial"/>
                <w:sz w:val="14"/>
                <w:szCs w:val="14"/>
                <w:color w:val="auto"/>
              </w:rPr>
              <w:t>Net cash (used in) provided by investing activities</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(14,365)</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10,207</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199"/>
        </w:trPr>
        <w:tc>
          <w:tcPr>
            <w:tcW w:w="644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2"/>
        </w:trPr>
        <w:tc>
          <w:tcPr>
            <w:tcW w:w="6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Payment of dividends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(40,976)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(40,487)</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Proceeds from issuance of common stock</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12,113</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Purchase of treasury stock</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(30,581)</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Proceeds from borrowing on credit facilities</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83,382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73,334</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Repayment of borrowing on credit facilities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(32,314)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(62,398)</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Principal payments on debt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(42,514)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(61,264)</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Income tax on equity-based compensation, and other</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(6,104)</w:t>
            </w:r>
          </w:p>
        </w:tc>
      </w:tr>
      <w:tr>
        <w:trPr>
          <w:trHeight w:val="191"/>
        </w:trPr>
        <w:tc>
          <w:tcPr>
            <w:tcW w:w="6440" w:type="dxa"/>
            <w:vAlign w:val="bottom"/>
          </w:tcPr>
          <w:p>
            <w:pPr>
              <w:ind w:left="1400"/>
              <w:spacing w:after="0"/>
              <w:rPr>
                <w:sz w:val="20"/>
                <w:szCs w:val="20"/>
                <w:color w:val="auto"/>
              </w:rPr>
            </w:pPr>
            <w:r>
              <w:rPr>
                <w:rFonts w:ascii="Arial" w:cs="Arial" w:eastAsia="Arial" w:hAnsi="Arial"/>
                <w:sz w:val="14"/>
                <w:szCs w:val="14"/>
                <w:color w:val="auto"/>
              </w:rPr>
              <w:t>Net cash used in financing activities</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(32,152)</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(115,387)</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(14,173)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2,536</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32,658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(9,224)</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81,834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91,058</w:t>
            </w:r>
          </w:p>
        </w:tc>
      </w:tr>
      <w:tr>
        <w:trPr>
          <w:trHeight w:val="245"/>
        </w:trPr>
        <w:tc>
          <w:tcPr>
            <w:tcW w:w="64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34"/>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114,492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81,834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5514975" cy="153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ectPr>
          <w:pgSz w:w="11900" w:h="16838" w:orient="portrait"/>
          <w:cols w:equalWidth="0" w:num="1">
            <w:col w:w="10219"/>
          </w:cols>
          <w:pgMar w:left="240" w:top="537" w:right="1440" w:bottom="1440" w:gutter="0" w:footer="0" w:header="0"/>
        </w:sect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Supplemental disclosures of cash flow information:</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paid during the period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Interest</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Income taxes, net of refunds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560" w:val="left"/>
          <w:tab w:leader="none" w:pos="1160" w:val="left"/>
          <w:tab w:leader="none" w:pos="17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11,164</w:t>
        <w:tab/>
        <w:t>$</w:t>
      </w:r>
      <w:r>
        <w:rPr>
          <w:sz w:val="20"/>
          <w:szCs w:val="20"/>
          <w:color w:val="auto"/>
        </w:rPr>
        <w:tab/>
      </w:r>
      <w:r>
        <w:rPr>
          <w:rFonts w:ascii="Arial" w:cs="Arial" w:eastAsia="Arial" w:hAnsi="Arial"/>
          <w:sz w:val="12"/>
          <w:szCs w:val="12"/>
          <w:color w:val="auto"/>
        </w:rPr>
        <w:t>14,594</w:t>
      </w:r>
    </w:p>
    <w:p>
      <w:pPr>
        <w:spacing w:after="0" w:line="80" w:lineRule="exact"/>
        <w:rPr>
          <w:sz w:val="20"/>
          <w:szCs w:val="20"/>
          <w:color w:val="auto"/>
        </w:rPr>
      </w:pPr>
    </w:p>
    <w:p>
      <w:pPr>
        <w:jc w:val="both"/>
        <w:ind w:left="580"/>
        <w:spacing w:after="0"/>
        <w:tabs>
          <w:tab w:leader="none" w:pos="1740" w:val="left"/>
        </w:tabs>
        <w:rPr>
          <w:sz w:val="20"/>
          <w:szCs w:val="20"/>
          <w:color w:val="auto"/>
        </w:rPr>
      </w:pPr>
      <w:r>
        <w:rPr>
          <w:rFonts w:ascii="Arial" w:cs="Arial" w:eastAsia="Arial" w:hAnsi="Arial"/>
          <w:sz w:val="14"/>
          <w:szCs w:val="14"/>
          <w:color w:val="auto"/>
        </w:rPr>
        <w:t>25,024</w:t>
      </w:r>
      <w:r>
        <w:rPr>
          <w:sz w:val="20"/>
          <w:szCs w:val="20"/>
          <w:color w:val="auto"/>
        </w:rPr>
        <w:tab/>
      </w:r>
      <w:r>
        <w:rPr>
          <w:rFonts w:ascii="Arial" w:cs="Arial" w:eastAsia="Arial" w:hAnsi="Arial"/>
          <w:sz w:val="14"/>
          <w:szCs w:val="14"/>
          <w:color w:val="auto"/>
        </w:rPr>
        <w:t>33,043</w:t>
      </w:r>
    </w:p>
    <w:p>
      <w:pPr>
        <w:sectPr>
          <w:pgSz w:w="11900" w:h="16838" w:orient="portrait"/>
          <w:cols w:equalWidth="0" w:num="2">
            <w:col w:w="5740" w:space="720"/>
            <w:col w:w="3759"/>
          </w:cols>
          <w:pgMar w:left="240" w:top="537"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7"/>
          </w:tcPr>
          <w:p>
            <w:pPr>
              <w:ind w:left="140"/>
              <w:spacing w:after="0"/>
              <w:rPr>
                <w:sz w:val="20"/>
                <w:szCs w:val="20"/>
                <w:color w:val="auto"/>
              </w:rPr>
            </w:pPr>
            <w:r>
              <w:rPr>
                <w:rFonts w:ascii="Arial" w:cs="Arial" w:eastAsia="Arial" w:hAnsi="Arial"/>
                <w:sz w:val="14"/>
                <w:szCs w:val="14"/>
                <w:color w:val="auto"/>
              </w:rPr>
              <w:t>Three months ended July 31,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4"/>
          </w:tcPr>
          <w:p>
            <w:pPr>
              <w:jc w:val="right"/>
              <w:ind w:right="228"/>
              <w:spacing w:after="0"/>
              <w:rPr>
                <w:sz w:val="20"/>
                <w:szCs w:val="20"/>
                <w:color w:val="auto"/>
              </w:rPr>
            </w:pPr>
            <w:r>
              <w:rPr>
                <w:rFonts w:ascii="Arial" w:cs="Arial" w:eastAsia="Arial" w:hAnsi="Arial"/>
                <w:sz w:val="14"/>
                <w:szCs w:val="14"/>
                <w:color w:val="auto"/>
                <w:w w:val="98"/>
              </w:rPr>
              <w:t>Twelve months ended July 31,</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SALES TO EXTERNAL CUSTOMERS</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201,536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214,397</w:t>
            </w:r>
          </w:p>
        </w:tc>
        <w:tc>
          <w:tcPr>
            <w:tcW w:w="80" w:type="dxa"/>
            <w:vAlign w:val="bottom"/>
          </w:tcPr>
          <w:p>
            <w:pPr>
              <w:spacing w:after="0"/>
              <w:rPr>
                <w:sz w:val="18"/>
                <w:szCs w:val="18"/>
                <w:color w:val="auto"/>
              </w:rPr>
            </w:pPr>
          </w:p>
        </w:tc>
        <w:tc>
          <w:tcPr>
            <w:tcW w:w="2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806,484</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825,123</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87,100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102,336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365,247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399,911</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288,636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316,733</w:t>
            </w:r>
          </w:p>
        </w:tc>
        <w:tc>
          <w:tcPr>
            <w:tcW w:w="80" w:type="dxa"/>
            <w:vAlign w:val="bottom"/>
          </w:tcPr>
          <w:p>
            <w:pPr>
              <w:spacing w:after="0"/>
              <w:rPr>
                <w:sz w:val="16"/>
                <w:szCs w:val="16"/>
                <w:color w:val="auto"/>
              </w:rPr>
            </w:pPr>
          </w:p>
        </w:tc>
        <w:tc>
          <w:tcPr>
            <w:tcW w:w="22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1,171,731</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1,225,034</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SALES INFORMATION</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ID Solutions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7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Organic</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Currency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Acquisitions</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11.6 %</w:t>
            </w:r>
          </w:p>
        </w:tc>
        <w:tc>
          <w:tcPr>
            <w:tcW w:w="0" w:type="dxa"/>
            <w:vAlign w:val="bottom"/>
          </w:tcPr>
          <w:p>
            <w:pPr>
              <w:spacing w:after="0"/>
              <w:rPr>
                <w:sz w:val="1"/>
                <w:szCs w:val="1"/>
                <w:color w:val="auto"/>
              </w:rPr>
            </w:pPr>
          </w:p>
        </w:tc>
      </w:tr>
      <w:tr>
        <w:trPr>
          <w:trHeight w:val="70"/>
        </w:trPr>
        <w:tc>
          <w:tcPr>
            <w:tcW w:w="37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7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i w:val="1"/>
                <w:iCs w:val="1"/>
                <w:color w:val="auto"/>
              </w:rPr>
              <w:t>Workplace Safety</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Organic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Currency</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Acquisitions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i w:val="1"/>
                <w:iCs w:val="1"/>
                <w:color w:val="auto"/>
              </w:rPr>
              <w:t>Total Company</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Organic</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Currency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Acquisitions</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PROFIT</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29,040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43,334</w:t>
            </w:r>
          </w:p>
        </w:tc>
        <w:tc>
          <w:tcPr>
            <w:tcW w:w="80" w:type="dxa"/>
            <w:vAlign w:val="bottom"/>
          </w:tcPr>
          <w:p>
            <w:pPr>
              <w:spacing w:after="0"/>
              <w:rPr>
                <w:sz w:val="18"/>
                <w:szCs w:val="18"/>
                <w:color w:val="auto"/>
              </w:rPr>
            </w:pPr>
          </w:p>
        </w:tc>
        <w:tc>
          <w:tcPr>
            <w:tcW w:w="2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149,840</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176,129</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15,895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18,425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56,502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66,238</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44,935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61,759</w:t>
            </w:r>
          </w:p>
        </w:tc>
        <w:tc>
          <w:tcPr>
            <w:tcW w:w="80" w:type="dxa"/>
            <w:vAlign w:val="bottom"/>
          </w:tcPr>
          <w:p>
            <w:pPr>
              <w:spacing w:after="0"/>
              <w:rPr>
                <w:sz w:val="16"/>
                <w:szCs w:val="16"/>
                <w:color w:val="auto"/>
              </w:rPr>
            </w:pPr>
          </w:p>
        </w:tc>
        <w:tc>
          <w:tcPr>
            <w:tcW w:w="22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206,342</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242,367</w:t>
            </w:r>
          </w:p>
        </w:tc>
        <w:tc>
          <w:tcPr>
            <w:tcW w:w="0" w:type="dxa"/>
            <w:vAlign w:val="bottom"/>
          </w:tcPr>
          <w:p>
            <w:pPr>
              <w:spacing w:after="0"/>
              <w:rPr>
                <w:sz w:val="1"/>
                <w:szCs w:val="1"/>
                <w:color w:val="auto"/>
              </w:rPr>
            </w:pPr>
          </w:p>
        </w:tc>
      </w:tr>
      <w:tr>
        <w:trPr>
          <w:trHeight w:val="70"/>
        </w:trPr>
        <w:tc>
          <w:tcPr>
            <w:tcW w:w="37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7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SEGMENT PROFIT AS A PERCENT OF SALES</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21.3 %</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18.2 %</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17.6 %</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19.8 %</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7"/>
          </w:tcPr>
          <w:p>
            <w:pPr>
              <w:ind w:left="160"/>
              <w:spacing w:after="0"/>
              <w:rPr>
                <w:sz w:val="20"/>
                <w:szCs w:val="20"/>
                <w:color w:val="auto"/>
              </w:rPr>
            </w:pPr>
            <w:r>
              <w:rPr>
                <w:rFonts w:ascii="Arial" w:cs="Arial" w:eastAsia="Arial" w:hAnsi="Arial"/>
                <w:sz w:val="14"/>
                <w:szCs w:val="14"/>
                <w:color w:val="auto"/>
              </w:rPr>
              <w:t>Three months ended July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4"/>
          </w:tcPr>
          <w:p>
            <w:pPr>
              <w:jc w:val="right"/>
              <w:ind w:right="228"/>
              <w:spacing w:after="0"/>
              <w:rPr>
                <w:sz w:val="20"/>
                <w:szCs w:val="20"/>
                <w:color w:val="auto"/>
              </w:rPr>
            </w:pPr>
            <w:r>
              <w:rPr>
                <w:rFonts w:ascii="Arial" w:cs="Arial" w:eastAsia="Arial" w:hAnsi="Arial"/>
                <w:sz w:val="14"/>
                <w:szCs w:val="14"/>
                <w:color w:val="auto"/>
                <w:w w:val="98"/>
              </w:rPr>
              <w:t>Twelve months ended July 31,</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segment profit</w:t>
            </w: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44,935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61,759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206,342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242,367</w:t>
            </w:r>
          </w:p>
        </w:tc>
        <w:tc>
          <w:tcPr>
            <w:tcW w:w="0" w:type="dxa"/>
            <w:vAlign w:val="bottom"/>
          </w:tcPr>
          <w:p>
            <w:pPr>
              <w:spacing w:after="0"/>
              <w:rPr>
                <w:sz w:val="1"/>
                <w:szCs w:val="1"/>
                <w:color w:val="auto"/>
              </w:rPr>
            </w:pPr>
          </w:p>
        </w:tc>
      </w:tr>
      <w:tr>
        <w:trPr>
          <w:trHeight w:val="199"/>
        </w:trPr>
        <w:tc>
          <w:tcPr>
            <w:tcW w:w="3780" w:type="dxa"/>
            <w:vAlign w:val="bottom"/>
          </w:tcPr>
          <w:p>
            <w:pPr>
              <w:ind w:left="20"/>
              <w:spacing w:after="0"/>
              <w:rPr>
                <w:sz w:val="20"/>
                <w:szCs w:val="20"/>
                <w:color w:val="auto"/>
              </w:rPr>
            </w:pPr>
            <w:r>
              <w:rPr>
                <w:rFonts w:ascii="Arial" w:cs="Arial" w:eastAsia="Arial" w:hAnsi="Arial"/>
                <w:sz w:val="14"/>
                <w:szCs w:val="14"/>
                <w:color w:val="auto"/>
              </w:rPr>
              <w:t>Unallocated amounts: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7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Administrative costs</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(28,001)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(107,348)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(120,015)</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Restructuring charges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(16,821)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(15,012)</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Impairment charges</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(46,867)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(148,551)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(46,867)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(148,551)</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Investment and other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2,402</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Interest expense</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(14,300)</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(35,648)</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24,995</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(53,109)</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Amounts)</w:t>
      </w:r>
    </w:p>
    <w:p>
      <w:pPr>
        <w:spacing w:after="0" w:line="334" w:lineRule="exact"/>
        <w:rPr>
          <w:sz w:val="20"/>
          <w:szCs w:val="20"/>
          <w:color w:val="auto"/>
        </w:rPr>
      </w:pPr>
    </w:p>
    <w:p>
      <w:pPr>
        <w:ind w:left="100" w:right="1699"/>
        <w:spacing w:after="0" w:line="302" w:lineRule="auto"/>
        <w:rPr>
          <w:sz w:val="20"/>
          <w:szCs w:val="20"/>
          <w:color w:val="auto"/>
        </w:rPr>
      </w:pPr>
      <w:r>
        <w:rPr>
          <w:rFonts w:ascii="Arial" w:cs="Arial" w:eastAsia="Arial" w:hAnsi="Arial"/>
          <w:sz w:val="14"/>
          <w:szCs w:val="14"/>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Earnings from Continuing Operations Before Income Taxes Excluding Certain Items:</w:t>
      </w:r>
    </w:p>
    <w:p>
      <w:pPr>
        <w:spacing w:after="0" w:line="72" w:lineRule="exact"/>
        <w:rPr>
          <w:sz w:val="20"/>
          <w:szCs w:val="20"/>
          <w:color w:val="auto"/>
        </w:rPr>
      </w:pPr>
    </w:p>
    <w:p>
      <w:pPr>
        <w:jc w:val="both"/>
        <w:ind w:left="60" w:right="1559"/>
        <w:spacing w:after="0" w:line="276" w:lineRule="auto"/>
        <w:rPr>
          <w:sz w:val="20"/>
          <w:szCs w:val="20"/>
          <w:color w:val="auto"/>
        </w:rPr>
      </w:pPr>
      <w:r>
        <w:rPr>
          <w:rFonts w:ascii="Arial" w:cs="Arial" w:eastAsia="Arial" w:hAnsi="Arial"/>
          <w:sz w:val="14"/>
          <w:szCs w:val="14"/>
          <w:color w:val="auto"/>
        </w:rPr>
        <w:t>Brady is presenting the Non-GAAP measure "Earnings from Continuing Operations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profit measure provides an important perspective of underlying business trends and results and provides a more comparable measure from year to year. The table below provides a reconciliation of (Loss) Earnings from Continuing Operations Before Income Taxes to Earnings from Continuing Operations Before Income Taxes Excluding Certain Items:</w:t>
      </w: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5"/>
          </w:tcPr>
          <w:p>
            <w:pPr>
              <w:ind w:left="100"/>
              <w:spacing w:after="0"/>
              <w:rPr>
                <w:sz w:val="20"/>
                <w:szCs w:val="20"/>
                <w:color w:val="auto"/>
              </w:rPr>
            </w:pPr>
            <w:r>
              <w:rPr>
                <w:rFonts w:ascii="Arial" w:cs="Arial" w:eastAsia="Arial" w:hAnsi="Arial"/>
                <w:sz w:val="14"/>
                <w:szCs w:val="14"/>
                <w:color w:val="auto"/>
              </w:rPr>
              <w:t>Three months ended July 31,</w:t>
            </w:r>
          </w:p>
        </w:tc>
        <w:tc>
          <w:tcPr>
            <w:tcW w:w="160" w:type="dxa"/>
            <w:vAlign w:val="bottom"/>
          </w:tcPr>
          <w:p>
            <w:pPr>
              <w:spacing w:after="0"/>
              <w:rPr>
                <w:sz w:val="15"/>
                <w:szCs w:val="15"/>
                <w:color w:val="auto"/>
              </w:rPr>
            </w:pPr>
          </w:p>
        </w:tc>
        <w:tc>
          <w:tcPr>
            <w:tcW w:w="2040" w:type="dxa"/>
            <w:vAlign w:val="bottom"/>
            <w:gridSpan w:val="4"/>
          </w:tcPr>
          <w:p>
            <w:pPr>
              <w:jc w:val="right"/>
              <w:ind w:right="128"/>
              <w:spacing w:after="0"/>
              <w:rPr>
                <w:sz w:val="20"/>
                <w:szCs w:val="20"/>
                <w:color w:val="auto"/>
              </w:rPr>
            </w:pPr>
            <w:r>
              <w:rPr>
                <w:rFonts w:ascii="Arial" w:cs="Arial" w:eastAsia="Arial" w:hAnsi="Arial"/>
                <w:sz w:val="14"/>
                <w:szCs w:val="14"/>
                <w:color w:val="auto"/>
                <w:w w:val="96"/>
              </w:rPr>
              <w:t>Twelve months ended July 31,</w:t>
            </w:r>
          </w:p>
        </w:tc>
        <w:tc>
          <w:tcPr>
            <w:tcW w:w="0" w:type="dxa"/>
            <w:vAlign w:val="bottom"/>
          </w:tcPr>
          <w:p>
            <w:pPr>
              <w:spacing w:after="0"/>
              <w:rPr>
                <w:sz w:val="1"/>
                <w:szCs w:val="1"/>
                <w:color w:val="auto"/>
              </w:rPr>
            </w:pPr>
          </w:p>
        </w:tc>
      </w:tr>
      <w:tr>
        <w:trPr>
          <w:trHeight w:val="30"/>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Earnings from Continuing Operations Before Income</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Taxes (GAAP Measure)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(35,648)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(119,021)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24,995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(53,109)</w:t>
            </w:r>
          </w:p>
        </w:tc>
        <w:tc>
          <w:tcPr>
            <w:tcW w:w="0" w:type="dxa"/>
            <w:vAlign w:val="bottom"/>
          </w:tcPr>
          <w:p>
            <w:pPr>
              <w:spacing w:after="0"/>
              <w:rPr>
                <w:sz w:val="1"/>
                <w:szCs w:val="1"/>
                <w:color w:val="auto"/>
              </w:rPr>
            </w:pPr>
          </w:p>
        </w:tc>
      </w:tr>
      <w:tr>
        <w:trPr>
          <w:trHeight w:val="211"/>
        </w:trPr>
        <w:tc>
          <w:tcPr>
            <w:tcW w:w="412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8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15,012</w:t>
            </w:r>
          </w:p>
        </w:tc>
        <w:tc>
          <w:tcPr>
            <w:tcW w:w="0" w:type="dxa"/>
            <w:vAlign w:val="bottom"/>
          </w:tcPr>
          <w:p>
            <w:pPr>
              <w:spacing w:after="0"/>
              <w:rPr>
                <w:sz w:val="1"/>
                <w:szCs w:val="1"/>
                <w:color w:val="auto"/>
              </w:rPr>
            </w:pPr>
          </w:p>
        </w:tc>
      </w:tr>
      <w:tr>
        <w:trPr>
          <w:trHeight w:val="30"/>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Impairment charges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46,867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148,551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46,867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148,551</w:t>
            </w:r>
          </w:p>
        </w:tc>
        <w:tc>
          <w:tcPr>
            <w:tcW w:w="0" w:type="dxa"/>
            <w:vAlign w:val="bottom"/>
          </w:tcPr>
          <w:p>
            <w:pPr>
              <w:spacing w:after="0"/>
              <w:rPr>
                <w:sz w:val="1"/>
                <w:szCs w:val="1"/>
                <w:color w:val="auto"/>
              </w:rPr>
            </w:pPr>
          </w:p>
        </w:tc>
      </w:tr>
      <w:tr>
        <w:trPr>
          <w:trHeight w:val="211"/>
        </w:trPr>
        <w:tc>
          <w:tcPr>
            <w:tcW w:w="4120" w:type="dxa"/>
            <w:vAlign w:val="bottom"/>
          </w:tcPr>
          <w:p>
            <w:pPr>
              <w:ind w:left="400"/>
              <w:spacing w:after="0"/>
              <w:rPr>
                <w:sz w:val="20"/>
                <w:szCs w:val="20"/>
                <w:color w:val="auto"/>
              </w:rPr>
            </w:pPr>
            <w:r>
              <w:rPr>
                <w:rFonts w:ascii="Arial" w:cs="Arial" w:eastAsia="Arial" w:hAnsi="Arial"/>
                <w:sz w:val="14"/>
                <w:szCs w:val="14"/>
                <w:color w:val="auto"/>
              </w:rPr>
              <w:t>Other non-routine charges</w:t>
            </w:r>
          </w:p>
        </w:tc>
        <w:tc>
          <w:tcPr>
            <w:tcW w:w="18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7,430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Postretirement benefit plan curtailment gain</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21,479</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30,340</w:t>
            </w: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91,817</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110,454</w:t>
            </w:r>
          </w:p>
        </w:tc>
        <w:tc>
          <w:tcPr>
            <w:tcW w:w="0" w:type="dxa"/>
            <w:vAlign w:val="bottom"/>
          </w:tcPr>
          <w:p>
            <w:pPr>
              <w:spacing w:after="0"/>
              <w:rPr>
                <w:sz w:val="1"/>
                <w:szCs w:val="1"/>
                <w:color w:val="auto"/>
              </w:rPr>
            </w:pPr>
          </w:p>
        </w:tc>
      </w:tr>
      <w:tr>
        <w:trPr>
          <w:trHeight w:val="202"/>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Excluding Certain Items (non-GAAP measure)</w:t>
            </w:r>
          </w:p>
        </w:tc>
        <w:tc>
          <w:tcPr>
            <w:tcW w:w="1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p>
      <w:pPr>
        <w:spacing w:after="0" w:line="72" w:lineRule="exact"/>
        <w:rPr>
          <w:sz w:val="20"/>
          <w:szCs w:val="20"/>
          <w:color w:val="auto"/>
        </w:rPr>
      </w:pPr>
    </w:p>
    <w:p>
      <w:pPr>
        <w:jc w:val="both"/>
        <w:ind w:left="20" w:right="1559"/>
        <w:spacing w:after="0" w:line="303" w:lineRule="auto"/>
        <w:rPr>
          <w:sz w:val="20"/>
          <w:szCs w:val="20"/>
          <w:color w:val="auto"/>
        </w:rPr>
      </w:pPr>
      <w:r>
        <w:rPr>
          <w:rFonts w:ascii="Arial" w:cs="Arial" w:eastAsia="Arial" w:hAnsi="Arial"/>
          <w:sz w:val="13"/>
          <w:szCs w:val="13"/>
          <w:color w:val="auto"/>
        </w:rPr>
        <w:t>Brady is presenting the Non-GAAP measure "Income Taxes on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on Continuing Operations to Income Taxes on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80" w:type="dxa"/>
            <w:vAlign w:val="bottom"/>
          </w:tcPr>
          <w:p>
            <w:pPr>
              <w:spacing w:after="0"/>
              <w:rPr>
                <w:sz w:val="15"/>
                <w:szCs w:val="15"/>
                <w:color w:val="auto"/>
              </w:rPr>
            </w:pPr>
          </w:p>
        </w:tc>
        <w:tc>
          <w:tcPr>
            <w:tcW w:w="2280" w:type="dxa"/>
            <w:vAlign w:val="bottom"/>
            <w:gridSpan w:val="6"/>
          </w:tcPr>
          <w:p>
            <w:pPr>
              <w:ind w:left="260"/>
              <w:spacing w:after="0"/>
              <w:rPr>
                <w:sz w:val="20"/>
                <w:szCs w:val="20"/>
                <w:color w:val="auto"/>
              </w:rPr>
            </w:pPr>
            <w:r>
              <w:rPr>
                <w:rFonts w:ascii="Arial" w:cs="Arial" w:eastAsia="Arial" w:hAnsi="Arial"/>
                <w:sz w:val="14"/>
                <w:szCs w:val="14"/>
                <w:color w:val="auto"/>
              </w:rPr>
              <w:t>Three months ended July 31,</w:t>
            </w:r>
          </w:p>
        </w:tc>
        <w:tc>
          <w:tcPr>
            <w:tcW w:w="120" w:type="dxa"/>
            <w:vAlign w:val="bottom"/>
          </w:tcPr>
          <w:p>
            <w:pPr>
              <w:spacing w:after="0"/>
              <w:rPr>
                <w:sz w:val="15"/>
                <w:szCs w:val="15"/>
                <w:color w:val="auto"/>
              </w:rPr>
            </w:pPr>
          </w:p>
        </w:tc>
        <w:tc>
          <w:tcPr>
            <w:tcW w:w="1900" w:type="dxa"/>
            <w:vAlign w:val="bottom"/>
            <w:gridSpan w:val="4"/>
          </w:tcPr>
          <w:p>
            <w:pPr>
              <w:jc w:val="right"/>
              <w:ind w:right="48"/>
              <w:spacing w:after="0"/>
              <w:rPr>
                <w:sz w:val="20"/>
                <w:szCs w:val="20"/>
                <w:color w:val="auto"/>
              </w:rPr>
            </w:pPr>
            <w:r>
              <w:rPr>
                <w:rFonts w:ascii="Arial" w:cs="Arial" w:eastAsia="Arial" w:hAnsi="Arial"/>
                <w:sz w:val="14"/>
                <w:szCs w:val="14"/>
                <w:color w:val="auto"/>
                <w:w w:val="93"/>
              </w:rPr>
              <w:t>Twelve months ended July 31,</w:t>
            </w:r>
          </w:p>
        </w:tc>
        <w:tc>
          <w:tcPr>
            <w:tcW w:w="0" w:type="dxa"/>
            <w:vAlign w:val="bottom"/>
          </w:tcPr>
          <w:p>
            <w:pPr>
              <w:spacing w:after="0"/>
              <w:rPr>
                <w:sz w:val="1"/>
                <w:szCs w:val="1"/>
                <w:color w:val="auto"/>
              </w:rPr>
            </w:pPr>
          </w:p>
        </w:tc>
      </w:tr>
      <w:tr>
        <w:trPr>
          <w:trHeight w:val="30"/>
        </w:trPr>
        <w:tc>
          <w:tcPr>
            <w:tcW w:w="43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2015</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43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(GAAP measure)</w:t>
            </w:r>
          </w:p>
        </w:tc>
        <w:tc>
          <w:tcPr>
            <w:tcW w:w="660" w:type="dxa"/>
            <w:vAlign w:val="bottom"/>
            <w:tcBorders>
              <w:bottom w:val="single" w:sz="8" w:color="CCEEFF"/>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3,746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(22,040)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20,093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(4,963)</w:t>
            </w:r>
          </w:p>
        </w:tc>
        <w:tc>
          <w:tcPr>
            <w:tcW w:w="0" w:type="dxa"/>
            <w:vAlign w:val="bottom"/>
          </w:tcPr>
          <w:p>
            <w:pPr>
              <w:spacing w:after="0"/>
              <w:rPr>
                <w:sz w:val="1"/>
                <w:szCs w:val="1"/>
                <w:color w:val="auto"/>
              </w:rPr>
            </w:pPr>
          </w:p>
        </w:tc>
      </w:tr>
      <w:tr>
        <w:trPr>
          <w:trHeight w:val="211"/>
        </w:trPr>
        <w:tc>
          <w:tcPr>
            <w:tcW w:w="438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5,078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4,751</w:t>
            </w:r>
          </w:p>
        </w:tc>
        <w:tc>
          <w:tcPr>
            <w:tcW w:w="0" w:type="dxa"/>
            <w:vAlign w:val="bottom"/>
          </w:tcPr>
          <w:p>
            <w:pPr>
              <w:spacing w:after="0"/>
              <w:rPr>
                <w:sz w:val="1"/>
                <w:szCs w:val="1"/>
                <w:color w:val="auto"/>
              </w:rPr>
            </w:pPr>
          </w:p>
        </w:tc>
      </w:tr>
      <w:tr>
        <w:trPr>
          <w:trHeight w:val="30"/>
        </w:trPr>
        <w:tc>
          <w:tcPr>
            <w:tcW w:w="4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Impairment charges</w:t>
            </w:r>
          </w:p>
        </w:tc>
        <w:tc>
          <w:tcPr>
            <w:tcW w:w="6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31,157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31,157</w:t>
            </w:r>
          </w:p>
        </w:tc>
        <w:tc>
          <w:tcPr>
            <w:tcW w:w="0" w:type="dxa"/>
            <w:vAlign w:val="bottom"/>
          </w:tcPr>
          <w:p>
            <w:pPr>
              <w:spacing w:after="0"/>
              <w:rPr>
                <w:sz w:val="1"/>
                <w:szCs w:val="1"/>
                <w:color w:val="auto"/>
              </w:rPr>
            </w:pPr>
          </w:p>
        </w:tc>
      </w:tr>
      <w:tr>
        <w:trPr>
          <w:trHeight w:val="211"/>
        </w:trPr>
        <w:tc>
          <w:tcPr>
            <w:tcW w:w="4380" w:type="dxa"/>
            <w:vAlign w:val="bottom"/>
          </w:tcPr>
          <w:p>
            <w:pPr>
              <w:ind w:left="400"/>
              <w:spacing w:after="0"/>
              <w:rPr>
                <w:sz w:val="20"/>
                <w:szCs w:val="20"/>
                <w:color w:val="auto"/>
              </w:rPr>
            </w:pPr>
            <w:r>
              <w:rPr>
                <w:rFonts w:ascii="Arial" w:cs="Arial" w:eastAsia="Arial" w:hAnsi="Arial"/>
                <w:sz w:val="14"/>
                <w:szCs w:val="14"/>
                <w:color w:val="auto"/>
              </w:rPr>
              <w:t>Other non-routine charges</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5"/>
              </w:rPr>
              <w:t>2,673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2,673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4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Postretirement benefit plan curtailment gain</w:t>
            </w:r>
          </w:p>
        </w:tc>
        <w:tc>
          <w:tcPr>
            <w:tcW w:w="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tc>
        <w:tc>
          <w:tcPr>
            <w:tcW w:w="660" w:type="dxa"/>
            <w:vAlign w:val="bottom"/>
            <w:tcBorders>
              <w:top w:val="single" w:sz="8" w:color="auto"/>
            </w:tcBorders>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5"/>
              </w:rPr>
              <w:t>7,091</w:t>
            </w:r>
          </w:p>
        </w:tc>
        <w:tc>
          <w:tcPr>
            <w:tcW w:w="80" w:type="dxa"/>
            <w:vAlign w:val="bottom"/>
          </w:tcPr>
          <w:p>
            <w:pPr>
              <w:spacing w:after="0"/>
              <w:rPr>
                <w:sz w:val="15"/>
                <w:szCs w:val="15"/>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9,347</w:t>
            </w:r>
          </w:p>
        </w:tc>
        <w:tc>
          <w:tcPr>
            <w:tcW w:w="8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26,340</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30,945</w:t>
            </w:r>
          </w:p>
        </w:tc>
        <w:tc>
          <w:tcPr>
            <w:tcW w:w="0" w:type="dxa"/>
            <w:vAlign w:val="bottom"/>
          </w:tcPr>
          <w:p>
            <w:pPr>
              <w:spacing w:after="0"/>
              <w:rPr>
                <w:sz w:val="1"/>
                <w:szCs w:val="1"/>
                <w:color w:val="auto"/>
              </w:rPr>
            </w:pPr>
          </w:p>
        </w:tc>
      </w:tr>
      <w:tr>
        <w:trPr>
          <w:trHeight w:val="202"/>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(non-GAAP measure)</w:t>
            </w:r>
          </w:p>
        </w:tc>
        <w:tc>
          <w:tcPr>
            <w:tcW w:w="6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Amounts)</w:t>
      </w:r>
    </w:p>
    <w:p>
      <w:pPr>
        <w:spacing w:after="0" w:line="31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Excluding Certain Items:</w:t>
      </w:r>
    </w:p>
    <w:p>
      <w:pPr>
        <w:spacing w:after="0" w:line="72" w:lineRule="exact"/>
        <w:rPr>
          <w:sz w:val="20"/>
          <w:szCs w:val="20"/>
          <w:color w:val="auto"/>
        </w:rPr>
      </w:pPr>
    </w:p>
    <w:p>
      <w:pPr>
        <w:jc w:val="both"/>
        <w:ind w:left="60" w:right="1579"/>
        <w:spacing w:after="0" w:line="303" w:lineRule="auto"/>
        <w:rPr>
          <w:sz w:val="20"/>
          <w:szCs w:val="20"/>
          <w:color w:val="auto"/>
        </w:rPr>
      </w:pPr>
      <w:r>
        <w:rPr>
          <w:rFonts w:ascii="Arial" w:cs="Arial" w:eastAsia="Arial" w:hAnsi="Arial"/>
          <w:sz w:val="13"/>
          <w:szCs w:val="13"/>
          <w:color w:val="auto"/>
        </w:rPr>
        <w:t>Brady is presenting the Non-GAAP measure "Net Earnings from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(Loss) Earnings from Continuing Operations to Net Earnings from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5"/>
          </w:tcPr>
          <w:p>
            <w:pPr>
              <w:ind w:left="80"/>
              <w:spacing w:after="0"/>
              <w:rPr>
                <w:sz w:val="20"/>
                <w:szCs w:val="20"/>
                <w:color w:val="auto"/>
              </w:rPr>
            </w:pPr>
            <w:r>
              <w:rPr>
                <w:rFonts w:ascii="Arial" w:cs="Arial" w:eastAsia="Arial" w:hAnsi="Arial"/>
                <w:sz w:val="14"/>
                <w:szCs w:val="14"/>
                <w:color w:val="auto"/>
              </w:rPr>
              <w:t>Three months ended July 31,</w:t>
            </w:r>
          </w:p>
        </w:tc>
        <w:tc>
          <w:tcPr>
            <w:tcW w:w="160" w:type="dxa"/>
            <w:vAlign w:val="bottom"/>
          </w:tcPr>
          <w:p>
            <w:pPr>
              <w:spacing w:after="0"/>
              <w:rPr>
                <w:sz w:val="15"/>
                <w:szCs w:val="15"/>
                <w:color w:val="auto"/>
              </w:rPr>
            </w:pPr>
          </w:p>
        </w:tc>
        <w:tc>
          <w:tcPr>
            <w:tcW w:w="2040" w:type="dxa"/>
            <w:vAlign w:val="bottom"/>
            <w:gridSpan w:val="4"/>
          </w:tcPr>
          <w:p>
            <w:pPr>
              <w:jc w:val="right"/>
              <w:ind w:right="128"/>
              <w:spacing w:after="0"/>
              <w:rPr>
                <w:sz w:val="20"/>
                <w:szCs w:val="20"/>
                <w:color w:val="auto"/>
              </w:rPr>
            </w:pPr>
            <w:r>
              <w:rPr>
                <w:rFonts w:ascii="Arial" w:cs="Arial" w:eastAsia="Arial" w:hAnsi="Arial"/>
                <w:sz w:val="14"/>
                <w:szCs w:val="14"/>
                <w:color w:val="auto"/>
                <w:w w:val="96"/>
              </w:rPr>
              <w:t>Twelve months ended July 31,</w:t>
            </w:r>
          </w:p>
        </w:tc>
        <w:tc>
          <w:tcPr>
            <w:tcW w:w="0" w:type="dxa"/>
            <w:vAlign w:val="bottom"/>
          </w:tcPr>
          <w:p>
            <w:pPr>
              <w:spacing w:after="0"/>
              <w:rPr>
                <w:sz w:val="1"/>
                <w:szCs w:val="1"/>
                <w:color w:val="auto"/>
              </w:rPr>
            </w:pPr>
          </w:p>
        </w:tc>
      </w:tr>
      <w:tr>
        <w:trPr>
          <w:trHeight w:val="30"/>
        </w:trPr>
        <w:tc>
          <w:tcPr>
            <w:tcW w:w="4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4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Earnings from Continuing Operations (GAAP</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measure)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(39,394)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(96,981)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4,902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(48,146)</w:t>
            </w:r>
          </w:p>
        </w:tc>
        <w:tc>
          <w:tcPr>
            <w:tcW w:w="0" w:type="dxa"/>
            <w:vAlign w:val="bottom"/>
          </w:tcPr>
          <w:p>
            <w:pPr>
              <w:spacing w:after="0"/>
              <w:rPr>
                <w:sz w:val="1"/>
                <w:szCs w:val="1"/>
                <w:color w:val="auto"/>
              </w:rPr>
            </w:pPr>
          </w:p>
        </w:tc>
      </w:tr>
      <w:tr>
        <w:trPr>
          <w:trHeight w:val="211"/>
        </w:trPr>
        <w:tc>
          <w:tcPr>
            <w:tcW w:w="410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11,743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10,261</w:t>
            </w:r>
          </w:p>
        </w:tc>
        <w:tc>
          <w:tcPr>
            <w:tcW w:w="0" w:type="dxa"/>
            <w:vAlign w:val="bottom"/>
          </w:tcPr>
          <w:p>
            <w:pPr>
              <w:spacing w:after="0"/>
              <w:rPr>
                <w:sz w:val="1"/>
                <w:szCs w:val="1"/>
                <w:color w:val="auto"/>
              </w:rPr>
            </w:pP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Impairment charges</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46,867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117,394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46,867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117,394</w:t>
            </w:r>
          </w:p>
        </w:tc>
        <w:tc>
          <w:tcPr>
            <w:tcW w:w="0" w:type="dxa"/>
            <w:vAlign w:val="bottom"/>
          </w:tcPr>
          <w:p>
            <w:pPr>
              <w:spacing w:after="0"/>
              <w:rPr>
                <w:sz w:val="1"/>
                <w:szCs w:val="1"/>
                <w:color w:val="auto"/>
              </w:rPr>
            </w:pPr>
          </w:p>
        </w:tc>
      </w:tr>
      <w:tr>
        <w:trPr>
          <w:trHeight w:val="211"/>
        </w:trPr>
        <w:tc>
          <w:tcPr>
            <w:tcW w:w="4100" w:type="dxa"/>
            <w:vAlign w:val="bottom"/>
          </w:tcPr>
          <w:p>
            <w:pPr>
              <w:ind w:left="400"/>
              <w:spacing w:after="0"/>
              <w:rPr>
                <w:sz w:val="20"/>
                <w:szCs w:val="20"/>
                <w:color w:val="auto"/>
              </w:rPr>
            </w:pPr>
            <w:r>
              <w:rPr>
                <w:rFonts w:ascii="Arial" w:cs="Arial" w:eastAsia="Arial" w:hAnsi="Arial"/>
                <w:sz w:val="14"/>
                <w:szCs w:val="14"/>
                <w:color w:val="auto"/>
              </w:rPr>
              <w:t>Other non-routine charges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Postretirement benefit plan curtailment gain</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Net Earnings from Continuing Operations Excluding Certain</w:t>
            </w: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14,388</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20,993</w:t>
            </w: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65,477</w:t>
            </w:r>
          </w:p>
        </w:tc>
        <w:tc>
          <w:tcPr>
            <w:tcW w:w="8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79,509</w:t>
            </w:r>
          </w:p>
        </w:tc>
        <w:tc>
          <w:tcPr>
            <w:tcW w:w="0" w:type="dxa"/>
            <w:vAlign w:val="bottom"/>
          </w:tcPr>
          <w:p>
            <w:pPr>
              <w:spacing w:after="0"/>
              <w:rPr>
                <w:sz w:val="1"/>
                <w:szCs w:val="1"/>
                <w:color w:val="auto"/>
              </w:rPr>
            </w:pPr>
          </w:p>
        </w:tc>
      </w:tr>
      <w:tr>
        <w:trPr>
          <w:trHeight w:val="202"/>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Items (non-GAAP measure)</w:t>
            </w:r>
          </w:p>
        </w:tc>
        <w:tc>
          <w:tcPr>
            <w:tcW w:w="2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 Nonvoting Common Share Excluding Certain Items:</w:t>
      </w:r>
    </w:p>
    <w:p>
      <w:pPr>
        <w:spacing w:after="0" w:line="72" w:lineRule="exact"/>
        <w:rPr>
          <w:sz w:val="20"/>
          <w:szCs w:val="20"/>
          <w:color w:val="auto"/>
        </w:rPr>
      </w:pPr>
    </w:p>
    <w:p>
      <w:pPr>
        <w:jc w:val="both"/>
        <w:ind w:left="20" w:right="1559"/>
        <w:spacing w:after="0" w:line="301" w:lineRule="auto"/>
        <w:rPr>
          <w:sz w:val="20"/>
          <w:szCs w:val="20"/>
          <w:color w:val="auto"/>
        </w:rPr>
      </w:pPr>
      <w:r>
        <w:rPr>
          <w:rFonts w:ascii="Arial" w:cs="Arial" w:eastAsia="Arial" w:hAnsi="Arial"/>
          <w:sz w:val="13"/>
          <w:szCs w:val="13"/>
          <w:color w:val="auto"/>
        </w:rPr>
        <w:t>Brady is presenting the Non-GAAP measure "Net Earnings from Continuing Operations Per Diluted Class A Nonvoting Common Share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(Loss) Earnings from Continuing Operations Per Diluted Class A Nonvoting Common Share to Net Earnings from Continuing Operations Per Diluted Class A Nonvoting Common Share Excluding Certain Items: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60" w:type="dxa"/>
            <w:vAlign w:val="bottom"/>
          </w:tcPr>
          <w:p>
            <w:pPr>
              <w:spacing w:after="0"/>
              <w:rPr>
                <w:sz w:val="15"/>
                <w:szCs w:val="15"/>
                <w:color w:val="auto"/>
              </w:rPr>
            </w:pPr>
          </w:p>
        </w:tc>
        <w:tc>
          <w:tcPr>
            <w:tcW w:w="2320" w:type="dxa"/>
            <w:vAlign w:val="bottom"/>
            <w:gridSpan w:val="6"/>
          </w:tcPr>
          <w:p>
            <w:pPr>
              <w:ind w:left="280"/>
              <w:spacing w:after="0"/>
              <w:rPr>
                <w:sz w:val="20"/>
                <w:szCs w:val="20"/>
                <w:color w:val="auto"/>
              </w:rPr>
            </w:pPr>
            <w:r>
              <w:rPr>
                <w:rFonts w:ascii="Arial" w:cs="Arial" w:eastAsia="Arial" w:hAnsi="Arial"/>
                <w:sz w:val="14"/>
                <w:szCs w:val="14"/>
                <w:color w:val="auto"/>
              </w:rPr>
              <w:t>Three months ended July 31,</w:t>
            </w:r>
          </w:p>
        </w:tc>
        <w:tc>
          <w:tcPr>
            <w:tcW w:w="160" w:type="dxa"/>
            <w:vAlign w:val="bottom"/>
          </w:tcPr>
          <w:p>
            <w:pPr>
              <w:spacing w:after="0"/>
              <w:rPr>
                <w:sz w:val="15"/>
                <w:szCs w:val="15"/>
                <w:color w:val="auto"/>
              </w:rPr>
            </w:pPr>
          </w:p>
        </w:tc>
        <w:tc>
          <w:tcPr>
            <w:tcW w:w="2060" w:type="dxa"/>
            <w:vAlign w:val="bottom"/>
            <w:gridSpan w:val="4"/>
          </w:tcPr>
          <w:p>
            <w:pPr>
              <w:jc w:val="right"/>
              <w:ind w:right="148"/>
              <w:spacing w:after="0"/>
              <w:rPr>
                <w:sz w:val="20"/>
                <w:szCs w:val="20"/>
                <w:color w:val="auto"/>
              </w:rPr>
            </w:pPr>
            <w:r>
              <w:rPr>
                <w:rFonts w:ascii="Arial" w:cs="Arial" w:eastAsia="Arial" w:hAnsi="Arial"/>
                <w:sz w:val="14"/>
                <w:szCs w:val="14"/>
                <w:color w:val="auto"/>
                <w:w w:val="96"/>
              </w:rPr>
              <w:t>Twelve months ended July 31,</w:t>
            </w: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2015</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Earnings from Continuing Operations Per Diluted</w:t>
            </w: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Class A Nonvoting Common Share (GAAP measure)</w:t>
            </w:r>
          </w:p>
        </w:tc>
        <w:tc>
          <w:tcPr>
            <w:tcW w:w="68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(0.77)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211"/>
        </w:trPr>
        <w:tc>
          <w:tcPr>
            <w:tcW w:w="4160" w:type="dxa"/>
            <w:vAlign w:val="bottom"/>
          </w:tcPr>
          <w:p>
            <w:pPr>
              <w:ind w:left="380"/>
              <w:spacing w:after="0"/>
              <w:rPr>
                <w:sz w:val="20"/>
                <w:szCs w:val="20"/>
                <w:color w:val="auto"/>
              </w:rPr>
            </w:pPr>
            <w:r>
              <w:rPr>
                <w:rFonts w:ascii="Arial" w:cs="Arial" w:eastAsia="Arial" w:hAnsi="Arial"/>
                <w:sz w:val="14"/>
                <w:szCs w:val="14"/>
                <w:color w:val="auto"/>
              </w:rPr>
              <w:t>Restructuring charges</w:t>
            </w:r>
          </w:p>
        </w:tc>
        <w:tc>
          <w:tcPr>
            <w:tcW w:w="68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Impairment charges</w:t>
            </w:r>
          </w:p>
        </w:tc>
        <w:tc>
          <w:tcPr>
            <w:tcW w:w="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0.91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0.91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11"/>
        </w:trPr>
        <w:tc>
          <w:tcPr>
            <w:tcW w:w="4160" w:type="dxa"/>
            <w:vAlign w:val="bottom"/>
          </w:tcPr>
          <w:p>
            <w:pPr>
              <w:ind w:left="380"/>
              <w:spacing w:after="0"/>
              <w:rPr>
                <w:sz w:val="20"/>
                <w:szCs w:val="20"/>
                <w:color w:val="auto"/>
              </w:rPr>
            </w:pPr>
            <w:r>
              <w:rPr>
                <w:rFonts w:ascii="Arial" w:cs="Arial" w:eastAsia="Arial" w:hAnsi="Arial"/>
                <w:sz w:val="14"/>
                <w:szCs w:val="14"/>
                <w:color w:val="auto"/>
              </w:rPr>
              <w:t>Other non-routine charges</w:t>
            </w:r>
          </w:p>
        </w:tc>
        <w:tc>
          <w:tcPr>
            <w:tcW w:w="68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Postretirement benefit plan curtailment gain</w:t>
            </w:r>
          </w:p>
        </w:tc>
        <w:tc>
          <w:tcPr>
            <w:tcW w:w="6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w:t>
            </w:r>
          </w:p>
        </w:tc>
        <w:tc>
          <w:tcPr>
            <w:tcW w:w="6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w w:val="98"/>
              </w:rPr>
              <w:t>Nonvoting Common Share Excluding Certain Items (non-GAAP</w:t>
            </w:r>
          </w:p>
        </w:tc>
        <w:tc>
          <w:tcPr>
            <w:tcW w:w="6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0.28</w:t>
            </w:r>
          </w:p>
        </w:tc>
        <w:tc>
          <w:tcPr>
            <w:tcW w:w="100" w:type="dxa"/>
            <w:vAlign w:val="bottom"/>
          </w:tcPr>
          <w:p>
            <w:pPr>
              <w:spacing w:after="0"/>
              <w:rPr>
                <w:sz w:val="15"/>
                <w:szCs w:val="15"/>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0.41</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15"/>
                <w:szCs w:val="15"/>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1.53</w:t>
            </w:r>
          </w:p>
        </w:tc>
        <w:tc>
          <w:tcPr>
            <w:tcW w:w="0" w:type="dxa"/>
            <w:vAlign w:val="bottom"/>
          </w:tcPr>
          <w:p>
            <w:pPr>
              <w:spacing w:after="0"/>
              <w:rPr>
                <w:sz w:val="1"/>
                <w:szCs w:val="1"/>
                <w:color w:val="auto"/>
              </w:rPr>
            </w:pPr>
          </w:p>
        </w:tc>
      </w:tr>
      <w:tr>
        <w:trPr>
          <w:trHeight w:val="202"/>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measure)</w:t>
            </w:r>
          </w:p>
        </w:tc>
        <w:tc>
          <w:tcPr>
            <w:tcW w:w="6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Ann Thornton (414) 438-6887</w:t>
      </w:r>
    </w:p>
    <w:p>
      <w:pPr>
        <w:spacing w:after="0"/>
        <w:rPr>
          <w:sz w:val="20"/>
          <w:szCs w:val="20"/>
          <w:color w:val="auto"/>
        </w:rPr>
      </w:pPr>
      <w:r>
        <w:rPr>
          <w:rFonts w:ascii="Arial" w:cs="Arial" w:eastAsia="Arial" w:hAnsi="Arial"/>
          <w:sz w:val="18"/>
          <w:szCs w:val="18"/>
          <w:color w:val="auto"/>
        </w:rPr>
        <w:t>Media Contact: Carole Herbstreit (414) 438-6882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increases dividend to shareholders for the 30th consecutive year</w:t>
      </w:r>
    </w:p>
    <w:p>
      <w:pPr>
        <w:spacing w:after="0" w:line="330" w:lineRule="exact"/>
        <w:rPr>
          <w:sz w:val="20"/>
          <w:szCs w:val="20"/>
          <w:color w:val="auto"/>
        </w:rPr>
      </w:pPr>
    </w:p>
    <w:p>
      <w:pPr>
        <w:jc w:val="both"/>
        <w:ind w:right="20"/>
        <w:spacing w:after="0" w:line="455" w:lineRule="auto"/>
        <w:rPr>
          <w:sz w:val="20"/>
          <w:szCs w:val="20"/>
          <w:color w:val="auto"/>
        </w:rPr>
      </w:pPr>
      <w:r>
        <w:rPr>
          <w:rFonts w:ascii="Arial" w:cs="Arial" w:eastAsia="Arial" w:hAnsi="Arial"/>
          <w:sz w:val="15"/>
          <w:szCs w:val="15"/>
          <w:color w:val="auto"/>
        </w:rPr>
        <w:t>MILWAUKEE (September 10, 2015)---Brady Corporation’s (NYSE: BRC) Board of Directors has announced an increase in its annual dividend to shareholders of the company’s Class A Common stock from $0.80 per share to $0.81 per share. A quarterly dividend of $0.2025 per share will be paid on October 30, 2015 to shareholders of record at the close of business on October 9, 2015. This dividend represents the 30th consecutive annual increase in dividends.</w:t>
      </w:r>
    </w:p>
    <w:p>
      <w:pPr>
        <w:spacing w:after="0" w:line="225" w:lineRule="exact"/>
        <w:rPr>
          <w:sz w:val="20"/>
          <w:szCs w:val="20"/>
          <w:color w:val="auto"/>
        </w:rPr>
      </w:pPr>
    </w:p>
    <w:p>
      <w:pPr>
        <w:jc w:val="both"/>
        <w:ind w:firstLine="579"/>
        <w:spacing w:after="0" w:line="377"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August 1, 2015, employed approximately 6,400 people in its worldwide businesses. Brady’s fiscal 2014 sales were approximately $1.23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40"/>
          </w:cols>
          <w:pgMar w:left="240" w:top="529" w:right="219" w:bottom="1440"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emdash "/>
      <w:numFmt w:val="bullet"/>
      <w:start w:val="1"/>
    </w:lvl>
  </w:abstractNum>
  <w:abstractNum w:abstractNumId="3">
    <w:nsid w:val="625558EC"/>
    <w:multiLevelType w:val="hybridMultilevel"/>
    <w:lvl w:ilvl="0">
      <w:lvlJc w:val="left"/>
      <w:lvlText w:val="%1"/>
      <w:numFmt w:val="decimal"/>
      <w:start w:val="3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2019-12-05T22:32:23Z</dcterms:created>
  <dcterms:modified xsi:type="dcterms:W3CDTF">2019-12-05T22:32:23Z</dcterms:modified>
</cp:coreProperties>
</file>