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00" w:type="dxa"/>
            <w:vAlign w:val="bottom"/>
          </w:tcPr>
          <w:p>
            <w:pPr>
              <w:ind w:left="8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Robert and Elizabeth Pungello JTWROS</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8"/>
              </w:rPr>
              <w:t>300,000</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Brady Corporation Class B Stock Trust</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1,769,304</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Beneficiary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EBL Inheritance Trust</w:t>
            </w: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55"/>
              <w:spacing w:after="0" w:line="321" w:lineRule="exact"/>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(3)</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Beneficiary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Elizabeth B. Lurie Living Trust</w:t>
            </w: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8"/>
              </w:rPr>
              <w:t>388,169</w:t>
            </w:r>
            <w:r>
              <w:rPr>
                <w:rFonts w:ascii="Arial" w:cs="Arial" w:eastAsia="Arial" w:hAnsi="Arial"/>
                <w:sz w:val="22"/>
                <w:szCs w:val="22"/>
                <w:color w:val="008000"/>
                <w:w w:val="88"/>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1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0.0009</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Comp</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06/30/2008</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Arial" w:cs="Arial" w:eastAsia="Arial" w:hAnsi="Arial"/>
                <w:sz w:val="13"/>
                <w:szCs w:val="13"/>
                <w:color w:val="0000FF"/>
              </w:rPr>
              <w:t>0.0009</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34.97</w:t>
            </w:r>
          </w:p>
        </w:tc>
        <w:tc>
          <w:tcPr>
            <w:tcW w:w="800" w:type="dxa"/>
            <w:vAlign w:val="bottom"/>
            <w:gridSpan w:val="2"/>
          </w:tcPr>
          <w:p>
            <w:pPr>
              <w:ind w:left="140"/>
              <w:spacing w:after="0" w:line="148" w:lineRule="exact"/>
              <w:rPr>
                <w:sz w:val="20"/>
                <w:szCs w:val="20"/>
                <w:color w:val="auto"/>
              </w:rPr>
            </w:pPr>
            <w:r>
              <w:rPr>
                <w:rFonts w:ascii="Arial" w:cs="Arial" w:eastAsia="Arial" w:hAnsi="Arial"/>
                <w:sz w:val="13"/>
                <w:szCs w:val="13"/>
                <w:color w:val="0000FF"/>
                <w:w w:val="98"/>
              </w:rPr>
              <w:t>1,964.2013</w:t>
            </w:r>
          </w:p>
        </w:tc>
        <w:tc>
          <w:tcPr>
            <w:tcW w:w="600" w:type="dxa"/>
            <w:vAlign w:val="bottom"/>
          </w:tcPr>
          <w:p>
            <w:pPr>
              <w:ind w:left="46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10"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This non-derivative security is held by the filer as a beneficiary of the Trust.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Barbara Bolens, as Attoney-In-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6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07/02/2008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2019-12-18T13:21:25Z</dcterms:created>
  <dcterms:modified xsi:type="dcterms:W3CDTF">2019-12-18T13:21:25Z</dcterms:modified>
</cp:coreProperties>
</file>