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2844800</wp:posOffset>
            </wp:positionH>
            <wp:positionV relativeFrom="paragraph">
              <wp:posOffset>173355</wp:posOffset>
            </wp:positionV>
            <wp:extent cx="15995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9565" cy="6985"/>
                    </a:xfrm>
                    <a:prstGeom prst="rect">
                      <a:avLst/>
                    </a:prstGeom>
                    <a:noFill/>
                  </pic:spPr>
                </pic:pic>
              </a:graphicData>
            </a:graphic>
          </wp:anchor>
        </w:drawing>
      </w:r>
    </w:p>
    <w:p>
      <w:pPr>
        <w:spacing w:after="0" w:line="307"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2844800</wp:posOffset>
            </wp:positionH>
            <wp:positionV relativeFrom="paragraph">
              <wp:posOffset>148590</wp:posOffset>
            </wp:positionV>
            <wp:extent cx="15995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9565" cy="6985"/>
                    </a:xfrm>
                    <a:prstGeom prst="rect">
                      <a:avLst/>
                    </a:prstGeom>
                    <a:noFill/>
                  </pic:spPr>
                </pic:pic>
              </a:graphicData>
            </a:graphic>
          </wp:anchor>
        </w:drawing>
      </w:r>
    </w:p>
    <w:p>
      <w:pPr>
        <w:spacing w:after="0" w:line="272"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CURRENT REPORT</w:t>
      </w:r>
    </w:p>
    <w:p>
      <w:pPr>
        <w:spacing w:after="0" w:line="14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118"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Date of Report (Date of earliest event reported): November 14,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2844800</wp:posOffset>
            </wp:positionH>
            <wp:positionV relativeFrom="paragraph">
              <wp:posOffset>186055</wp:posOffset>
            </wp:positionV>
            <wp:extent cx="159956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9565" cy="6985"/>
                    </a:xfrm>
                    <a:prstGeom prst="rect">
                      <a:avLst/>
                    </a:prstGeom>
                    <a:noFill/>
                  </pic:spPr>
                </pic:pic>
              </a:graphicData>
            </a:graphic>
          </wp:anchor>
        </w:drawing>
      </w:r>
    </w:p>
    <w:p>
      <w:pPr>
        <w:spacing w:after="0" w:line="328"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auto"/>
        </w:rPr>
        <w:t>BRADY CORPORATION</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2844800</wp:posOffset>
            </wp:positionH>
            <wp:positionV relativeFrom="paragraph">
              <wp:posOffset>135890</wp:posOffset>
            </wp:positionV>
            <wp:extent cx="159956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9565" cy="6985"/>
                    </a:xfrm>
                    <a:prstGeom prst="rect">
                      <a:avLst/>
                    </a:prstGeom>
                    <a:noFill/>
                  </pic:spPr>
                </pic:pic>
              </a:graphicData>
            </a:graphic>
          </wp:anchor>
        </w:drawing>
      </w:r>
    </w:p>
    <w:p>
      <w:pPr>
        <w:spacing w:after="0" w:line="258"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Commission File Number 1-14959</w:t>
      </w:r>
    </w:p>
    <w:p>
      <w:pPr>
        <w:sectPr>
          <w:pgSz w:w="11900" w:h="16838" w:orient="portrait"/>
          <w:cols w:equalWidth="0" w:num="1">
            <w:col w:w="11360"/>
          </w:cols>
          <w:pgMar w:left="220" w:top="627" w:right="31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2500"/>
        <w:spacing w:after="0"/>
        <w:rPr>
          <w:sz w:val="20"/>
          <w:szCs w:val="20"/>
          <w:color w:val="auto"/>
        </w:rPr>
      </w:pPr>
      <w:r>
        <w:rPr>
          <w:rFonts w:ascii="Arial" w:cs="Arial" w:eastAsia="Arial" w:hAnsi="Arial"/>
          <w:sz w:val="12"/>
          <w:szCs w:val="12"/>
          <w:b w:val="1"/>
          <w:bCs w:val="1"/>
          <w:color w:val="auto"/>
        </w:rPr>
        <w:t>Wisconsin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39-0971239</w:t>
      </w:r>
    </w:p>
    <w:p>
      <w:pPr>
        <w:spacing w:after="0" w:line="66" w:lineRule="exact"/>
        <w:rPr>
          <w:sz w:val="24"/>
          <w:szCs w:val="24"/>
          <w:color w:val="auto"/>
        </w:rPr>
      </w:pPr>
    </w:p>
    <w:p>
      <w:pPr>
        <w:sectPr>
          <w:pgSz w:w="11900" w:h="16838" w:orient="portrait"/>
          <w:cols w:equalWidth="0" w:num="2">
            <w:col w:w="7640" w:space="720"/>
            <w:col w:w="3000"/>
          </w:cols>
          <w:pgMar w:left="220" w:top="627" w:right="319" w:bottom="1440" w:gutter="0" w:footer="0" w:header="0"/>
          <w:type w:val="continuous"/>
        </w:sectPr>
      </w:pPr>
    </w:p>
    <w:p>
      <w:pPr>
        <w:jc w:val="center"/>
        <w:ind w:right="1900"/>
        <w:spacing w:after="0"/>
        <w:rPr>
          <w:sz w:val="20"/>
          <w:szCs w:val="20"/>
          <w:color w:val="auto"/>
        </w:rPr>
      </w:pPr>
      <w:r>
        <w:rPr>
          <w:rFonts w:ascii="Arial" w:cs="Arial" w:eastAsia="Arial" w:hAnsi="Arial"/>
          <w:sz w:val="12"/>
          <w:szCs w:val="12"/>
          <w:b w:val="1"/>
          <w:bCs w:val="1"/>
          <w:color w:val="auto"/>
        </w:rPr>
        <w:t>(State of</w:t>
      </w:r>
    </w:p>
    <w:p>
      <w:pPr>
        <w:jc w:val="center"/>
        <w:ind w:right="1900"/>
        <w:spacing w:after="0"/>
        <w:rPr>
          <w:sz w:val="20"/>
          <w:szCs w:val="20"/>
          <w:color w:val="auto"/>
        </w:rPr>
      </w:pPr>
      <w:r>
        <w:rPr>
          <w:rFonts w:ascii="Arial" w:cs="Arial" w:eastAsia="Arial" w:hAnsi="Arial"/>
          <w:sz w:val="11"/>
          <w:szCs w:val="11"/>
          <w:b w:val="1"/>
          <w:bCs w:val="1"/>
          <w:color w:val="auto"/>
        </w:rPr>
        <w:t>Incorporation)</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Arial" w:cs="Arial" w:eastAsia="Arial" w:hAnsi="Arial"/>
          <w:sz w:val="12"/>
          <w:szCs w:val="12"/>
          <w:b w:val="1"/>
          <w:bCs w:val="1"/>
          <w:color w:val="auto"/>
        </w:rPr>
        <w:t>(IRS Employer</w:t>
      </w:r>
    </w:p>
    <w:p>
      <w:pPr>
        <w:jc w:val="center"/>
        <w:ind w:right="2180"/>
        <w:spacing w:after="0"/>
        <w:rPr>
          <w:sz w:val="20"/>
          <w:szCs w:val="20"/>
          <w:color w:val="auto"/>
        </w:rPr>
      </w:pPr>
      <w:r>
        <w:rPr>
          <w:rFonts w:ascii="Arial" w:cs="Arial" w:eastAsia="Arial" w:hAnsi="Arial"/>
          <w:sz w:val="9"/>
          <w:szCs w:val="9"/>
          <w:b w:val="1"/>
          <w:bCs w:val="1"/>
          <w:color w:val="auto"/>
        </w:rPr>
        <w:t>Identification No.)</w:t>
      </w:r>
    </w:p>
    <w:p>
      <w:pPr>
        <w:spacing w:after="0" w:line="35" w:lineRule="exact"/>
        <w:rPr>
          <w:sz w:val="24"/>
          <w:szCs w:val="24"/>
          <w:color w:val="auto"/>
        </w:rPr>
      </w:pPr>
    </w:p>
    <w:p>
      <w:pPr>
        <w:sectPr>
          <w:pgSz w:w="11900" w:h="16838" w:orient="portrait"/>
          <w:cols w:equalWidth="0" w:num="2">
            <w:col w:w="7540" w:space="720"/>
            <w:col w:w="3100"/>
          </w:cols>
          <w:pgMar w:left="220" w:top="627" w:right="319" w:bottom="1440" w:gutter="0" w:footer="0" w:header="0"/>
          <w:type w:val="continuous"/>
        </w:sectPr>
      </w:pPr>
    </w:p>
    <w:p>
      <w:pPr>
        <w:ind w:left="4840"/>
        <w:spacing w:after="0"/>
        <w:rPr>
          <w:sz w:val="20"/>
          <w:szCs w:val="20"/>
          <w:color w:val="auto"/>
        </w:rPr>
      </w:pPr>
      <w:r>
        <w:rPr>
          <w:rFonts w:ascii="Arial" w:cs="Arial" w:eastAsia="Arial" w:hAnsi="Arial"/>
          <w:sz w:val="15"/>
          <w:szCs w:val="15"/>
          <w:b w:val="1"/>
          <w:bCs w:val="1"/>
          <w:color w:val="auto"/>
        </w:rPr>
        <w:t>6555 West Good Hope Road</w:t>
      </w:r>
    </w:p>
    <w:p>
      <w:pPr>
        <w:spacing w:after="0" w:line="15" w:lineRule="exact"/>
        <w:rPr>
          <w:sz w:val="24"/>
          <w:szCs w:val="24"/>
          <w:color w:val="auto"/>
        </w:rPr>
      </w:pPr>
    </w:p>
    <w:p>
      <w:pPr>
        <w:ind w:left="4820"/>
        <w:spacing w:after="0"/>
        <w:rPr>
          <w:sz w:val="20"/>
          <w:szCs w:val="20"/>
          <w:color w:val="auto"/>
        </w:rPr>
      </w:pPr>
      <w:r>
        <w:rPr>
          <w:rFonts w:ascii="Arial" w:cs="Arial" w:eastAsia="Arial" w:hAnsi="Arial"/>
          <w:sz w:val="15"/>
          <w:szCs w:val="15"/>
          <w:b w:val="1"/>
          <w:bCs w:val="1"/>
          <w:color w:val="auto"/>
        </w:rPr>
        <w:t>Milwaukee, Wisconsin 53223</w:t>
      </w:r>
    </w:p>
    <w:p>
      <w:pPr>
        <w:jc w:val="center"/>
        <w:ind w:right="-99"/>
        <w:spacing w:after="0"/>
        <w:rPr>
          <w:sz w:val="20"/>
          <w:szCs w:val="20"/>
          <w:color w:val="auto"/>
        </w:rPr>
      </w:pPr>
      <w:r>
        <w:rPr>
          <w:rFonts w:ascii="Arial" w:cs="Arial" w:eastAsia="Arial" w:hAnsi="Arial"/>
          <w:sz w:val="9"/>
          <w:szCs w:val="9"/>
          <w:b w:val="1"/>
          <w:bCs w:val="1"/>
          <w:color w:val="auto"/>
        </w:rPr>
        <w:t>(Address of Principal Executive Offices and Zip Code)</w:t>
      </w:r>
    </w:p>
    <w:p>
      <w:pPr>
        <w:spacing w:after="0" w:line="154"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(414) 358-6600</w:t>
      </w:r>
    </w:p>
    <w:p>
      <w:pPr>
        <w:spacing w:after="0" w:line="24"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2844800</wp:posOffset>
            </wp:positionH>
            <wp:positionV relativeFrom="paragraph">
              <wp:posOffset>156210</wp:posOffset>
            </wp:positionV>
            <wp:extent cx="159956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9565" cy="6985"/>
                    </a:xfrm>
                    <a:prstGeom prst="rect">
                      <a:avLst/>
                    </a:prstGeom>
                    <a:noFill/>
                  </pic:spPr>
                </pic:pic>
              </a:graphicData>
            </a:graphic>
          </wp:anchor>
        </w:drawing>
      </w:r>
    </w:p>
    <w:p>
      <w:pPr>
        <w:sectPr>
          <w:pgSz w:w="11900" w:h="16838" w:orient="portrait"/>
          <w:cols w:equalWidth="0" w:num="1">
            <w:col w:w="11360"/>
          </w:cols>
          <w:pgMar w:left="220" w:top="627" w:right="319" w:bottom="1440" w:gutter="0" w:footer="0" w:header="0"/>
          <w:type w:val="continuous"/>
        </w:sectPr>
      </w:pPr>
    </w:p>
    <w:p>
      <w:pPr>
        <w:spacing w:after="0" w:line="313" w:lineRule="exact"/>
        <w:rPr>
          <w:sz w:val="24"/>
          <w:szCs w:val="24"/>
          <w:color w:val="auto"/>
        </w:rPr>
      </w:pPr>
    </w:p>
    <w:p>
      <w:pPr>
        <w:ind w:left="48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720" w:hanging="689"/>
        <w:spacing w:after="0"/>
        <w:tabs>
          <w:tab w:leader="none" w:pos="72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60" w:lineRule="exact"/>
        <w:rPr>
          <w:rFonts w:ascii="MS PGothic" w:cs="MS PGothic" w:eastAsia="MS PGothic" w:hAnsi="MS PGothic"/>
          <w:sz w:val="15"/>
          <w:szCs w:val="15"/>
          <w:color w:val="auto"/>
        </w:rPr>
      </w:pPr>
    </w:p>
    <w:p>
      <w:pPr>
        <w:ind w:left="720" w:hanging="689"/>
        <w:spacing w:after="0"/>
        <w:tabs>
          <w:tab w:leader="none" w:pos="72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60" w:lineRule="exact"/>
        <w:rPr>
          <w:rFonts w:ascii="MS PGothic" w:cs="MS PGothic" w:eastAsia="MS PGothic" w:hAnsi="MS PGothic"/>
          <w:sz w:val="15"/>
          <w:szCs w:val="15"/>
          <w:color w:val="auto"/>
        </w:rPr>
      </w:pPr>
    </w:p>
    <w:p>
      <w:pPr>
        <w:ind w:left="720" w:hanging="689"/>
        <w:spacing w:after="0"/>
        <w:tabs>
          <w:tab w:leader="none" w:pos="72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60" w:lineRule="exact"/>
        <w:rPr>
          <w:rFonts w:ascii="MS PGothic" w:cs="MS PGothic" w:eastAsia="MS PGothic" w:hAnsi="MS PGothic"/>
          <w:sz w:val="15"/>
          <w:szCs w:val="15"/>
          <w:color w:val="auto"/>
        </w:rPr>
      </w:pPr>
    </w:p>
    <w:p>
      <w:pPr>
        <w:ind w:left="720" w:hanging="689"/>
        <w:spacing w:after="0"/>
        <w:tabs>
          <w:tab w:leader="none" w:pos="72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94"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(17 CFR 230.405) or Rule 12b-2 or the Securities Exchange Act of 1934 (17 CFR 240.12b-2).</w:t>
      </w:r>
    </w:p>
    <w:p>
      <w:pPr>
        <w:spacing w:after="0" w:line="9"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110" w:lineRule="exact"/>
        <w:rPr>
          <w:sz w:val="24"/>
          <w:szCs w:val="24"/>
          <w:color w:val="auto"/>
        </w:rPr>
      </w:pPr>
    </w:p>
    <w:p>
      <w:pPr>
        <w:ind w:right="20"/>
        <w:spacing w:after="0" w:line="191"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ectPr>
          <w:pgSz w:w="11900" w:h="16838" w:orient="portrait"/>
          <w:cols w:equalWidth="0" w:num="1">
            <w:col w:w="11360"/>
          </w:cols>
          <w:pgMar w:left="220" w:top="627" w:right="319" w:bottom="1440" w:gutter="0" w:footer="0" w:header="0"/>
          <w:type w:val="continuous"/>
        </w:sectPr>
      </w:pPr>
    </w:p>
    <w:bookmarkStart w:id="1" w:name="page2"/>
    <w:bookmarkEnd w:id="1"/>
    <w:p>
      <w:pPr>
        <w:ind w:left="40"/>
        <w:spacing w:after="0"/>
        <w:tabs>
          <w:tab w:leader="none" w:pos="880" w:val="left"/>
        </w:tabs>
        <w:rPr>
          <w:sz w:val="20"/>
          <w:szCs w:val="20"/>
          <w:color w:val="auto"/>
        </w:rPr>
      </w:pPr>
      <w:r>
        <w:rPr>
          <w:rFonts w:ascii="Arial" w:cs="Arial" w:eastAsia="Arial" w:hAnsi="Arial"/>
          <w:sz w:val="15"/>
          <w:szCs w:val="15"/>
          <w:color w:val="auto"/>
        </w:rPr>
        <w:t>Item 2.02</w:t>
      </w:r>
      <w:r>
        <w:rPr>
          <w:sz w:val="20"/>
          <w:szCs w:val="20"/>
          <w:color w:val="auto"/>
        </w:rPr>
        <w:tab/>
      </w:r>
      <w:r>
        <w:rPr>
          <w:rFonts w:ascii="Arial" w:cs="Arial" w:eastAsia="Arial" w:hAnsi="Arial"/>
          <w:sz w:val="14"/>
          <w:szCs w:val="14"/>
          <w:color w:val="auto"/>
        </w:rPr>
        <w:t>RESULTS OF OPERATIONS AND FINANCIAL CONDITION</w:t>
      </w:r>
    </w:p>
    <w:p>
      <w:pPr>
        <w:spacing w:after="0" w:line="205" w:lineRule="exact"/>
        <w:rPr>
          <w:sz w:val="20"/>
          <w:szCs w:val="20"/>
          <w:color w:val="auto"/>
        </w:rPr>
      </w:pPr>
    </w:p>
    <w:p>
      <w:pPr>
        <w:ind w:firstLine="266"/>
        <w:spacing w:after="0" w:line="268" w:lineRule="auto"/>
        <w:rPr>
          <w:sz w:val="20"/>
          <w:szCs w:val="20"/>
          <w:color w:val="auto"/>
        </w:rPr>
      </w:pPr>
      <w:r>
        <w:rPr>
          <w:rFonts w:ascii="Arial" w:cs="Arial" w:eastAsia="Arial" w:hAnsi="Arial"/>
          <w:sz w:val="15"/>
          <w:szCs w:val="15"/>
          <w:color w:val="auto"/>
        </w:rPr>
        <w:t>On November 15, 2018, Brady Corporation (the “Company”) issued a press release announcing its fiscal 2019 first quarter financial results. A copy of the press release is being furnished to the Securities and Exchange Commission as Exhibit 99.1 attached hereto and is incorporated herein by reference.</w:t>
      </w: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15"/>
          <w:szCs w:val="15"/>
          <w:color w:val="auto"/>
        </w:rPr>
        <w:t>Item 5.07</w:t>
      </w:r>
      <w:r>
        <w:rPr>
          <w:sz w:val="20"/>
          <w:szCs w:val="20"/>
          <w:color w:val="auto"/>
        </w:rPr>
        <w:tab/>
      </w:r>
      <w:r>
        <w:rPr>
          <w:rFonts w:ascii="Arial" w:cs="Arial" w:eastAsia="Arial" w:hAnsi="Arial"/>
          <w:sz w:val="14"/>
          <w:szCs w:val="14"/>
          <w:color w:val="auto"/>
        </w:rPr>
        <w:t>SUBMISSIONS OF MATTERS TO A VOTE OF SECURITY HOLDERS</w:t>
      </w:r>
    </w:p>
    <w:p>
      <w:pPr>
        <w:spacing w:after="0" w:line="205" w:lineRule="exact"/>
        <w:rPr>
          <w:sz w:val="20"/>
          <w:szCs w:val="20"/>
          <w:color w:val="auto"/>
        </w:rPr>
      </w:pPr>
    </w:p>
    <w:p>
      <w:pPr>
        <w:ind w:firstLine="277"/>
        <w:spacing w:after="0" w:line="304" w:lineRule="auto"/>
        <w:rPr>
          <w:sz w:val="20"/>
          <w:szCs w:val="20"/>
          <w:color w:val="auto"/>
        </w:rPr>
      </w:pPr>
      <w:r>
        <w:rPr>
          <w:rFonts w:ascii="Arial" w:cs="Arial" w:eastAsia="Arial" w:hAnsi="Arial"/>
          <w:sz w:val="14"/>
          <w:szCs w:val="14"/>
          <w:color w:val="auto"/>
        </w:rPr>
        <w:t>On November 14, 2018, at the Company’s Annual Shareholders’ Meeting, the holders of all of the 3,538,628 shares of the Company’s Class B Common Stock voted unanimously in favor of electing the following persons to serve as the Company’s directors until the next annual meeting of shareholders and until their successors have been elected:</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Patrick W. Allender</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Gary S. Balkema</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Elizabeth P. Bruno</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Nancy L. Gioia</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Conrad G. Goodkind</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Frank W. Harris</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J. Michael Nauman</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Bradley C. Richardson</w:t>
      </w:r>
    </w:p>
    <w:p>
      <w:pPr>
        <w:spacing w:after="0" w:line="200" w:lineRule="exact"/>
        <w:rPr>
          <w:sz w:val="20"/>
          <w:szCs w:val="20"/>
          <w:color w:val="auto"/>
        </w:rPr>
      </w:pPr>
    </w:p>
    <w:p>
      <w:pPr>
        <w:spacing w:after="0" w:line="239"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15"/>
          <w:szCs w:val="15"/>
          <w:color w:val="auto"/>
        </w:rPr>
        <w:t>Item 7.01</w:t>
      </w:r>
      <w:r>
        <w:rPr>
          <w:sz w:val="20"/>
          <w:szCs w:val="20"/>
          <w:color w:val="auto"/>
        </w:rPr>
        <w:tab/>
      </w:r>
      <w:r>
        <w:rPr>
          <w:rFonts w:ascii="Arial" w:cs="Arial" w:eastAsia="Arial" w:hAnsi="Arial"/>
          <w:sz w:val="14"/>
          <w:szCs w:val="14"/>
          <w:color w:val="auto"/>
        </w:rPr>
        <w:t>REGULATION FD DISCLOSURE</w:t>
      </w:r>
    </w:p>
    <w:p>
      <w:pPr>
        <w:spacing w:after="0" w:line="205" w:lineRule="exact"/>
        <w:rPr>
          <w:sz w:val="20"/>
          <w:szCs w:val="20"/>
          <w:color w:val="auto"/>
        </w:rPr>
      </w:pPr>
    </w:p>
    <w:p>
      <w:pPr>
        <w:ind w:firstLine="266"/>
        <w:spacing w:after="0" w:line="304" w:lineRule="auto"/>
        <w:rPr>
          <w:sz w:val="20"/>
          <w:szCs w:val="20"/>
          <w:color w:val="auto"/>
        </w:rPr>
      </w:pPr>
      <w:r>
        <w:rPr>
          <w:rFonts w:ascii="Arial" w:cs="Arial" w:eastAsia="Arial" w:hAnsi="Arial"/>
          <w:sz w:val="14"/>
          <w:szCs w:val="14"/>
          <w:color w:val="auto"/>
        </w:rPr>
        <w:t>On November 15, 2018, the Company hosted a conference call related to its fiscal 2019 first quarter financial results. A copy of the slides referenced in the conference call, which is also posted on the Corporation’s website, is being furnished to the Securities and Exchange Commission as Exhibit 99.2 attached hereto and is incorporated herein by reference.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 w:type="dxa"/>
            <w:vAlign w:val="bottom"/>
          </w:tcPr>
          <w:p>
            <w:pPr>
              <w:ind w:left="40"/>
              <w:spacing w:after="0"/>
              <w:rPr>
                <w:sz w:val="20"/>
                <w:szCs w:val="20"/>
                <w:color w:val="auto"/>
              </w:rPr>
            </w:pPr>
            <w:r>
              <w:rPr>
                <w:rFonts w:ascii="Arial" w:cs="Arial" w:eastAsia="Arial" w:hAnsi="Arial"/>
                <w:sz w:val="15"/>
                <w:szCs w:val="15"/>
                <w:color w:val="auto"/>
              </w:rPr>
              <w:t>Item 9.01</w:t>
            </w:r>
          </w:p>
        </w:tc>
        <w:tc>
          <w:tcPr>
            <w:tcW w:w="7200" w:type="dxa"/>
            <w:vAlign w:val="bottom"/>
            <w:gridSpan w:val="6"/>
          </w:tcPr>
          <w:p>
            <w:pPr>
              <w:ind w:left="100"/>
              <w:spacing w:after="0"/>
              <w:rPr>
                <w:sz w:val="20"/>
                <w:szCs w:val="20"/>
                <w:color w:val="auto"/>
              </w:rPr>
            </w:pPr>
            <w:r>
              <w:rPr>
                <w:rFonts w:ascii="Arial" w:cs="Arial" w:eastAsia="Arial" w:hAnsi="Arial"/>
                <w:sz w:val="15"/>
                <w:szCs w:val="15"/>
                <w:color w:val="auto"/>
              </w:rPr>
              <w:t>FINANCIAL STATEMENTS AND EXHIBITS</w:t>
            </w:r>
          </w:p>
        </w:tc>
        <w:tc>
          <w:tcPr>
            <w:tcW w:w="0" w:type="dxa"/>
            <w:vAlign w:val="bottom"/>
          </w:tcPr>
          <w:p>
            <w:pPr>
              <w:spacing w:after="0"/>
              <w:rPr>
                <w:sz w:val="1"/>
                <w:szCs w:val="1"/>
                <w:color w:val="auto"/>
              </w:rPr>
            </w:pPr>
          </w:p>
        </w:tc>
      </w:tr>
      <w:tr>
        <w:trPr>
          <w:trHeight w:val="377"/>
        </w:trPr>
        <w:tc>
          <w:tcPr>
            <w:tcW w:w="800" w:type="dxa"/>
            <w:vAlign w:val="bottom"/>
          </w:tcPr>
          <w:p>
            <w:pPr>
              <w:spacing w:after="0"/>
              <w:rPr>
                <w:sz w:val="20"/>
                <w:szCs w:val="20"/>
                <w:color w:val="auto"/>
              </w:rPr>
            </w:pPr>
            <w:r>
              <w:rPr>
                <w:rFonts w:ascii="Arial" w:cs="Arial" w:eastAsia="Arial" w:hAnsi="Arial"/>
                <w:sz w:val="15"/>
                <w:szCs w:val="15"/>
                <w:color w:val="auto"/>
              </w:rPr>
              <w:t>(d) Exhibits</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00" w:type="dxa"/>
            <w:vAlign w:val="bottom"/>
          </w:tcPr>
          <w:p>
            <w:pPr>
              <w:ind w:left="40"/>
              <w:spacing w:after="0"/>
              <w:rPr>
                <w:sz w:val="20"/>
                <w:szCs w:val="20"/>
                <w:color w:val="auto"/>
              </w:rPr>
            </w:pPr>
            <w:r>
              <w:rPr>
                <w:rFonts w:ascii="Arial" w:cs="Arial" w:eastAsia="Arial" w:hAnsi="Arial"/>
                <w:sz w:val="15"/>
                <w:szCs w:val="15"/>
                <w:color w:val="auto"/>
              </w:rPr>
              <w:t>EXHIBIT</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00" w:type="dxa"/>
            <w:vAlign w:val="bottom"/>
          </w:tcPr>
          <w:p>
            <w:pPr>
              <w:ind w:left="40"/>
              <w:spacing w:after="0"/>
              <w:rPr>
                <w:sz w:val="20"/>
                <w:szCs w:val="20"/>
                <w:color w:val="auto"/>
              </w:rPr>
            </w:pPr>
            <w:r>
              <w:rPr>
                <w:rFonts w:ascii="Arial" w:cs="Arial" w:eastAsia="Arial" w:hAnsi="Arial"/>
                <w:sz w:val="15"/>
                <w:szCs w:val="15"/>
                <w:color w:val="auto"/>
              </w:rPr>
              <w:t>NUMBER</w:t>
            </w:r>
          </w:p>
        </w:tc>
        <w:tc>
          <w:tcPr>
            <w:tcW w:w="360" w:type="dxa"/>
            <w:vAlign w:val="bottom"/>
          </w:tcPr>
          <w:p>
            <w:pPr>
              <w:spacing w:after="0"/>
              <w:rPr>
                <w:sz w:val="16"/>
                <w:szCs w:val="16"/>
                <w:color w:val="auto"/>
              </w:rPr>
            </w:pPr>
          </w:p>
        </w:tc>
        <w:tc>
          <w:tcPr>
            <w:tcW w:w="6840" w:type="dxa"/>
            <w:vAlign w:val="bottom"/>
            <w:gridSpan w:val="5"/>
          </w:tcPr>
          <w:p>
            <w:pPr>
              <w:spacing w:after="0"/>
              <w:rPr>
                <w:sz w:val="20"/>
                <w:szCs w:val="20"/>
                <w:color w:val="auto"/>
              </w:rPr>
            </w:pPr>
            <w:r>
              <w:rPr>
                <w:rFonts w:ascii="Arial" w:cs="Arial" w:eastAsia="Arial" w:hAnsi="Arial"/>
                <w:sz w:val="15"/>
                <w:szCs w:val="15"/>
                <w:color w:val="auto"/>
              </w:rPr>
              <w:t>DESCRIPTION</w:t>
            </w:r>
          </w:p>
        </w:tc>
        <w:tc>
          <w:tcPr>
            <w:tcW w:w="0" w:type="dxa"/>
            <w:vAlign w:val="bottom"/>
          </w:tcPr>
          <w:p>
            <w:pPr>
              <w:spacing w:after="0"/>
              <w:rPr>
                <w:sz w:val="1"/>
                <w:szCs w:val="1"/>
                <w:color w:val="auto"/>
              </w:rPr>
            </w:pPr>
          </w:p>
        </w:tc>
      </w:tr>
      <w:tr>
        <w:trPr>
          <w:trHeight w:val="23"/>
        </w:trPr>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800" w:type="dxa"/>
            <w:vAlign w:val="bottom"/>
          </w:tcPr>
          <w:p>
            <w:pPr>
              <w:ind w:left="40"/>
              <w:spacing w:after="0"/>
              <w:rPr>
                <w:sz w:val="20"/>
                <w:szCs w:val="20"/>
                <w:color w:val="auto"/>
              </w:rPr>
            </w:pPr>
            <w:r>
              <w:rPr>
                <w:rFonts w:ascii="Arial" w:cs="Arial" w:eastAsia="Arial" w:hAnsi="Arial"/>
                <w:sz w:val="15"/>
                <w:szCs w:val="15"/>
                <w:color w:val="auto"/>
              </w:rPr>
              <w:t>99.1</w:t>
            </w:r>
          </w:p>
        </w:tc>
        <w:tc>
          <w:tcPr>
            <w:tcW w:w="360" w:type="dxa"/>
            <w:vAlign w:val="bottom"/>
          </w:tcPr>
          <w:p>
            <w:pPr>
              <w:spacing w:after="0"/>
              <w:rPr>
                <w:sz w:val="16"/>
                <w:szCs w:val="16"/>
                <w:color w:val="auto"/>
              </w:rPr>
            </w:pPr>
          </w:p>
        </w:tc>
        <w:tc>
          <w:tcPr>
            <w:tcW w:w="6840" w:type="dxa"/>
            <w:vAlign w:val="bottom"/>
            <w:gridSpan w:val="5"/>
            <w:vMerge w:val="restart"/>
          </w:tcPr>
          <w:p>
            <w:pPr>
              <w:spacing w:after="0"/>
              <w:rPr>
                <w:rFonts w:ascii="Arial" w:cs="Arial" w:eastAsia="Arial" w:hAnsi="Arial"/>
                <w:sz w:val="15"/>
                <w:szCs w:val="15"/>
                <w:color w:val="0000FF"/>
                <w:w w:val="95"/>
              </w:rPr>
            </w:pPr>
            <w:hyperlink w:anchor="page4">
              <w:r>
                <w:rPr>
                  <w:rFonts w:ascii="Arial" w:cs="Arial" w:eastAsia="Arial" w:hAnsi="Arial"/>
                  <w:sz w:val="15"/>
                  <w:szCs w:val="15"/>
                  <w:color w:val="0000FF"/>
                  <w:w w:val="95"/>
                </w:rPr>
                <w:t>Press Release of Brady Corporation, dated November 15, 2018, relating to first quarter fiscal 2019 financial</w:t>
              </w:r>
            </w:hyperlink>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4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380" w:type="dxa"/>
            <w:vAlign w:val="bottom"/>
            <w:tcBorders>
              <w:top w:val="single" w:sz="8" w:color="0000FF"/>
            </w:tcBorders>
            <w:gridSpan w:val="3"/>
          </w:tcPr>
          <w:p>
            <w:pPr>
              <w:spacing w:after="0" w:line="158" w:lineRule="exact"/>
              <w:rPr>
                <w:rFonts w:ascii="Arial" w:cs="Arial" w:eastAsia="Arial" w:hAnsi="Arial"/>
                <w:sz w:val="15"/>
                <w:szCs w:val="15"/>
                <w:color w:val="0000FF"/>
              </w:rPr>
            </w:pPr>
            <w:hyperlink w:anchor="page4">
              <w:r>
                <w:rPr>
                  <w:rFonts w:ascii="Arial" w:cs="Arial" w:eastAsia="Arial" w:hAnsi="Arial"/>
                  <w:sz w:val="15"/>
                  <w:szCs w:val="15"/>
                  <w:color w:val="0000FF"/>
                </w:rPr>
                <w:t>results.</w:t>
              </w:r>
            </w:hyperlink>
          </w:p>
        </w:tc>
        <w:tc>
          <w:tcPr>
            <w:tcW w:w="4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800" w:type="dxa"/>
            <w:vAlign w:val="bottom"/>
          </w:tcPr>
          <w:p>
            <w:pPr>
              <w:ind w:left="40"/>
              <w:spacing w:after="0"/>
              <w:rPr>
                <w:sz w:val="20"/>
                <w:szCs w:val="20"/>
                <w:color w:val="auto"/>
              </w:rPr>
            </w:pPr>
            <w:r>
              <w:rPr>
                <w:rFonts w:ascii="Arial" w:cs="Arial" w:eastAsia="Arial" w:hAnsi="Arial"/>
                <w:sz w:val="15"/>
                <w:szCs w:val="15"/>
                <w:color w:val="auto"/>
              </w:rPr>
              <w:t>99.2</w:t>
            </w:r>
          </w:p>
        </w:tc>
        <w:tc>
          <w:tcPr>
            <w:tcW w:w="360" w:type="dxa"/>
            <w:vAlign w:val="bottom"/>
          </w:tcPr>
          <w:p>
            <w:pPr>
              <w:spacing w:after="0"/>
              <w:rPr>
                <w:sz w:val="23"/>
                <w:szCs w:val="23"/>
                <w:color w:val="auto"/>
              </w:rPr>
            </w:pPr>
          </w:p>
        </w:tc>
        <w:tc>
          <w:tcPr>
            <w:tcW w:w="6800" w:type="dxa"/>
            <w:vAlign w:val="bottom"/>
            <w:tcBorders>
              <w:bottom w:val="single" w:sz="8" w:color="0000FF"/>
            </w:tcBorders>
            <w:gridSpan w:val="4"/>
          </w:tcPr>
          <w:p>
            <w:pPr>
              <w:spacing w:after="0"/>
              <w:rPr>
                <w:rFonts w:ascii="Arial" w:cs="Arial" w:eastAsia="Arial" w:hAnsi="Arial"/>
                <w:sz w:val="15"/>
                <w:szCs w:val="15"/>
                <w:color w:val="0000FF"/>
                <w:w w:val="90"/>
              </w:rPr>
            </w:pPr>
            <w:hyperlink w:anchor="page11">
              <w:r>
                <w:rPr>
                  <w:rFonts w:ascii="Arial" w:cs="Arial" w:eastAsia="Arial" w:hAnsi="Arial"/>
                  <w:sz w:val="15"/>
                  <w:szCs w:val="15"/>
                  <w:color w:val="0000FF"/>
                  <w:w w:val="90"/>
                </w:rPr>
                <w:t>Informational slides provided by Brady Corporation, dated November 15, 2018, relating to first quarter fiscal 2019</w:t>
              </w:r>
            </w:hyperlink>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Borders>
              <w:bottom w:val="single" w:sz="8" w:color="0000FF"/>
            </w:tcBorders>
            <w:gridSpan w:val="2"/>
          </w:tcPr>
          <w:p>
            <w:pPr>
              <w:spacing w:after="0" w:line="158" w:lineRule="exact"/>
              <w:rPr>
                <w:rFonts w:ascii="Arial" w:cs="Arial" w:eastAsia="Arial" w:hAnsi="Arial"/>
                <w:sz w:val="15"/>
                <w:szCs w:val="15"/>
                <w:color w:val="0000FF"/>
                <w:w w:val="89"/>
              </w:rPr>
            </w:pPr>
            <w:hyperlink w:anchor="page11">
              <w:r>
                <w:rPr>
                  <w:rFonts w:ascii="Arial" w:cs="Arial" w:eastAsia="Arial" w:hAnsi="Arial"/>
                  <w:sz w:val="15"/>
                  <w:szCs w:val="15"/>
                  <w:color w:val="0000FF"/>
                  <w:w w:val="89"/>
                </w:rPr>
                <w:t>financial results.</w:t>
              </w:r>
            </w:hyperlink>
          </w:p>
        </w:tc>
        <w:tc>
          <w:tcPr>
            <w:tcW w:w="58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639" w:right="219" w:bottom="1440" w:gutter="0" w:footer="0" w:header="0"/>
        </w:sectPr>
      </w:pPr>
    </w:p>
    <w:bookmarkStart w:id="2" w:name="page3"/>
    <w:bookmarkEnd w:id="2"/>
    <w:p>
      <w:pPr>
        <w:ind w:left="5320"/>
        <w:spacing w:after="0"/>
        <w:rPr>
          <w:sz w:val="20"/>
          <w:szCs w:val="20"/>
          <w:color w:val="auto"/>
        </w:rPr>
      </w:pPr>
      <w:r>
        <w:rPr>
          <w:rFonts w:ascii="Arial" w:cs="Arial" w:eastAsia="Arial" w:hAnsi="Arial"/>
          <w:sz w:val="15"/>
          <w:szCs w:val="15"/>
          <w:color w:val="auto"/>
        </w:rPr>
        <w:t>SIGNATURE</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317" w:lineRule="exact"/>
        <w:rPr>
          <w:sz w:val="20"/>
          <w:szCs w:val="20"/>
          <w:color w:val="auto"/>
        </w:rPr>
      </w:pPr>
    </w:p>
    <w:p>
      <w:pPr>
        <w:ind w:left="5980"/>
        <w:spacing w:after="0"/>
        <w:rPr>
          <w:sz w:val="20"/>
          <w:szCs w:val="20"/>
          <w:color w:val="auto"/>
        </w:rPr>
      </w:pPr>
      <w:r>
        <w:rPr>
          <w:rFonts w:ascii="Arial" w:cs="Arial" w:eastAsia="Arial" w:hAnsi="Arial"/>
          <w:sz w:val="15"/>
          <w:szCs w:val="15"/>
          <w:color w:val="auto"/>
        </w:rPr>
        <w:t>BRADY CORPORATION</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5"/>
          <w:szCs w:val="15"/>
          <w:color w:val="auto"/>
        </w:rPr>
        <w:t>Date: November 15, 2018</w:t>
      </w:r>
    </w:p>
    <w:p>
      <w:pPr>
        <w:spacing w:after="0" w:line="316" w:lineRule="exact"/>
        <w:rPr>
          <w:sz w:val="20"/>
          <w:szCs w:val="20"/>
          <w:color w:val="auto"/>
        </w:rPr>
      </w:pPr>
    </w:p>
    <w:p>
      <w:pPr>
        <w:ind w:left="5980"/>
        <w:spacing w:after="0"/>
        <w:rPr>
          <w:sz w:val="20"/>
          <w:szCs w:val="20"/>
          <w:color w:val="auto"/>
        </w:rPr>
      </w:pPr>
      <w:r>
        <w:rPr>
          <w:rFonts w:ascii="Arial" w:cs="Arial" w:eastAsia="Arial" w:hAnsi="Arial"/>
          <w:sz w:val="15"/>
          <w:szCs w:val="15"/>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24130</wp:posOffset>
            </wp:positionV>
            <wp:extent cx="348742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87420" cy="6985"/>
                    </a:xfrm>
                    <a:prstGeom prst="rect">
                      <a:avLst/>
                    </a:prstGeom>
                    <a:noFill/>
                  </pic:spPr>
                </pic:pic>
              </a:graphicData>
            </a:graphic>
          </wp:anchor>
        </w:drawing>
      </w:r>
    </w:p>
    <w:p>
      <w:pPr>
        <w:spacing w:after="0" w:line="41" w:lineRule="exact"/>
        <w:rPr>
          <w:sz w:val="20"/>
          <w:szCs w:val="20"/>
          <w:color w:val="auto"/>
        </w:rPr>
      </w:pPr>
    </w:p>
    <w:p>
      <w:pPr>
        <w:ind w:left="5980"/>
        <w:spacing w:after="0"/>
        <w:rPr>
          <w:sz w:val="20"/>
          <w:szCs w:val="20"/>
          <w:color w:val="auto"/>
        </w:rPr>
      </w:pPr>
      <w:r>
        <w:rPr>
          <w:rFonts w:ascii="Arial" w:cs="Arial" w:eastAsia="Arial" w:hAnsi="Arial"/>
          <w:sz w:val="15"/>
          <w:szCs w:val="15"/>
          <w:color w:val="auto"/>
        </w:rPr>
        <w:t>Aaron J. Pearce</w:t>
      </w:r>
    </w:p>
    <w:p>
      <w:pPr>
        <w:spacing w:after="0" w:line="49" w:lineRule="exact"/>
        <w:rPr>
          <w:sz w:val="20"/>
          <w:szCs w:val="20"/>
          <w:color w:val="auto"/>
        </w:rPr>
      </w:pPr>
    </w:p>
    <w:p>
      <w:pPr>
        <w:ind w:left="5980"/>
        <w:spacing w:after="0"/>
        <w:rPr>
          <w:sz w:val="20"/>
          <w:szCs w:val="20"/>
          <w:color w:val="auto"/>
        </w:rPr>
      </w:pPr>
      <w:r>
        <w:rPr>
          <w:rFonts w:ascii="Arial" w:cs="Arial" w:eastAsia="Arial" w:hAnsi="Arial"/>
          <w:sz w:val="15"/>
          <w:szCs w:val="15"/>
          <w:color w:val="auto"/>
        </w:rPr>
        <w:t>Chief Financial Officer and Treasurer</w:t>
      </w:r>
    </w:p>
    <w:p>
      <w:pPr>
        <w:sectPr>
          <w:pgSz w:w="11900" w:h="16838" w:orient="portrait"/>
          <w:cols w:equalWidth="0" w:num="1">
            <w:col w:w="10820"/>
          </w:cols>
          <w:pgMar w:left="220" w:top="506"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u w:val="single" w:color="auto"/>
          <w:color w:val="auto"/>
        </w:rPr>
        <w:t>EXHIBIT 99.1</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 More Information: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Investor contact: Ann Thornton 414-438-6887</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Media contact: Kate Venne 414-358-5176</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Brady Corporation Reports Fiscal 2019 First Quarter Results and Increases its Fiscal 2019 EPS Guidance</w:t>
      </w:r>
    </w:p>
    <w:p>
      <w:pPr>
        <w:spacing w:after="0" w:line="53" w:lineRule="exact"/>
        <w:rPr>
          <w:sz w:val="20"/>
          <w:szCs w:val="20"/>
          <w:color w:val="auto"/>
        </w:rPr>
      </w:pPr>
    </w:p>
    <w:p>
      <w:pPr>
        <w:ind w:left="540" w:hanging="265"/>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6"/>
          <w:szCs w:val="16"/>
          <w:color w:val="auto"/>
        </w:rPr>
        <w:t>Organic revenues increased 4.7 percent in the first quarter of fiscal 2019.</w:t>
      </w:r>
    </w:p>
    <w:p>
      <w:pPr>
        <w:spacing w:after="0" w:line="93" w:lineRule="exact"/>
        <w:rPr>
          <w:rFonts w:ascii="Arial" w:cs="Arial" w:eastAsia="Arial" w:hAnsi="Arial"/>
          <w:sz w:val="15"/>
          <w:szCs w:val="15"/>
          <w:color w:val="auto"/>
        </w:rPr>
      </w:pPr>
    </w:p>
    <w:p>
      <w:pPr>
        <w:ind w:left="540" w:hanging="265"/>
        <w:spacing w:after="0"/>
        <w:tabs>
          <w:tab w:leader="none" w:pos="540" w:val="left"/>
        </w:tabs>
        <w:numPr>
          <w:ilvl w:val="0"/>
          <w:numId w:val="2"/>
        </w:numPr>
        <w:rPr>
          <w:rFonts w:ascii="Arial" w:cs="Arial" w:eastAsia="Arial" w:hAnsi="Arial"/>
          <w:sz w:val="13"/>
          <w:szCs w:val="13"/>
          <w:color w:val="auto"/>
        </w:rPr>
      </w:pPr>
      <w:r>
        <w:rPr>
          <w:rFonts w:ascii="Arial" w:cs="Arial" w:eastAsia="Arial" w:hAnsi="Arial"/>
          <w:sz w:val="14"/>
          <w:szCs w:val="14"/>
          <w:color w:val="auto"/>
        </w:rPr>
        <w:t>Earnings before income taxes increased 14.8 percent to $39.9 million in the first quarter of fiscal 2019 compared to $34.8 million in the same quarter of the prior year.</w:t>
      </w:r>
    </w:p>
    <w:p>
      <w:pPr>
        <w:spacing w:after="0" w:line="116" w:lineRule="exact"/>
        <w:rPr>
          <w:rFonts w:ascii="Arial" w:cs="Arial" w:eastAsia="Arial" w:hAnsi="Arial"/>
          <w:sz w:val="13"/>
          <w:szCs w:val="13"/>
          <w:color w:val="auto"/>
        </w:rPr>
      </w:pPr>
    </w:p>
    <w:p>
      <w:pPr>
        <w:ind w:left="540" w:hanging="265"/>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6"/>
          <w:szCs w:val="16"/>
          <w:color w:val="auto"/>
        </w:rPr>
        <w:t>Diluted EPS increased 18.4 percent to $0.58 in the first quarter of fiscal 2019 compared to $0.49 in the same quarter of the prior year.</w:t>
      </w:r>
    </w:p>
    <w:p>
      <w:pPr>
        <w:spacing w:after="0" w:line="93" w:lineRule="exact"/>
        <w:rPr>
          <w:rFonts w:ascii="Arial" w:cs="Arial" w:eastAsia="Arial" w:hAnsi="Arial"/>
          <w:sz w:val="15"/>
          <w:szCs w:val="15"/>
          <w:color w:val="auto"/>
        </w:rPr>
      </w:pPr>
    </w:p>
    <w:p>
      <w:pPr>
        <w:ind w:left="540" w:hanging="265"/>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6"/>
          <w:szCs w:val="16"/>
          <w:color w:val="auto"/>
        </w:rPr>
        <w:t>Diluted EPS guidance for the full year ending July 31, 2019 was increased to a range of $2.20 to $2.30 from the previous range of $2.15 to $2.25.</w:t>
      </w:r>
    </w:p>
    <w:p>
      <w:pPr>
        <w:spacing w:after="0" w:line="349" w:lineRule="exact"/>
        <w:rPr>
          <w:sz w:val="20"/>
          <w:szCs w:val="20"/>
          <w:color w:val="auto"/>
        </w:rPr>
      </w:pPr>
    </w:p>
    <w:p>
      <w:pPr>
        <w:ind w:right="20"/>
        <w:spacing w:after="0" w:line="391" w:lineRule="auto"/>
        <w:rPr>
          <w:sz w:val="20"/>
          <w:szCs w:val="20"/>
          <w:color w:val="auto"/>
        </w:rPr>
      </w:pPr>
      <w:r>
        <w:rPr>
          <w:rFonts w:ascii="Arial" w:cs="Arial" w:eastAsia="Arial" w:hAnsi="Arial"/>
          <w:sz w:val="16"/>
          <w:szCs w:val="16"/>
          <w:color w:val="auto"/>
        </w:rPr>
        <w:t>MILWAUKEE (November 15, 2018)--Brady Corporation (NYSE: BRC) (“Brady” or “Company”), a world leader in identification solutions, today reported its financial results for its fiscal 2019 first quarter ended October 31, 2018.</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 Ended October 31, 2018 Financial Results:</w:t>
      </w:r>
    </w:p>
    <w:p>
      <w:pPr>
        <w:spacing w:after="0" w:line="9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Earnings before income taxes increased 14.8 percent to $39.9 million for the quarter ended October 31, 2018, compared to $34.8 million in the same quarter last year.</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Net earnings for the quarter ended October 31, 2018, were $30.6 million compared to $25.8 million in the same quarter last year.</w:t>
      </w:r>
    </w:p>
    <w:p>
      <w:pPr>
        <w:spacing w:after="0" w:line="9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Net earnings per diluted Class A Nonvoting Common Share were $0.58 for the first quarter of fiscal 2019, compared to $0.49 in the same quarter last year.</w:t>
      </w:r>
    </w:p>
    <w:p>
      <w:pPr>
        <w:spacing w:after="0" w:line="105" w:lineRule="exact"/>
        <w:rPr>
          <w:sz w:val="20"/>
          <w:szCs w:val="20"/>
          <w:color w:val="auto"/>
        </w:rPr>
      </w:pPr>
    </w:p>
    <w:p>
      <w:pPr>
        <w:ind w:right="40" w:firstLine="533"/>
        <w:spacing w:after="0" w:line="436" w:lineRule="auto"/>
        <w:rPr>
          <w:sz w:val="20"/>
          <w:szCs w:val="20"/>
          <w:color w:val="auto"/>
        </w:rPr>
      </w:pPr>
      <w:r>
        <w:rPr>
          <w:rFonts w:ascii="Arial" w:cs="Arial" w:eastAsia="Arial" w:hAnsi="Arial"/>
          <w:sz w:val="14"/>
          <w:szCs w:val="14"/>
          <w:color w:val="auto"/>
        </w:rPr>
        <w:t>Sales for the quarter ended October 31, 2018 increased 1.0 percent, which consisted of organic sales growth of 4.7 percent, a decrease in sales of 2.0 percent from foreign currency translation, and a decrease in sales of 1.7 percent from the divestiture of a business in the fourth quarter of fiscal 2018. Sales for the quarter ended October 31, 2018 were $293.2 million compared to $290.2 million in the same quarter last year. By segment, sales increased 4.0 percent in Identification Solutions and decreased 6.6 percent in Workplace Safety, which consisted of organic sales growth of 5.7 percent in Identification Solutions and organic sales growth of 2.2 percent in Workplace Safety.</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Commentary:</w:t>
      </w:r>
    </w:p>
    <w:p>
      <w:pPr>
        <w:spacing w:after="0" w:line="97" w:lineRule="exact"/>
        <w:rPr>
          <w:sz w:val="20"/>
          <w:szCs w:val="20"/>
          <w:color w:val="auto"/>
        </w:rPr>
      </w:pPr>
    </w:p>
    <w:p>
      <w:pPr>
        <w:ind w:right="160" w:firstLine="533"/>
        <w:spacing w:after="0" w:line="433" w:lineRule="auto"/>
        <w:rPr>
          <w:sz w:val="20"/>
          <w:szCs w:val="20"/>
          <w:color w:val="auto"/>
        </w:rPr>
      </w:pPr>
      <w:r>
        <w:rPr>
          <w:rFonts w:ascii="Arial" w:cs="Arial" w:eastAsia="Arial" w:hAnsi="Arial"/>
          <w:sz w:val="15"/>
          <w:szCs w:val="15"/>
          <w:color w:val="auto"/>
        </w:rPr>
        <w:t>“Our investments to increase organic sales growth through the development of innovative new products and to provide increased value to our customers is paying off as we reported 4.7 percent organic growth this quarter, which marks our sixth consecutive quarter of organic sales growth,” said Brady’s President and Chief Executive</w:t>
      </w:r>
    </w:p>
    <w:p>
      <w:pPr>
        <w:sectPr>
          <w:pgSz w:w="11900" w:h="16838" w:orient="portrait"/>
          <w:cols w:equalWidth="0" w:num="1">
            <w:col w:w="11460"/>
          </w:cols>
          <w:pgMar w:left="220" w:top="498" w:right="219" w:bottom="1440" w:gutter="0" w:footer="0" w:header="0"/>
        </w:sectPr>
      </w:pPr>
    </w:p>
    <w:bookmarkStart w:id="4" w:name="page5"/>
    <w:bookmarkEnd w:id="4"/>
    <w:p>
      <w:pPr>
        <w:ind w:right="140"/>
        <w:spacing w:after="0" w:line="413" w:lineRule="auto"/>
        <w:rPr>
          <w:sz w:val="20"/>
          <w:szCs w:val="20"/>
          <w:color w:val="auto"/>
        </w:rPr>
      </w:pPr>
      <w:r>
        <w:rPr>
          <w:rFonts w:ascii="Arial" w:cs="Arial" w:eastAsia="Arial" w:hAnsi="Arial"/>
          <w:sz w:val="14"/>
          <w:szCs w:val="14"/>
          <w:color w:val="auto"/>
        </w:rPr>
        <w:t>Officer, J. Michael Nauman. “This quarter also represents our thirteenth consecutive quarter of year-over-year pre-tax earnings growth. We apply a consistent and balanced approach to generating organic sales growth while driving sustainable efficiency gains throughout our global operations and SG&amp;A structure. We expect this positive organic sales trend to continue as we invest in new product development in our global businesses and as our Workplace Safety business returns to consistent organic sales growth.”</w:t>
      </w:r>
    </w:p>
    <w:p>
      <w:pPr>
        <w:spacing w:after="0" w:line="1" w:lineRule="exact"/>
        <w:rPr>
          <w:sz w:val="20"/>
          <w:szCs w:val="20"/>
          <w:color w:val="auto"/>
        </w:rPr>
      </w:pPr>
    </w:p>
    <w:p>
      <w:pPr>
        <w:ind w:firstLine="533"/>
        <w:spacing w:after="0" w:line="369" w:lineRule="auto"/>
        <w:rPr>
          <w:sz w:val="20"/>
          <w:szCs w:val="20"/>
          <w:color w:val="auto"/>
        </w:rPr>
      </w:pPr>
      <w:r>
        <w:rPr>
          <w:rFonts w:ascii="Arial" w:cs="Arial" w:eastAsia="Arial" w:hAnsi="Arial"/>
          <w:sz w:val="16"/>
          <w:szCs w:val="16"/>
          <w:color w:val="auto"/>
        </w:rPr>
        <w:t>“We used our cash generation this quarter to increase our investments in research and development and capability-enhancing capital expenditures while returning funds to our shareholders through dividends and further strengthening our balance sheet. We finished in a net cash position of $137.8 million as of October 31, 2018,” said Brady’s Chief Financial Officer, Aaron Pearce. “We’re experiencing increased costs in certain areas, making our focus on driving efficiency improvements and making investments in equipment and machinery to increase automation our top operational priorities. Our balance sheet provides significant flexibility for ongoing investments in growth opportunities to drive long-term shareholder value.”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2019 Guidance:</w:t>
      </w:r>
    </w:p>
    <w:p>
      <w:pPr>
        <w:spacing w:after="0" w:line="97" w:lineRule="exact"/>
        <w:rPr>
          <w:sz w:val="20"/>
          <w:szCs w:val="20"/>
          <w:color w:val="auto"/>
        </w:rPr>
      </w:pPr>
    </w:p>
    <w:p>
      <w:pPr>
        <w:ind w:firstLine="533"/>
        <w:spacing w:after="0" w:line="397" w:lineRule="auto"/>
        <w:rPr>
          <w:sz w:val="20"/>
          <w:szCs w:val="20"/>
          <w:color w:val="auto"/>
        </w:rPr>
      </w:pPr>
      <w:r>
        <w:rPr>
          <w:rFonts w:ascii="Arial" w:cs="Arial" w:eastAsia="Arial" w:hAnsi="Arial"/>
          <w:sz w:val="15"/>
          <w:szCs w:val="15"/>
          <w:color w:val="auto"/>
        </w:rPr>
        <w:t>The Company is increasing its full year fiscal 2019 earnings per diluted Class A Nonvoting Common Share guidance from its previous range of $2.15 to $2.25 to a range of $2.20 to $2.30. Included in this guidance is organic sales growth of 3.0 percent to 5.0 percent, a full-year income tax rate in the mid-20 percent range, and depreciation and amortization expense of approximately $26 million. The Company expects to achieve efficiency gains in its manufacturing facilities and in selling, general and administrative expenses while continuing to increase investments in research and development. Capital expenditures are anticipated to be approximately $35 million during the year ending July 31, 2019. This guidance is based upon foreign currency exchange rates as of October 31, 2018.</w:t>
      </w:r>
    </w:p>
    <w:p>
      <w:pPr>
        <w:spacing w:after="0" w:line="21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A webcast regarding Brady’s fiscal 2019 first quarter financial results will be available at </w:t>
      </w:r>
      <w:r>
        <w:rPr>
          <w:rFonts w:ascii="Arial" w:cs="Arial" w:eastAsia="Arial" w:hAnsi="Arial"/>
          <w:sz w:val="15"/>
          <w:szCs w:val="15"/>
          <w:u w:val="single" w:color="auto"/>
          <w:color w:val="0000FF"/>
        </w:rPr>
        <w:t>www.bradycorp.com/investors</w:t>
      </w:r>
      <w:r>
        <w:rPr>
          <w:rFonts w:ascii="Arial" w:cs="Arial" w:eastAsia="Arial" w:hAnsi="Arial"/>
          <w:sz w:val="15"/>
          <w:szCs w:val="15"/>
          <w:color w:val="auto"/>
        </w:rPr>
        <w:t xml:space="preserve"> beginning at 9:30 a.m. Central Time today.</w:t>
      </w:r>
    </w:p>
    <w:p>
      <w:pPr>
        <w:spacing w:after="0" w:line="360" w:lineRule="exact"/>
        <w:rPr>
          <w:sz w:val="20"/>
          <w:szCs w:val="20"/>
          <w:color w:val="auto"/>
        </w:rPr>
      </w:pPr>
    </w:p>
    <w:p>
      <w:pPr>
        <w:ind w:right="100" w:firstLine="533"/>
        <w:spacing w:after="0" w:line="367" w:lineRule="auto"/>
        <w:rPr>
          <w:sz w:val="20"/>
          <w:szCs w:val="20"/>
          <w:color w:val="auto"/>
        </w:rPr>
      </w:pPr>
      <w:r>
        <w:rPr>
          <w:rFonts w:ascii="Arial" w:cs="Arial" w:eastAsia="Arial" w:hAnsi="Arial"/>
          <w:sz w:val="16"/>
          <w:szCs w:val="16"/>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2018, employed approximately 6,200 people in its worldwide businesses. Brady’s fiscal 2018 sales were approximately $1.17 billion. Brady stock trades on the New York Stock Exchange under the symbol BRC. More information is available on the Internet at </w:t>
      </w:r>
      <w:r>
        <w:rPr>
          <w:rFonts w:ascii="Arial" w:cs="Arial" w:eastAsia="Arial" w:hAnsi="Arial"/>
          <w:sz w:val="16"/>
          <w:szCs w:val="16"/>
          <w:u w:val="single" w:color="auto"/>
          <w:color w:val="0000FF"/>
        </w:rPr>
        <w:t>www.bradycorp.com</w:t>
      </w:r>
      <w:r>
        <w:rPr>
          <w:rFonts w:ascii="Arial" w:cs="Arial" w:eastAsia="Arial" w:hAnsi="Arial"/>
          <w:sz w:val="16"/>
          <w:szCs w:val="16"/>
          <w:color w:val="0000FF"/>
        </w:rPr>
        <w:t>.</w:t>
      </w:r>
    </w:p>
    <w:p>
      <w:pPr>
        <w:sectPr>
          <w:pgSz w:w="11900" w:h="16838" w:orient="portrait"/>
          <w:cols w:equalWidth="0" w:num="1">
            <w:col w:w="11440"/>
          </w:cols>
          <w:pgMar w:left="220" w:top="546"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6"/>
          <w:szCs w:val="16"/>
          <w:color w:val="auto"/>
        </w:rPr>
        <w:t>###</w:t>
      </w:r>
    </w:p>
    <w:p>
      <w:pPr>
        <w:spacing w:after="0" w:line="231" w:lineRule="exact"/>
        <w:rPr>
          <w:sz w:val="20"/>
          <w:szCs w:val="20"/>
          <w:color w:val="auto"/>
        </w:rPr>
      </w:pPr>
    </w:p>
    <w:p>
      <w:pPr>
        <w:ind w:right="200"/>
        <w:spacing w:after="0" w:line="257" w:lineRule="auto"/>
        <w:rPr>
          <w:sz w:val="20"/>
          <w:szCs w:val="20"/>
          <w:color w:val="auto"/>
        </w:rPr>
      </w:pPr>
      <w:r>
        <w:rPr>
          <w:rFonts w:ascii="Arial" w:cs="Arial" w:eastAsia="Arial" w:hAnsi="Arial"/>
          <w:sz w:val="15"/>
          <w:szCs w:val="15"/>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56" w:lineRule="exact"/>
        <w:rPr>
          <w:sz w:val="20"/>
          <w:szCs w:val="20"/>
          <w:color w:val="auto"/>
        </w:rPr>
      </w:pPr>
    </w:p>
    <w:p>
      <w:pPr>
        <w:spacing w:after="0" w:line="291" w:lineRule="auto"/>
        <w:rPr>
          <w:sz w:val="20"/>
          <w:szCs w:val="20"/>
          <w:color w:val="auto"/>
        </w:rPr>
      </w:pPr>
      <w:r>
        <w:rPr>
          <w:rFonts w:ascii="Arial" w:cs="Arial" w:eastAsia="Arial" w:hAnsi="Arial"/>
          <w:sz w:val="13"/>
          <w:szCs w:val="13"/>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our ability to compete effectively or to successfully execute our strategy; Brady’s ability to develop technologically advanced products that meet customer demands; difficulties in protecting our websites, networks, and systems against security breaches; decreased demand for our products; Brady’s ability to retain large customers; extensive regulations by U.S. and non-U.S. governmental and self-regulatory entities; risks associated with the loss of key employees; divestitures and contingent liabilities from divestitures; Brady’s ability to properly identify, integrate, and grow acquired companies; litigation, including product liability claims; Brady’s ability to execute facility consolidations and maintain acceptable operational service metrics; foreign currency fluctuations; the impact of the Tax Reform Act and any other changes in tax legislation and tax rates; potential write-offs of Brady’s substantial intangible assets; differing interests of voting and non-voting shareholders; Brady’s ability to meet certain financial covenants required by our debt agreements;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2018.</w:t>
      </w:r>
    </w:p>
    <w:p>
      <w:pPr>
        <w:spacing w:after="0" w:line="136" w:lineRule="exact"/>
        <w:rPr>
          <w:sz w:val="20"/>
          <w:szCs w:val="20"/>
          <w:color w:val="auto"/>
        </w:rPr>
      </w:pPr>
    </w:p>
    <w:p>
      <w:pPr>
        <w:ind w:right="280"/>
        <w:spacing w:after="0" w:line="268" w:lineRule="auto"/>
        <w:rPr>
          <w:sz w:val="20"/>
          <w:szCs w:val="20"/>
          <w:color w:val="auto"/>
        </w:rPr>
      </w:pPr>
      <w:r>
        <w:rPr>
          <w:rFonts w:ascii="Arial" w:cs="Arial" w:eastAsia="Arial" w:hAnsi="Arial"/>
          <w:sz w:val="15"/>
          <w:szCs w:val="15"/>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440"/>
          </w:cols>
          <w:pgMar w:left="220" w:top="546" w:right="239"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color w:val="auto"/>
        </w:rPr>
        <w:t>BRADY CORPORATION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CONSOLIDATED STATEMENTS OF EARNINGS</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 Dollars in thousands, except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4"/>
          </w:tcPr>
          <w:p>
            <w:pPr>
              <w:jc w:val="right"/>
              <w:ind w:right="173"/>
              <w:spacing w:after="0"/>
              <w:rPr>
                <w:sz w:val="20"/>
                <w:szCs w:val="20"/>
                <w:color w:val="auto"/>
              </w:rPr>
            </w:pPr>
            <w:r>
              <w:rPr>
                <w:rFonts w:ascii="Arial" w:cs="Arial" w:eastAsia="Arial" w:hAnsi="Arial"/>
                <w:sz w:val="13"/>
                <w:szCs w:val="13"/>
                <w:color w:val="auto"/>
                <w:w w:val="95"/>
              </w:rPr>
              <w:t>Three months ended October 31,</w:t>
            </w:r>
          </w:p>
        </w:tc>
      </w:tr>
      <w:tr>
        <w:trPr>
          <w:trHeight w:val="27"/>
        </w:trPr>
        <w:tc>
          <w:tcPr>
            <w:tcW w:w="5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6"/>
        </w:trPr>
        <w:tc>
          <w:tcPr>
            <w:tcW w:w="5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353"/>
              <w:spacing w:after="0"/>
              <w:rPr>
                <w:sz w:val="20"/>
                <w:szCs w:val="20"/>
                <w:color w:val="auto"/>
              </w:rPr>
            </w:pPr>
            <w:r>
              <w:rPr>
                <w:rFonts w:ascii="Arial" w:cs="Arial" w:eastAsia="Arial" w:hAnsi="Arial"/>
                <w:sz w:val="13"/>
                <w:szCs w:val="13"/>
                <w:color w:val="auto"/>
              </w:rPr>
              <w:t>2018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33"/>
              <w:spacing w:after="0"/>
              <w:rPr>
                <w:sz w:val="20"/>
                <w:szCs w:val="20"/>
                <w:color w:val="auto"/>
              </w:rPr>
            </w:pPr>
            <w:r>
              <w:rPr>
                <w:rFonts w:ascii="Arial" w:cs="Arial" w:eastAsia="Arial" w:hAnsi="Arial"/>
                <w:sz w:val="13"/>
                <w:szCs w:val="13"/>
                <w:color w:val="auto"/>
              </w:rPr>
              <w:t>2017</w:t>
            </w:r>
          </w:p>
        </w:tc>
      </w:tr>
      <w:tr>
        <w:trPr>
          <w:trHeight w:val="27"/>
        </w:trPr>
        <w:tc>
          <w:tcPr>
            <w:tcW w:w="5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2"/>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sales</w:t>
            </w:r>
          </w:p>
        </w:tc>
        <w:tc>
          <w:tcPr>
            <w:tcW w:w="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293,196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290,151</w:t>
            </w:r>
          </w:p>
        </w:tc>
      </w:tr>
      <w:tr>
        <w:trPr>
          <w:trHeight w:val="195"/>
        </w:trPr>
        <w:tc>
          <w:tcPr>
            <w:tcW w:w="5760" w:type="dxa"/>
            <w:vAlign w:val="bottom"/>
          </w:tcPr>
          <w:p>
            <w:pPr>
              <w:ind w:left="40"/>
              <w:spacing w:after="0"/>
              <w:rPr>
                <w:sz w:val="20"/>
                <w:szCs w:val="20"/>
                <w:color w:val="auto"/>
              </w:rPr>
            </w:pPr>
            <w:r>
              <w:rPr>
                <w:rFonts w:ascii="Arial" w:cs="Arial" w:eastAsia="Arial" w:hAnsi="Arial"/>
                <w:sz w:val="13"/>
                <w:szCs w:val="13"/>
                <w:color w:val="auto"/>
              </w:rPr>
              <w:t>Cost of products sold</w:t>
            </w:r>
          </w:p>
        </w:tc>
        <w:tc>
          <w:tcPr>
            <w:tcW w:w="160" w:type="dxa"/>
            <w:vAlign w:val="bottom"/>
          </w:tcPr>
          <w:p>
            <w:pPr>
              <w:spacing w:after="0"/>
              <w:rPr>
                <w:sz w:val="16"/>
                <w:szCs w:val="16"/>
                <w:color w:val="auto"/>
              </w:rPr>
            </w:pP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146,657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144,086</w:t>
            </w:r>
          </w:p>
        </w:tc>
      </w:tr>
      <w:tr>
        <w:trPr>
          <w:trHeight w:val="27"/>
        </w:trPr>
        <w:tc>
          <w:tcPr>
            <w:tcW w:w="5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2"/>
        </w:trPr>
        <w:tc>
          <w:tcPr>
            <w:tcW w:w="5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Gross margin</w:t>
            </w: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146,539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146,065</w:t>
            </w:r>
          </w:p>
        </w:tc>
      </w:tr>
      <w:tr>
        <w:trPr>
          <w:trHeight w:val="195"/>
        </w:trPr>
        <w:tc>
          <w:tcPr>
            <w:tcW w:w="5760" w:type="dxa"/>
            <w:vAlign w:val="bottom"/>
          </w:tcPr>
          <w:p>
            <w:pPr>
              <w:ind w:left="40"/>
              <w:spacing w:after="0"/>
              <w:rPr>
                <w:sz w:val="20"/>
                <w:szCs w:val="20"/>
                <w:color w:val="auto"/>
              </w:rPr>
            </w:pPr>
            <w:r>
              <w:rPr>
                <w:rFonts w:ascii="Arial" w:cs="Arial" w:eastAsia="Arial" w:hAnsi="Arial"/>
                <w:sz w:val="13"/>
                <w:szCs w:val="13"/>
                <w:color w:val="auto"/>
              </w:rPr>
              <w:t>Operating expenses: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7"/>
        </w:trPr>
        <w:tc>
          <w:tcPr>
            <w:tcW w:w="5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2"/>
        </w:trPr>
        <w:tc>
          <w:tcPr>
            <w:tcW w:w="5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Research and development</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11,326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10,520</w:t>
            </w:r>
          </w:p>
        </w:tc>
      </w:tr>
      <w:tr>
        <w:trPr>
          <w:trHeight w:val="195"/>
        </w:trPr>
        <w:tc>
          <w:tcPr>
            <w:tcW w:w="5760" w:type="dxa"/>
            <w:vAlign w:val="bottom"/>
          </w:tcPr>
          <w:p>
            <w:pPr>
              <w:ind w:left="240"/>
              <w:spacing w:after="0"/>
              <w:rPr>
                <w:sz w:val="20"/>
                <w:szCs w:val="20"/>
                <w:color w:val="auto"/>
              </w:rPr>
            </w:pPr>
            <w:r>
              <w:rPr>
                <w:rFonts w:ascii="Arial" w:cs="Arial" w:eastAsia="Arial" w:hAnsi="Arial"/>
                <w:sz w:val="13"/>
                <w:szCs w:val="13"/>
                <w:color w:val="auto"/>
              </w:rPr>
              <w:t>Selling, general and administrative</w:t>
            </w:r>
          </w:p>
        </w:tc>
        <w:tc>
          <w:tcPr>
            <w:tcW w:w="160" w:type="dxa"/>
            <w:vAlign w:val="bottom"/>
          </w:tcPr>
          <w:p>
            <w:pPr>
              <w:spacing w:after="0"/>
              <w:rPr>
                <w:sz w:val="16"/>
                <w:szCs w:val="16"/>
                <w:color w:val="auto"/>
              </w:rPr>
            </w:pP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94,591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100,134</w:t>
            </w:r>
          </w:p>
        </w:tc>
      </w:tr>
      <w:tr>
        <w:trPr>
          <w:trHeight w:val="27"/>
        </w:trPr>
        <w:tc>
          <w:tcPr>
            <w:tcW w:w="5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2"/>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Total operating expenses</w:t>
            </w: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105,917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110,654</w:t>
            </w:r>
          </w:p>
        </w:tc>
      </w:tr>
      <w:tr>
        <w:trPr>
          <w:trHeight w:val="222"/>
        </w:trPr>
        <w:tc>
          <w:tcPr>
            <w:tcW w:w="5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2"/>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Operating income</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40,622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35,411</w:t>
            </w:r>
          </w:p>
        </w:tc>
      </w:tr>
      <w:tr>
        <w:trPr>
          <w:trHeight w:val="222"/>
        </w:trPr>
        <w:tc>
          <w:tcPr>
            <w:tcW w:w="5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2"/>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Other (expense) income:</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r>
      <w:tr>
        <w:trPr>
          <w:trHeight w:val="195"/>
        </w:trPr>
        <w:tc>
          <w:tcPr>
            <w:tcW w:w="5760" w:type="dxa"/>
            <w:vAlign w:val="bottom"/>
          </w:tcPr>
          <w:p>
            <w:pPr>
              <w:ind w:left="240"/>
              <w:spacing w:after="0"/>
              <w:rPr>
                <w:sz w:val="20"/>
                <w:szCs w:val="20"/>
                <w:color w:val="auto"/>
              </w:rPr>
            </w:pPr>
            <w:r>
              <w:rPr>
                <w:rFonts w:ascii="Arial" w:cs="Arial" w:eastAsia="Arial" w:hAnsi="Arial"/>
                <w:sz w:val="13"/>
                <w:szCs w:val="13"/>
                <w:color w:val="auto"/>
              </w:rPr>
              <w:t>Investment and other (expense) income</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216</w:t>
            </w:r>
          </w:p>
        </w:tc>
      </w:tr>
      <w:tr>
        <w:trPr>
          <w:trHeight w:val="27"/>
        </w:trPr>
        <w:tc>
          <w:tcPr>
            <w:tcW w:w="5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2"/>
        </w:trPr>
        <w:tc>
          <w:tcPr>
            <w:tcW w:w="5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(863)</w:t>
            </w:r>
          </w:p>
        </w:tc>
      </w:tr>
      <w:tr>
        <w:trPr>
          <w:trHeight w:val="213"/>
        </w:trPr>
        <w:tc>
          <w:tcPr>
            <w:tcW w:w="57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202"/>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Earnings before income taxes</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39,893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34,764</w:t>
            </w:r>
          </w:p>
        </w:tc>
      </w:tr>
      <w:tr>
        <w:trPr>
          <w:trHeight w:val="222"/>
        </w:trPr>
        <w:tc>
          <w:tcPr>
            <w:tcW w:w="5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2"/>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Income tax expense</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9,256</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8,928</w:t>
            </w:r>
          </w:p>
        </w:tc>
      </w:tr>
      <w:tr>
        <w:trPr>
          <w:trHeight w:val="213"/>
        </w:trPr>
        <w:tc>
          <w:tcPr>
            <w:tcW w:w="57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203"/>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earnings</w:t>
            </w: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30,637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25,836</w:t>
            </w:r>
          </w:p>
        </w:tc>
      </w:tr>
      <w:tr>
        <w:trPr>
          <w:trHeight w:val="20"/>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3"/>
        </w:trPr>
        <w:tc>
          <w:tcPr>
            <w:tcW w:w="5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2"/>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Earnings per Class A Nonvoting Common Share:</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r>
      <w:tr>
        <w:trPr>
          <w:trHeight w:val="195"/>
        </w:trPr>
        <w:tc>
          <w:tcPr>
            <w:tcW w:w="5760" w:type="dxa"/>
            <w:vAlign w:val="bottom"/>
          </w:tcPr>
          <w:p>
            <w:pPr>
              <w:ind w:left="240"/>
              <w:spacing w:after="0"/>
              <w:rPr>
                <w:sz w:val="20"/>
                <w:szCs w:val="20"/>
                <w:color w:val="auto"/>
              </w:rPr>
            </w:pPr>
            <w:r>
              <w:rPr>
                <w:rFonts w:ascii="Arial" w:cs="Arial" w:eastAsia="Arial" w:hAnsi="Arial"/>
                <w:sz w:val="13"/>
                <w:szCs w:val="13"/>
                <w:color w:val="auto"/>
              </w:rPr>
              <w:t>Basic</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0.59</w:t>
            </w:r>
          </w:p>
        </w:tc>
        <w:tc>
          <w:tcPr>
            <w:tcW w:w="80" w:type="dxa"/>
            <w:vAlign w:val="bottom"/>
          </w:tcPr>
          <w:p>
            <w:pPr>
              <w:spacing w:after="0"/>
              <w:rPr>
                <w:sz w:val="16"/>
                <w:szCs w:val="16"/>
                <w:color w:val="auto"/>
              </w:rPr>
            </w:pP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0.50</w:t>
            </w:r>
          </w:p>
        </w:tc>
      </w:tr>
      <w:tr>
        <w:trPr>
          <w:trHeight w:val="27"/>
        </w:trPr>
        <w:tc>
          <w:tcPr>
            <w:tcW w:w="5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2"/>
        </w:trPr>
        <w:tc>
          <w:tcPr>
            <w:tcW w:w="5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Diluted</w:t>
            </w:r>
          </w:p>
        </w:tc>
        <w:tc>
          <w:tcPr>
            <w:tcW w:w="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0.58</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0.49</w:t>
            </w:r>
          </w:p>
        </w:tc>
      </w:tr>
      <w:tr>
        <w:trPr>
          <w:trHeight w:val="195"/>
        </w:trPr>
        <w:tc>
          <w:tcPr>
            <w:tcW w:w="5760" w:type="dxa"/>
            <w:vAlign w:val="bottom"/>
          </w:tcPr>
          <w:p>
            <w:pPr>
              <w:ind w:left="240"/>
              <w:spacing w:after="0"/>
              <w:rPr>
                <w:sz w:val="20"/>
                <w:szCs w:val="20"/>
                <w:color w:val="auto"/>
              </w:rPr>
            </w:pPr>
            <w:r>
              <w:rPr>
                <w:rFonts w:ascii="Arial" w:cs="Arial" w:eastAsia="Arial" w:hAnsi="Arial"/>
                <w:sz w:val="13"/>
                <w:szCs w:val="13"/>
                <w:color w:val="auto"/>
              </w:rPr>
              <w:t>Dividends</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0.21</w:t>
            </w:r>
          </w:p>
        </w:tc>
        <w:tc>
          <w:tcPr>
            <w:tcW w:w="80" w:type="dxa"/>
            <w:vAlign w:val="bottom"/>
          </w:tcPr>
          <w:p>
            <w:pPr>
              <w:spacing w:after="0"/>
              <w:rPr>
                <w:sz w:val="16"/>
                <w:szCs w:val="16"/>
                <w:color w:val="auto"/>
              </w:rPr>
            </w:pP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0.21</w:t>
            </w:r>
          </w:p>
        </w:tc>
      </w:tr>
      <w:tr>
        <w:trPr>
          <w:trHeight w:val="27"/>
        </w:trPr>
        <w:tc>
          <w:tcPr>
            <w:tcW w:w="5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2"/>
        </w:trPr>
        <w:tc>
          <w:tcPr>
            <w:tcW w:w="5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195"/>
        </w:trPr>
        <w:tc>
          <w:tcPr>
            <w:tcW w:w="5760" w:type="dxa"/>
            <w:vAlign w:val="bottom"/>
          </w:tcPr>
          <w:p>
            <w:pPr>
              <w:ind w:left="40"/>
              <w:spacing w:after="0"/>
              <w:rPr>
                <w:sz w:val="20"/>
                <w:szCs w:val="20"/>
                <w:color w:val="auto"/>
              </w:rPr>
            </w:pPr>
            <w:r>
              <w:rPr>
                <w:rFonts w:ascii="Arial" w:cs="Arial" w:eastAsia="Arial" w:hAnsi="Arial"/>
                <w:sz w:val="13"/>
                <w:szCs w:val="13"/>
                <w:color w:val="auto"/>
              </w:rPr>
              <w:t>Net Earnings per Class B Voting Common Share:</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7"/>
        </w:trPr>
        <w:tc>
          <w:tcPr>
            <w:tcW w:w="5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2"/>
        </w:trPr>
        <w:tc>
          <w:tcPr>
            <w:tcW w:w="5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Basic</w:t>
            </w:r>
          </w:p>
        </w:tc>
        <w:tc>
          <w:tcPr>
            <w:tcW w:w="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0.57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0.49</w:t>
            </w:r>
          </w:p>
        </w:tc>
      </w:tr>
      <w:tr>
        <w:trPr>
          <w:trHeight w:val="195"/>
        </w:trPr>
        <w:tc>
          <w:tcPr>
            <w:tcW w:w="5760" w:type="dxa"/>
            <w:vAlign w:val="bottom"/>
          </w:tcPr>
          <w:p>
            <w:pPr>
              <w:ind w:left="240"/>
              <w:spacing w:after="0"/>
              <w:rPr>
                <w:sz w:val="20"/>
                <w:szCs w:val="20"/>
                <w:color w:val="auto"/>
              </w:rPr>
            </w:pPr>
            <w:r>
              <w:rPr>
                <w:rFonts w:ascii="Arial" w:cs="Arial" w:eastAsia="Arial" w:hAnsi="Arial"/>
                <w:sz w:val="13"/>
                <w:szCs w:val="13"/>
                <w:color w:val="auto"/>
              </w:rPr>
              <w:t>Diluted</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0.56</w:t>
            </w:r>
          </w:p>
        </w:tc>
        <w:tc>
          <w:tcPr>
            <w:tcW w:w="80" w:type="dxa"/>
            <w:vAlign w:val="bottom"/>
          </w:tcPr>
          <w:p>
            <w:pPr>
              <w:spacing w:after="0"/>
              <w:rPr>
                <w:sz w:val="16"/>
                <w:szCs w:val="16"/>
                <w:color w:val="auto"/>
              </w:rPr>
            </w:pP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0.48</w:t>
            </w:r>
          </w:p>
        </w:tc>
      </w:tr>
      <w:tr>
        <w:trPr>
          <w:trHeight w:val="27"/>
        </w:trPr>
        <w:tc>
          <w:tcPr>
            <w:tcW w:w="5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2"/>
        </w:trPr>
        <w:tc>
          <w:tcPr>
            <w:tcW w:w="5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Dividends</w:t>
            </w:r>
          </w:p>
        </w:tc>
        <w:tc>
          <w:tcPr>
            <w:tcW w:w="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0.20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0.19</w:t>
            </w:r>
          </w:p>
        </w:tc>
      </w:tr>
      <w:tr>
        <w:trPr>
          <w:trHeight w:val="222"/>
        </w:trPr>
        <w:tc>
          <w:tcPr>
            <w:tcW w:w="5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2"/>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Weighted average common shares outstanding (in thousands):</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r>
      <w:tr>
        <w:trPr>
          <w:trHeight w:val="195"/>
        </w:trPr>
        <w:tc>
          <w:tcPr>
            <w:tcW w:w="5760" w:type="dxa"/>
            <w:vAlign w:val="bottom"/>
          </w:tcPr>
          <w:p>
            <w:pPr>
              <w:ind w:left="240"/>
              <w:spacing w:after="0"/>
              <w:rPr>
                <w:sz w:val="20"/>
                <w:szCs w:val="20"/>
                <w:color w:val="auto"/>
              </w:rPr>
            </w:pPr>
            <w:r>
              <w:rPr>
                <w:rFonts w:ascii="Arial" w:cs="Arial" w:eastAsia="Arial" w:hAnsi="Arial"/>
                <w:sz w:val="13"/>
                <w:szCs w:val="13"/>
                <w:color w:val="auto"/>
              </w:rPr>
              <w:t>Basic</w:t>
            </w:r>
          </w:p>
        </w:tc>
        <w:tc>
          <w:tcPr>
            <w:tcW w:w="160" w:type="dxa"/>
            <w:vAlign w:val="bottom"/>
          </w:tcPr>
          <w:p>
            <w:pPr>
              <w:spacing w:after="0"/>
              <w:rPr>
                <w:sz w:val="16"/>
                <w:szCs w:val="16"/>
                <w:color w:val="auto"/>
              </w:rPr>
            </w:pP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52,201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51,440</w:t>
            </w:r>
          </w:p>
        </w:tc>
      </w:tr>
      <w:tr>
        <w:trPr>
          <w:trHeight w:val="27"/>
        </w:trPr>
        <w:tc>
          <w:tcPr>
            <w:tcW w:w="5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5"/>
        </w:trPr>
        <w:tc>
          <w:tcPr>
            <w:tcW w:w="57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Diluted</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52,958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52,383</w:t>
            </w:r>
          </w:p>
        </w:tc>
      </w:tr>
      <w:tr>
        <w:trPr>
          <w:trHeight w:val="27"/>
        </w:trPr>
        <w:tc>
          <w:tcPr>
            <w:tcW w:w="5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ectPr>
          <w:pgSz w:w="11900" w:h="16838" w:orient="portrait"/>
          <w:cols w:equalWidth="0" w:num="1">
            <w:col w:w="10239"/>
          </w:cols>
          <w:pgMar w:left="220" w:top="506" w:right="1440"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color w:val="auto"/>
        </w:rPr>
        <w:t>BRADY CORPORATION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CONSOLIDATED BALANCE SHEETS</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3"/>
                <w:szCs w:val="13"/>
                <w:color w:val="auto"/>
                <w:w w:val="91"/>
              </w:rPr>
              <w:t>October 31, 2018</w:t>
            </w:r>
          </w:p>
        </w:tc>
        <w:tc>
          <w:tcPr>
            <w:tcW w:w="140" w:type="dxa"/>
            <w:vAlign w:val="bottom"/>
          </w:tcPr>
          <w:p>
            <w:pPr>
              <w:spacing w:after="0"/>
              <w:rPr>
                <w:sz w:val="14"/>
                <w:szCs w:val="14"/>
                <w:color w:val="auto"/>
              </w:rPr>
            </w:pPr>
          </w:p>
        </w:tc>
        <w:tc>
          <w:tcPr>
            <w:tcW w:w="940" w:type="dxa"/>
            <w:vAlign w:val="bottom"/>
          </w:tcPr>
          <w:p>
            <w:pPr>
              <w:jc w:val="right"/>
              <w:ind w:right="113"/>
              <w:spacing w:after="0"/>
              <w:rPr>
                <w:sz w:val="20"/>
                <w:szCs w:val="20"/>
                <w:color w:val="auto"/>
              </w:rPr>
            </w:pPr>
            <w:r>
              <w:rPr>
                <w:rFonts w:ascii="Arial" w:cs="Arial" w:eastAsia="Arial" w:hAnsi="Arial"/>
                <w:sz w:val="13"/>
                <w:szCs w:val="13"/>
                <w:color w:val="auto"/>
                <w:w w:val="95"/>
              </w:rPr>
              <w:t>July 31, 2018</w:t>
            </w:r>
          </w:p>
        </w:tc>
      </w:tr>
      <w:tr>
        <w:trPr>
          <w:trHeight w:val="27"/>
        </w:trPr>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1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(Unaudited)</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7"/>
        </w:trPr>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2"/>
        </w:trPr>
        <w:tc>
          <w:tcPr>
            <w:tcW w:w="14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6"/>
              </w:rPr>
              <w:t>ASSETS</w:t>
            </w:r>
          </w:p>
        </w:tc>
        <w:tc>
          <w:tcPr>
            <w:tcW w:w="262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r>
      <w:tr>
        <w:trPr>
          <w:trHeight w:val="195"/>
        </w:trPr>
        <w:tc>
          <w:tcPr>
            <w:tcW w:w="5760" w:type="dxa"/>
            <w:vAlign w:val="bottom"/>
            <w:gridSpan w:val="5"/>
          </w:tcPr>
          <w:p>
            <w:pPr>
              <w:ind w:left="40"/>
              <w:spacing w:after="0"/>
              <w:rPr>
                <w:sz w:val="20"/>
                <w:szCs w:val="20"/>
                <w:color w:val="auto"/>
              </w:rPr>
            </w:pPr>
            <w:r>
              <w:rPr>
                <w:rFonts w:ascii="Arial" w:cs="Arial" w:eastAsia="Arial" w:hAnsi="Arial"/>
                <w:sz w:val="13"/>
                <w:szCs w:val="13"/>
                <w:b w:val="1"/>
                <w:bCs w:val="1"/>
                <w:color w:val="auto"/>
              </w:rPr>
              <w:t>Current assets:</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7"/>
        </w:trPr>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2"/>
        </w:trPr>
        <w:tc>
          <w:tcPr>
            <w:tcW w:w="57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3"/>
                <w:szCs w:val="13"/>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192,176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181,427</w:t>
            </w:r>
          </w:p>
        </w:tc>
      </w:tr>
      <w:tr>
        <w:trPr>
          <w:trHeight w:val="195"/>
        </w:trPr>
        <w:tc>
          <w:tcPr>
            <w:tcW w:w="5760" w:type="dxa"/>
            <w:vAlign w:val="bottom"/>
            <w:gridSpan w:val="5"/>
          </w:tcPr>
          <w:p>
            <w:pPr>
              <w:ind w:left="320"/>
              <w:spacing w:after="0"/>
              <w:rPr>
                <w:sz w:val="20"/>
                <w:szCs w:val="20"/>
                <w:color w:val="auto"/>
              </w:rPr>
            </w:pPr>
            <w:r>
              <w:rPr>
                <w:rFonts w:ascii="Arial" w:cs="Arial" w:eastAsia="Arial" w:hAnsi="Arial"/>
                <w:sz w:val="13"/>
                <w:szCs w:val="13"/>
                <w:color w:val="auto"/>
              </w:rPr>
              <w:t>Accounts receivable—net</w:t>
            </w:r>
          </w:p>
        </w:tc>
        <w:tc>
          <w:tcPr>
            <w:tcW w:w="140" w:type="dxa"/>
            <w:vAlign w:val="bottom"/>
          </w:tcPr>
          <w:p>
            <w:pPr>
              <w:spacing w:after="0"/>
              <w:rPr>
                <w:sz w:val="16"/>
                <w:szCs w:val="16"/>
                <w:color w:val="auto"/>
              </w:rPr>
            </w:pP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169,327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161,282</w:t>
            </w:r>
          </w:p>
        </w:tc>
      </w:tr>
      <w:tr>
        <w:trPr>
          <w:trHeight w:val="27"/>
        </w:trPr>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2"/>
        </w:trPr>
        <w:tc>
          <w:tcPr>
            <w:tcW w:w="57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3"/>
                <w:szCs w:val="13"/>
                <w:color w:val="auto"/>
              </w:rPr>
              <w:t>Inventories:</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r>
      <w:tr>
        <w:trPr>
          <w:trHeight w:val="195"/>
        </w:trPr>
        <w:tc>
          <w:tcPr>
            <w:tcW w:w="5760" w:type="dxa"/>
            <w:vAlign w:val="bottom"/>
            <w:gridSpan w:val="5"/>
          </w:tcPr>
          <w:p>
            <w:pPr>
              <w:ind w:left="500"/>
              <w:spacing w:after="0"/>
              <w:rPr>
                <w:sz w:val="20"/>
                <w:szCs w:val="20"/>
                <w:color w:val="auto"/>
              </w:rPr>
            </w:pPr>
            <w:r>
              <w:rPr>
                <w:rFonts w:ascii="Arial" w:cs="Arial" w:eastAsia="Arial" w:hAnsi="Arial"/>
                <w:sz w:val="13"/>
                <w:szCs w:val="13"/>
                <w:color w:val="auto"/>
              </w:rPr>
              <w:t>Finished products</w:t>
            </w:r>
          </w:p>
        </w:tc>
        <w:tc>
          <w:tcPr>
            <w:tcW w:w="140" w:type="dxa"/>
            <w:vAlign w:val="bottom"/>
          </w:tcPr>
          <w:p>
            <w:pPr>
              <w:spacing w:after="0"/>
              <w:rPr>
                <w:sz w:val="16"/>
                <w:szCs w:val="16"/>
                <w:color w:val="auto"/>
              </w:rPr>
            </w:pP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71,092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73,133</w:t>
            </w:r>
          </w:p>
        </w:tc>
      </w:tr>
      <w:tr>
        <w:trPr>
          <w:trHeight w:val="27"/>
        </w:trPr>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2"/>
        </w:trPr>
        <w:tc>
          <w:tcPr>
            <w:tcW w:w="5760" w:type="dxa"/>
            <w:vAlign w:val="bottom"/>
            <w:tcBorders>
              <w:bottom w:val="single" w:sz="8" w:color="CCEEFF"/>
            </w:tcBorders>
            <w:gridSpan w:val="5"/>
            <w:shd w:val="clear" w:color="auto" w:fill="CCEEFF"/>
          </w:tcPr>
          <w:p>
            <w:pPr>
              <w:ind w:left="500"/>
              <w:spacing w:after="0"/>
              <w:rPr>
                <w:sz w:val="20"/>
                <w:szCs w:val="20"/>
                <w:color w:val="auto"/>
              </w:rPr>
            </w:pPr>
            <w:r>
              <w:rPr>
                <w:rFonts w:ascii="Arial" w:cs="Arial" w:eastAsia="Arial" w:hAnsi="Arial"/>
                <w:sz w:val="13"/>
                <w:szCs w:val="13"/>
                <w:color w:val="auto"/>
              </w:rPr>
              <w:t>Work-in-process</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20,734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19,903</w:t>
            </w:r>
          </w:p>
        </w:tc>
      </w:tr>
      <w:tr>
        <w:trPr>
          <w:trHeight w:val="195"/>
        </w:trPr>
        <w:tc>
          <w:tcPr>
            <w:tcW w:w="5760" w:type="dxa"/>
            <w:vAlign w:val="bottom"/>
            <w:gridSpan w:val="5"/>
          </w:tcPr>
          <w:p>
            <w:pPr>
              <w:ind w:left="500"/>
              <w:spacing w:after="0"/>
              <w:rPr>
                <w:sz w:val="20"/>
                <w:szCs w:val="20"/>
                <w:color w:val="auto"/>
              </w:rPr>
            </w:pPr>
            <w:r>
              <w:rPr>
                <w:rFonts w:ascii="Arial" w:cs="Arial" w:eastAsia="Arial" w:hAnsi="Arial"/>
                <w:sz w:val="13"/>
                <w:szCs w:val="13"/>
                <w:color w:val="auto"/>
              </w:rPr>
              <w:t>Raw materials and supplies</w:t>
            </w:r>
          </w:p>
        </w:tc>
        <w:tc>
          <w:tcPr>
            <w:tcW w:w="140" w:type="dxa"/>
            <w:vAlign w:val="bottom"/>
          </w:tcPr>
          <w:p>
            <w:pPr>
              <w:spacing w:after="0"/>
              <w:rPr>
                <w:sz w:val="16"/>
                <w:szCs w:val="16"/>
                <w:color w:val="auto"/>
              </w:rPr>
            </w:pP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22,190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20,035</w:t>
            </w:r>
          </w:p>
        </w:tc>
      </w:tr>
      <w:tr>
        <w:trPr>
          <w:trHeight w:val="27"/>
        </w:trPr>
        <w:tc>
          <w:tcPr>
            <w:tcW w:w="14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2"/>
        </w:trPr>
        <w:tc>
          <w:tcPr>
            <w:tcW w:w="5760" w:type="dxa"/>
            <w:vAlign w:val="bottom"/>
            <w:tcBorders>
              <w:bottom w:val="single" w:sz="8" w:color="CCEEFF"/>
            </w:tcBorders>
            <w:gridSpan w:val="5"/>
            <w:shd w:val="clear" w:color="auto" w:fill="CCEEFF"/>
          </w:tcPr>
          <w:p>
            <w:pPr>
              <w:ind w:left="760"/>
              <w:spacing w:after="0"/>
              <w:rPr>
                <w:sz w:val="20"/>
                <w:szCs w:val="20"/>
                <w:color w:val="auto"/>
              </w:rPr>
            </w:pPr>
            <w:r>
              <w:rPr>
                <w:rFonts w:ascii="Arial" w:cs="Arial" w:eastAsia="Arial" w:hAnsi="Arial"/>
                <w:sz w:val="13"/>
                <w:szCs w:val="13"/>
                <w:color w:val="auto"/>
              </w:rPr>
              <w:t>Total inventories</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114,016</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113,071</w:t>
            </w:r>
          </w:p>
        </w:tc>
      </w:tr>
      <w:tr>
        <w:trPr>
          <w:trHeight w:val="195"/>
        </w:trPr>
        <w:tc>
          <w:tcPr>
            <w:tcW w:w="5760" w:type="dxa"/>
            <w:vAlign w:val="bottom"/>
            <w:gridSpan w:val="5"/>
          </w:tcPr>
          <w:p>
            <w:pPr>
              <w:ind w:left="320"/>
              <w:spacing w:after="0"/>
              <w:rPr>
                <w:sz w:val="20"/>
                <w:szCs w:val="20"/>
                <w:color w:val="auto"/>
              </w:rPr>
            </w:pPr>
            <w:r>
              <w:rPr>
                <w:rFonts w:ascii="Arial" w:cs="Arial" w:eastAsia="Arial" w:hAnsi="Arial"/>
                <w:sz w:val="13"/>
                <w:szCs w:val="13"/>
                <w:color w:val="auto"/>
              </w:rPr>
              <w:t>Prepaid expenses and other current assets</w:t>
            </w:r>
          </w:p>
        </w:tc>
        <w:tc>
          <w:tcPr>
            <w:tcW w:w="140" w:type="dxa"/>
            <w:vAlign w:val="bottom"/>
          </w:tcPr>
          <w:p>
            <w:pPr>
              <w:spacing w:after="0"/>
              <w:rPr>
                <w:sz w:val="16"/>
                <w:szCs w:val="16"/>
                <w:color w:val="auto"/>
              </w:rPr>
            </w:pP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18,497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15,559</w:t>
            </w:r>
          </w:p>
        </w:tc>
      </w:tr>
      <w:tr>
        <w:trPr>
          <w:trHeight w:val="27"/>
        </w:trPr>
        <w:tc>
          <w:tcPr>
            <w:tcW w:w="14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2"/>
        </w:trPr>
        <w:tc>
          <w:tcPr>
            <w:tcW w:w="5760" w:type="dxa"/>
            <w:vAlign w:val="bottom"/>
            <w:tcBorders>
              <w:bottom w:val="single" w:sz="8" w:color="CCEEFF"/>
            </w:tcBorders>
            <w:gridSpan w:val="5"/>
            <w:shd w:val="clear" w:color="auto" w:fill="CCEEFF"/>
          </w:tcPr>
          <w:p>
            <w:pPr>
              <w:ind w:left="500"/>
              <w:spacing w:after="0"/>
              <w:rPr>
                <w:sz w:val="20"/>
                <w:szCs w:val="20"/>
                <w:color w:val="auto"/>
              </w:rPr>
            </w:pPr>
            <w:r>
              <w:rPr>
                <w:rFonts w:ascii="Arial" w:cs="Arial" w:eastAsia="Arial" w:hAnsi="Arial"/>
                <w:sz w:val="13"/>
                <w:szCs w:val="13"/>
                <w:b w:val="1"/>
                <w:bCs w:val="1"/>
                <w:color w:val="auto"/>
              </w:rPr>
              <w:t>Total current assets</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494,016</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471,339</w:t>
            </w:r>
          </w:p>
        </w:tc>
      </w:tr>
      <w:tr>
        <w:trPr>
          <w:trHeight w:val="195"/>
        </w:trPr>
        <w:tc>
          <w:tcPr>
            <w:tcW w:w="5760" w:type="dxa"/>
            <w:vAlign w:val="bottom"/>
            <w:gridSpan w:val="5"/>
          </w:tcPr>
          <w:p>
            <w:pPr>
              <w:ind w:left="40"/>
              <w:spacing w:after="0"/>
              <w:rPr>
                <w:sz w:val="20"/>
                <w:szCs w:val="20"/>
                <w:color w:val="auto"/>
              </w:rPr>
            </w:pPr>
            <w:r>
              <w:rPr>
                <w:rFonts w:ascii="Arial" w:cs="Arial" w:eastAsia="Arial" w:hAnsi="Arial"/>
                <w:sz w:val="13"/>
                <w:szCs w:val="13"/>
                <w:b w:val="1"/>
                <w:bCs w:val="1"/>
                <w:color w:val="auto"/>
              </w:rPr>
              <w:t>Other assets:</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7"/>
        </w:trPr>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2"/>
        </w:trPr>
        <w:tc>
          <w:tcPr>
            <w:tcW w:w="57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3"/>
                <w:szCs w:val="13"/>
                <w:color w:val="auto"/>
              </w:rPr>
              <w:t>Goodwill</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415,129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419,815</w:t>
            </w:r>
          </w:p>
        </w:tc>
      </w:tr>
      <w:tr>
        <w:trPr>
          <w:trHeight w:val="195"/>
        </w:trPr>
        <w:tc>
          <w:tcPr>
            <w:tcW w:w="5760" w:type="dxa"/>
            <w:vAlign w:val="bottom"/>
            <w:gridSpan w:val="5"/>
          </w:tcPr>
          <w:p>
            <w:pPr>
              <w:ind w:left="320"/>
              <w:spacing w:after="0"/>
              <w:rPr>
                <w:sz w:val="20"/>
                <w:szCs w:val="20"/>
                <w:color w:val="auto"/>
              </w:rPr>
            </w:pPr>
            <w:r>
              <w:rPr>
                <w:rFonts w:ascii="Arial" w:cs="Arial" w:eastAsia="Arial" w:hAnsi="Arial"/>
                <w:sz w:val="13"/>
                <w:szCs w:val="13"/>
                <w:color w:val="auto"/>
              </w:rPr>
              <w:t>Other intangible assets</w:t>
            </w:r>
          </w:p>
        </w:tc>
        <w:tc>
          <w:tcPr>
            <w:tcW w:w="140" w:type="dxa"/>
            <w:vAlign w:val="bottom"/>
          </w:tcPr>
          <w:p>
            <w:pPr>
              <w:spacing w:after="0"/>
              <w:rPr>
                <w:sz w:val="16"/>
                <w:szCs w:val="16"/>
                <w:color w:val="auto"/>
              </w:rPr>
            </w:pP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41,033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42,588</w:t>
            </w:r>
          </w:p>
        </w:tc>
      </w:tr>
      <w:tr>
        <w:trPr>
          <w:trHeight w:val="27"/>
        </w:trPr>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2"/>
        </w:trPr>
        <w:tc>
          <w:tcPr>
            <w:tcW w:w="57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3"/>
                <w:szCs w:val="13"/>
                <w:color w:val="auto"/>
              </w:rPr>
              <w:t>Deferred income taxes</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7,770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7,582</w:t>
            </w:r>
          </w:p>
        </w:tc>
      </w:tr>
      <w:tr>
        <w:trPr>
          <w:trHeight w:val="195"/>
        </w:trPr>
        <w:tc>
          <w:tcPr>
            <w:tcW w:w="5760" w:type="dxa"/>
            <w:vAlign w:val="bottom"/>
            <w:gridSpan w:val="5"/>
          </w:tcPr>
          <w:p>
            <w:pPr>
              <w:ind w:left="320"/>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6"/>
                <w:szCs w:val="16"/>
                <w:color w:val="auto"/>
              </w:rPr>
            </w:pP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17,621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17,662</w:t>
            </w:r>
          </w:p>
        </w:tc>
      </w:tr>
      <w:tr>
        <w:trPr>
          <w:trHeight w:val="27"/>
        </w:trPr>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2"/>
        </w:trPr>
        <w:tc>
          <w:tcPr>
            <w:tcW w:w="57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3"/>
                <w:szCs w:val="13"/>
                <w:b w:val="1"/>
                <w:bCs w:val="1"/>
                <w:color w:val="auto"/>
              </w:rPr>
              <w:t>Property, plant and equipment:</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r>
      <w:tr>
        <w:trPr>
          <w:trHeight w:val="195"/>
        </w:trPr>
        <w:tc>
          <w:tcPr>
            <w:tcW w:w="5760" w:type="dxa"/>
            <w:vAlign w:val="bottom"/>
            <w:gridSpan w:val="5"/>
          </w:tcPr>
          <w:p>
            <w:pPr>
              <w:ind w:left="320"/>
              <w:spacing w:after="0"/>
              <w:rPr>
                <w:sz w:val="20"/>
                <w:szCs w:val="20"/>
                <w:color w:val="auto"/>
              </w:rPr>
            </w:pPr>
            <w:r>
              <w:rPr>
                <w:rFonts w:ascii="Arial" w:cs="Arial" w:eastAsia="Arial" w:hAnsi="Arial"/>
                <w:sz w:val="13"/>
                <w:szCs w:val="13"/>
                <w:color w:val="auto"/>
              </w:rPr>
              <w:t>Cost:</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7"/>
        </w:trPr>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2"/>
        </w:trPr>
        <w:tc>
          <w:tcPr>
            <w:tcW w:w="5760" w:type="dxa"/>
            <w:vAlign w:val="bottom"/>
            <w:tcBorders>
              <w:bottom w:val="single" w:sz="8" w:color="CCEEFF"/>
            </w:tcBorders>
            <w:gridSpan w:val="5"/>
            <w:shd w:val="clear" w:color="auto" w:fill="CCEEFF"/>
          </w:tcPr>
          <w:p>
            <w:pPr>
              <w:ind w:left="500"/>
              <w:spacing w:after="0"/>
              <w:rPr>
                <w:sz w:val="20"/>
                <w:szCs w:val="20"/>
                <w:color w:val="auto"/>
              </w:rPr>
            </w:pPr>
            <w:r>
              <w:rPr>
                <w:rFonts w:ascii="Arial" w:cs="Arial" w:eastAsia="Arial" w:hAnsi="Arial"/>
                <w:sz w:val="13"/>
                <w:szCs w:val="13"/>
                <w:color w:val="auto"/>
              </w:rPr>
              <w:t>Land</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7,250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6,994</w:t>
            </w:r>
          </w:p>
        </w:tc>
      </w:tr>
      <w:tr>
        <w:trPr>
          <w:trHeight w:val="195"/>
        </w:trPr>
        <w:tc>
          <w:tcPr>
            <w:tcW w:w="5760" w:type="dxa"/>
            <w:vAlign w:val="bottom"/>
            <w:gridSpan w:val="5"/>
          </w:tcPr>
          <w:p>
            <w:pPr>
              <w:ind w:left="500"/>
              <w:spacing w:after="0"/>
              <w:rPr>
                <w:sz w:val="20"/>
                <w:szCs w:val="20"/>
                <w:color w:val="auto"/>
              </w:rPr>
            </w:pPr>
            <w:r>
              <w:rPr>
                <w:rFonts w:ascii="Arial" w:cs="Arial" w:eastAsia="Arial" w:hAnsi="Arial"/>
                <w:sz w:val="13"/>
                <w:szCs w:val="13"/>
                <w:color w:val="auto"/>
              </w:rPr>
              <w:t>Buildings and improvements</w:t>
            </w:r>
          </w:p>
        </w:tc>
        <w:tc>
          <w:tcPr>
            <w:tcW w:w="140" w:type="dxa"/>
            <w:vAlign w:val="bottom"/>
          </w:tcPr>
          <w:p>
            <w:pPr>
              <w:spacing w:after="0"/>
              <w:rPr>
                <w:sz w:val="16"/>
                <w:szCs w:val="16"/>
                <w:color w:val="auto"/>
              </w:rPr>
            </w:pP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95,386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96,245</w:t>
            </w:r>
          </w:p>
        </w:tc>
      </w:tr>
      <w:tr>
        <w:trPr>
          <w:trHeight w:val="27"/>
        </w:trPr>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2"/>
        </w:trPr>
        <w:tc>
          <w:tcPr>
            <w:tcW w:w="5760" w:type="dxa"/>
            <w:vAlign w:val="bottom"/>
            <w:tcBorders>
              <w:bottom w:val="single" w:sz="8" w:color="CCEEFF"/>
            </w:tcBorders>
            <w:gridSpan w:val="5"/>
            <w:shd w:val="clear" w:color="auto" w:fill="CCEEFF"/>
          </w:tcPr>
          <w:p>
            <w:pPr>
              <w:ind w:left="500"/>
              <w:spacing w:after="0"/>
              <w:rPr>
                <w:sz w:val="20"/>
                <w:szCs w:val="20"/>
                <w:color w:val="auto"/>
              </w:rPr>
            </w:pPr>
            <w:r>
              <w:rPr>
                <w:rFonts w:ascii="Arial" w:cs="Arial" w:eastAsia="Arial" w:hAnsi="Arial"/>
                <w:sz w:val="13"/>
                <w:szCs w:val="13"/>
                <w:color w:val="auto"/>
              </w:rPr>
              <w:t>Machinery and equipment</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270,192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270,989</w:t>
            </w:r>
          </w:p>
        </w:tc>
      </w:tr>
      <w:tr>
        <w:trPr>
          <w:trHeight w:val="195"/>
        </w:trPr>
        <w:tc>
          <w:tcPr>
            <w:tcW w:w="5760" w:type="dxa"/>
            <w:vAlign w:val="bottom"/>
            <w:gridSpan w:val="5"/>
          </w:tcPr>
          <w:p>
            <w:pPr>
              <w:ind w:left="500"/>
              <w:spacing w:after="0"/>
              <w:rPr>
                <w:sz w:val="20"/>
                <w:szCs w:val="20"/>
                <w:color w:val="auto"/>
              </w:rPr>
            </w:pPr>
            <w:r>
              <w:rPr>
                <w:rFonts w:ascii="Arial" w:cs="Arial" w:eastAsia="Arial" w:hAnsi="Arial"/>
                <w:sz w:val="13"/>
                <w:szCs w:val="13"/>
                <w:color w:val="auto"/>
              </w:rPr>
              <w:t>Construction in progress</w:t>
            </w:r>
          </w:p>
        </w:tc>
        <w:tc>
          <w:tcPr>
            <w:tcW w:w="140" w:type="dxa"/>
            <w:vAlign w:val="bottom"/>
          </w:tcPr>
          <w:p>
            <w:pPr>
              <w:spacing w:after="0"/>
              <w:rPr>
                <w:sz w:val="16"/>
                <w:szCs w:val="16"/>
                <w:color w:val="auto"/>
              </w:rPr>
            </w:pP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7,492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4,495</w:t>
            </w:r>
          </w:p>
        </w:tc>
      </w:tr>
      <w:tr>
        <w:trPr>
          <w:trHeight w:val="27"/>
        </w:trPr>
        <w:tc>
          <w:tcPr>
            <w:tcW w:w="14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2"/>
        </w:trPr>
        <w:tc>
          <w:tcPr>
            <w:tcW w:w="14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380,320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378,723</w:t>
            </w:r>
          </w:p>
        </w:tc>
      </w:tr>
      <w:tr>
        <w:trPr>
          <w:trHeight w:val="195"/>
        </w:trPr>
        <w:tc>
          <w:tcPr>
            <w:tcW w:w="5760" w:type="dxa"/>
            <w:vAlign w:val="bottom"/>
            <w:gridSpan w:val="5"/>
          </w:tcPr>
          <w:p>
            <w:pPr>
              <w:ind w:left="320"/>
              <w:spacing w:after="0"/>
              <w:rPr>
                <w:sz w:val="20"/>
                <w:szCs w:val="20"/>
                <w:color w:val="auto"/>
              </w:rPr>
            </w:pPr>
            <w:r>
              <w:rPr>
                <w:rFonts w:ascii="Arial" w:cs="Arial" w:eastAsia="Arial" w:hAnsi="Arial"/>
                <w:sz w:val="13"/>
                <w:szCs w:val="13"/>
                <w:color w:val="auto"/>
              </w:rPr>
              <w:t>Less accumulated depreciation</w:t>
            </w:r>
          </w:p>
        </w:tc>
        <w:tc>
          <w:tcPr>
            <w:tcW w:w="140" w:type="dxa"/>
            <w:vAlign w:val="bottom"/>
          </w:tcPr>
          <w:p>
            <w:pPr>
              <w:spacing w:after="0"/>
              <w:rPr>
                <w:sz w:val="16"/>
                <w:szCs w:val="16"/>
                <w:color w:val="auto"/>
              </w:rPr>
            </w:pP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282,263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280,778</w:t>
            </w:r>
          </w:p>
        </w:tc>
      </w:tr>
      <w:tr>
        <w:trPr>
          <w:trHeight w:val="27"/>
        </w:trPr>
        <w:tc>
          <w:tcPr>
            <w:tcW w:w="14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2"/>
        </w:trPr>
        <w:tc>
          <w:tcPr>
            <w:tcW w:w="5760" w:type="dxa"/>
            <w:vAlign w:val="bottom"/>
            <w:tcBorders>
              <w:bottom w:val="single" w:sz="8" w:color="CCEEFF"/>
            </w:tcBorders>
            <w:gridSpan w:val="5"/>
            <w:shd w:val="clear" w:color="auto" w:fill="CCEEFF"/>
          </w:tcPr>
          <w:p>
            <w:pPr>
              <w:ind w:left="500"/>
              <w:spacing w:after="0"/>
              <w:rPr>
                <w:sz w:val="20"/>
                <w:szCs w:val="20"/>
                <w:color w:val="auto"/>
              </w:rPr>
            </w:pPr>
            <w:r>
              <w:rPr>
                <w:rFonts w:ascii="Arial" w:cs="Arial" w:eastAsia="Arial" w:hAnsi="Arial"/>
                <w:sz w:val="13"/>
                <w:szCs w:val="13"/>
                <w:b w:val="1"/>
                <w:bCs w:val="1"/>
                <w:color w:val="auto"/>
              </w:rPr>
              <w:t>Property, plant and equipment—net</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98,057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97,945</w:t>
            </w:r>
          </w:p>
        </w:tc>
      </w:tr>
      <w:tr>
        <w:trPr>
          <w:trHeight w:val="234"/>
        </w:trPr>
        <w:tc>
          <w:tcPr>
            <w:tcW w:w="5760" w:type="dxa"/>
            <w:vAlign w:val="bottom"/>
            <w:tcBorders>
              <w:bottom w:val="single" w:sz="8" w:color="CCEEFF"/>
            </w:tcBorders>
            <w:gridSpan w:val="5"/>
          </w:tcPr>
          <w:p>
            <w:pPr>
              <w:ind w:left="4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1,073,626</w:t>
            </w:r>
          </w:p>
        </w:tc>
        <w:tc>
          <w:tcPr>
            <w:tcW w:w="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1,056,931</w:t>
            </w:r>
          </w:p>
        </w:tc>
      </w:tr>
      <w:tr>
        <w:trPr>
          <w:trHeight w:val="183"/>
        </w:trPr>
        <w:tc>
          <w:tcPr>
            <w:tcW w:w="1440" w:type="dxa"/>
            <w:vAlign w:val="bottom"/>
            <w:shd w:val="clear" w:color="auto" w:fill="CCEEFF"/>
          </w:tcPr>
          <w:p>
            <w:pPr>
              <w:spacing w:after="0"/>
              <w:rPr>
                <w:sz w:val="15"/>
                <w:szCs w:val="15"/>
                <w:color w:val="auto"/>
              </w:rPr>
            </w:pPr>
          </w:p>
        </w:tc>
        <w:tc>
          <w:tcPr>
            <w:tcW w:w="4320" w:type="dxa"/>
            <w:vAlign w:val="bottom"/>
            <w:gridSpan w:val="4"/>
            <w:shd w:val="clear" w:color="auto" w:fill="CCEEFF"/>
          </w:tcPr>
          <w:p>
            <w:pPr>
              <w:jc w:val="center"/>
              <w:ind w:right="1440"/>
              <w:spacing w:after="0" w:line="148" w:lineRule="exact"/>
              <w:rPr>
                <w:sz w:val="20"/>
                <w:szCs w:val="20"/>
                <w:color w:val="auto"/>
              </w:rPr>
            </w:pPr>
            <w:r>
              <w:rPr>
                <w:rFonts w:ascii="Arial" w:cs="Arial" w:eastAsia="Arial" w:hAnsi="Arial"/>
                <w:sz w:val="13"/>
                <w:szCs w:val="13"/>
                <w:b w:val="1"/>
                <w:bCs w:val="1"/>
                <w:color w:val="auto"/>
              </w:rPr>
              <w:t>LIABILITIES AND STOCKHOLDERS’ EQUITY</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95"/>
        </w:trPr>
        <w:tc>
          <w:tcPr>
            <w:tcW w:w="1440" w:type="dxa"/>
            <w:vAlign w:val="bottom"/>
            <w:tcBorders>
              <w:top w:val="single" w:sz="8" w:color="CCEEFF"/>
            </w:tcBorders>
          </w:tcPr>
          <w:p>
            <w:pPr>
              <w:ind w:left="40"/>
              <w:spacing w:after="0"/>
              <w:rPr>
                <w:sz w:val="20"/>
                <w:szCs w:val="20"/>
                <w:color w:val="auto"/>
              </w:rPr>
            </w:pPr>
            <w:r>
              <w:rPr>
                <w:rFonts w:ascii="Arial" w:cs="Arial" w:eastAsia="Arial" w:hAnsi="Arial"/>
                <w:sz w:val="13"/>
                <w:szCs w:val="13"/>
                <w:b w:val="1"/>
                <w:bCs w:val="1"/>
                <w:color w:val="auto"/>
              </w:rPr>
              <w:t>Current liabilities:</w:t>
            </w:r>
          </w:p>
        </w:tc>
        <w:tc>
          <w:tcPr>
            <w:tcW w:w="2880" w:type="dxa"/>
            <w:vAlign w:val="bottom"/>
            <w:tcBorders>
              <w:top w:val="single" w:sz="8" w:color="auto"/>
            </w:tcBorders>
            <w:gridSpan w:val="3"/>
          </w:tcPr>
          <w:p>
            <w:pPr>
              <w:spacing w:after="0"/>
              <w:rPr>
                <w:sz w:val="16"/>
                <w:szCs w:val="16"/>
                <w:color w:val="auto"/>
              </w:rPr>
            </w:pPr>
          </w:p>
        </w:tc>
        <w:tc>
          <w:tcPr>
            <w:tcW w:w="14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spacing w:after="0"/>
              <w:rPr>
                <w:sz w:val="16"/>
                <w:szCs w:val="16"/>
                <w:color w:val="auto"/>
              </w:rPr>
            </w:pPr>
          </w:p>
        </w:tc>
      </w:tr>
      <w:tr>
        <w:trPr>
          <w:trHeight w:val="27"/>
        </w:trPr>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2"/>
        </w:trPr>
        <w:tc>
          <w:tcPr>
            <w:tcW w:w="57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3"/>
                <w:szCs w:val="13"/>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64,735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66,538</w:t>
            </w:r>
          </w:p>
        </w:tc>
      </w:tr>
      <w:tr>
        <w:trPr>
          <w:trHeight w:val="195"/>
        </w:trPr>
        <w:tc>
          <w:tcPr>
            <w:tcW w:w="5760" w:type="dxa"/>
            <w:vAlign w:val="bottom"/>
            <w:gridSpan w:val="5"/>
          </w:tcPr>
          <w:p>
            <w:pPr>
              <w:ind w:left="320"/>
              <w:spacing w:after="0"/>
              <w:rPr>
                <w:sz w:val="20"/>
                <w:szCs w:val="20"/>
                <w:color w:val="auto"/>
              </w:rPr>
            </w:pPr>
            <w:r>
              <w:rPr>
                <w:rFonts w:ascii="Arial" w:cs="Arial" w:eastAsia="Arial" w:hAnsi="Arial"/>
                <w:sz w:val="13"/>
                <w:szCs w:val="13"/>
                <w:color w:val="auto"/>
              </w:rPr>
              <w:t>Wages and amounts withheld from employees</w:t>
            </w:r>
          </w:p>
        </w:tc>
        <w:tc>
          <w:tcPr>
            <w:tcW w:w="140" w:type="dxa"/>
            <w:vAlign w:val="bottom"/>
          </w:tcPr>
          <w:p>
            <w:pPr>
              <w:spacing w:after="0"/>
              <w:rPr>
                <w:sz w:val="16"/>
                <w:szCs w:val="16"/>
                <w:color w:val="auto"/>
              </w:rPr>
            </w:pP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48,945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67,619</w:t>
            </w:r>
          </w:p>
        </w:tc>
      </w:tr>
      <w:tr>
        <w:trPr>
          <w:trHeight w:val="27"/>
        </w:trPr>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2"/>
        </w:trPr>
        <w:tc>
          <w:tcPr>
            <w:tcW w:w="57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3"/>
                <w:szCs w:val="13"/>
                <w:color w:val="auto"/>
              </w:rPr>
              <w:t>Taxes, other than income taxes</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8,377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8,318</w:t>
            </w:r>
          </w:p>
        </w:tc>
      </w:tr>
      <w:tr>
        <w:trPr>
          <w:trHeight w:val="195"/>
        </w:trPr>
        <w:tc>
          <w:tcPr>
            <w:tcW w:w="5760" w:type="dxa"/>
            <w:vAlign w:val="bottom"/>
            <w:gridSpan w:val="5"/>
          </w:tcPr>
          <w:p>
            <w:pPr>
              <w:ind w:left="320"/>
              <w:spacing w:after="0"/>
              <w:rPr>
                <w:sz w:val="20"/>
                <w:szCs w:val="20"/>
                <w:color w:val="auto"/>
              </w:rPr>
            </w:pPr>
            <w:r>
              <w:rPr>
                <w:rFonts w:ascii="Arial" w:cs="Arial" w:eastAsia="Arial" w:hAnsi="Arial"/>
                <w:sz w:val="13"/>
                <w:szCs w:val="13"/>
                <w:color w:val="auto"/>
              </w:rPr>
              <w:t>Accrued income taxes</w:t>
            </w:r>
          </w:p>
        </w:tc>
        <w:tc>
          <w:tcPr>
            <w:tcW w:w="140" w:type="dxa"/>
            <w:vAlign w:val="bottom"/>
          </w:tcPr>
          <w:p>
            <w:pPr>
              <w:spacing w:after="0"/>
              <w:rPr>
                <w:sz w:val="16"/>
                <w:szCs w:val="16"/>
                <w:color w:val="auto"/>
              </w:rPr>
            </w:pP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4,937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3,885</w:t>
            </w:r>
          </w:p>
        </w:tc>
      </w:tr>
      <w:tr>
        <w:trPr>
          <w:trHeight w:val="27"/>
        </w:trPr>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2"/>
        </w:trPr>
        <w:tc>
          <w:tcPr>
            <w:tcW w:w="57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3"/>
                <w:szCs w:val="13"/>
                <w:color w:val="auto"/>
              </w:rPr>
              <w:t>Other current 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54,582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44,567</w:t>
            </w:r>
          </w:p>
        </w:tc>
      </w:tr>
      <w:tr>
        <w:trPr>
          <w:trHeight w:val="175"/>
        </w:trPr>
        <w:tc>
          <w:tcPr>
            <w:tcW w:w="5760" w:type="dxa"/>
            <w:vAlign w:val="bottom"/>
            <w:gridSpan w:val="5"/>
          </w:tcPr>
          <w:p>
            <w:pPr>
              <w:ind w:left="500"/>
              <w:spacing w:after="0"/>
              <w:rPr>
                <w:sz w:val="20"/>
                <w:szCs w:val="20"/>
                <w:color w:val="auto"/>
              </w:rPr>
            </w:pPr>
            <w:r>
              <w:rPr>
                <w:rFonts w:ascii="Arial" w:cs="Arial" w:eastAsia="Arial" w:hAnsi="Arial"/>
                <w:sz w:val="13"/>
                <w:szCs w:val="13"/>
                <w:b w:val="1"/>
                <w:bCs w:val="1"/>
                <w:color w:val="auto"/>
              </w:rPr>
              <w:t>Total current liabilities</w:t>
            </w: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181,576</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190,927</w:t>
            </w:r>
          </w:p>
        </w:tc>
      </w:tr>
      <w:tr>
        <w:trPr>
          <w:trHeight w:val="27"/>
        </w:trPr>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2"/>
        </w:trPr>
        <w:tc>
          <w:tcPr>
            <w:tcW w:w="57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3"/>
                <w:szCs w:val="13"/>
                <w:b w:val="1"/>
                <w:bCs w:val="1"/>
                <w:color w:val="auto"/>
              </w:rPr>
              <w:t>Long-term obligations</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54,408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52,618</w:t>
            </w:r>
          </w:p>
        </w:tc>
      </w:tr>
      <w:tr>
        <w:trPr>
          <w:trHeight w:val="195"/>
        </w:trPr>
        <w:tc>
          <w:tcPr>
            <w:tcW w:w="5760" w:type="dxa"/>
            <w:vAlign w:val="bottom"/>
            <w:gridSpan w:val="5"/>
          </w:tcPr>
          <w:p>
            <w:pPr>
              <w:ind w:left="40"/>
              <w:spacing w:after="0"/>
              <w:rPr>
                <w:sz w:val="20"/>
                <w:szCs w:val="20"/>
                <w:color w:val="auto"/>
              </w:rPr>
            </w:pPr>
            <w:r>
              <w:rPr>
                <w:rFonts w:ascii="Arial" w:cs="Arial" w:eastAsia="Arial" w:hAnsi="Arial"/>
                <w:sz w:val="13"/>
                <w:szCs w:val="13"/>
                <w:b w:val="1"/>
                <w:bCs w:val="1"/>
                <w:color w:val="auto"/>
              </w:rPr>
              <w:t>Other liabilities</w:t>
            </w:r>
          </w:p>
        </w:tc>
        <w:tc>
          <w:tcPr>
            <w:tcW w:w="140" w:type="dxa"/>
            <w:vAlign w:val="bottom"/>
          </w:tcPr>
          <w:p>
            <w:pPr>
              <w:spacing w:after="0"/>
              <w:rPr>
                <w:sz w:val="16"/>
                <w:szCs w:val="16"/>
                <w:color w:val="auto"/>
              </w:rPr>
            </w:pP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64,699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61,274</w:t>
            </w:r>
          </w:p>
        </w:tc>
      </w:tr>
      <w:tr>
        <w:trPr>
          <w:trHeight w:val="27"/>
        </w:trPr>
        <w:tc>
          <w:tcPr>
            <w:tcW w:w="14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2"/>
        </w:trPr>
        <w:tc>
          <w:tcPr>
            <w:tcW w:w="5760" w:type="dxa"/>
            <w:vAlign w:val="bottom"/>
            <w:tcBorders>
              <w:bottom w:val="single" w:sz="8" w:color="CCEEFF"/>
            </w:tcBorders>
            <w:gridSpan w:val="5"/>
            <w:shd w:val="clear" w:color="auto" w:fill="CCEEFF"/>
          </w:tcPr>
          <w:p>
            <w:pPr>
              <w:ind w:left="500"/>
              <w:spacing w:after="0"/>
              <w:rPr>
                <w:sz w:val="20"/>
                <w:szCs w:val="20"/>
                <w:color w:val="auto"/>
              </w:rPr>
            </w:pPr>
            <w:r>
              <w:rPr>
                <w:rFonts w:ascii="Arial" w:cs="Arial" w:eastAsia="Arial" w:hAnsi="Arial"/>
                <w:sz w:val="13"/>
                <w:szCs w:val="13"/>
                <w:b w:val="1"/>
                <w:bCs w:val="1"/>
                <w:color w:val="auto"/>
              </w:rPr>
              <w:t>Total liabilities</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300,683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304,819</w:t>
            </w:r>
          </w:p>
        </w:tc>
      </w:tr>
      <w:tr>
        <w:trPr>
          <w:trHeight w:val="195"/>
        </w:trPr>
        <w:tc>
          <w:tcPr>
            <w:tcW w:w="5760" w:type="dxa"/>
            <w:vAlign w:val="bottom"/>
            <w:gridSpan w:val="5"/>
          </w:tcPr>
          <w:p>
            <w:pPr>
              <w:ind w:left="40"/>
              <w:spacing w:after="0"/>
              <w:rPr>
                <w:sz w:val="20"/>
                <w:szCs w:val="20"/>
                <w:color w:val="auto"/>
              </w:rPr>
            </w:pPr>
            <w:r>
              <w:rPr>
                <w:rFonts w:ascii="Arial" w:cs="Arial" w:eastAsia="Arial" w:hAnsi="Arial"/>
                <w:sz w:val="13"/>
                <w:szCs w:val="13"/>
                <w:b w:val="1"/>
                <w:bCs w:val="1"/>
                <w:color w:val="auto"/>
              </w:rPr>
              <w:t>Stockholders’ equity:</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7"/>
        </w:trPr>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2"/>
        </w:trPr>
        <w:tc>
          <w:tcPr>
            <w:tcW w:w="57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3"/>
                <w:szCs w:val="13"/>
                <w:color w:val="auto"/>
              </w:rPr>
              <w:t>Common stock:</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r>
      <w:tr>
        <w:trPr>
          <w:trHeight w:val="182"/>
        </w:trPr>
        <w:tc>
          <w:tcPr>
            <w:tcW w:w="5760" w:type="dxa"/>
            <w:vAlign w:val="bottom"/>
            <w:gridSpan w:val="5"/>
          </w:tcPr>
          <w:p>
            <w:pPr>
              <w:ind w:left="500"/>
              <w:spacing w:after="0"/>
              <w:rPr>
                <w:sz w:val="20"/>
                <w:szCs w:val="20"/>
                <w:color w:val="auto"/>
              </w:rPr>
            </w:pPr>
            <w:r>
              <w:rPr>
                <w:rFonts w:ascii="Arial" w:cs="Arial" w:eastAsia="Arial" w:hAnsi="Arial"/>
                <w:sz w:val="13"/>
                <w:szCs w:val="13"/>
                <w:color w:val="auto"/>
                <w:w w:val="95"/>
              </w:rPr>
              <w:t>Class A nonvoting common stock—Issued 51,261,487 shares, and outstanding 48,918,974 and</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69"/>
        </w:trPr>
        <w:tc>
          <w:tcPr>
            <w:tcW w:w="5760" w:type="dxa"/>
            <w:vAlign w:val="bottom"/>
            <w:gridSpan w:val="5"/>
          </w:tcPr>
          <w:p>
            <w:pPr>
              <w:ind w:left="500"/>
              <w:spacing w:after="0"/>
              <w:rPr>
                <w:sz w:val="20"/>
                <w:szCs w:val="20"/>
                <w:color w:val="auto"/>
              </w:rPr>
            </w:pPr>
            <w:r>
              <w:rPr>
                <w:rFonts w:ascii="Arial" w:cs="Arial" w:eastAsia="Arial" w:hAnsi="Arial"/>
                <w:sz w:val="13"/>
                <w:szCs w:val="13"/>
                <w:color w:val="auto"/>
              </w:rPr>
              <w:t>48,383,617 shares, respectively</w:t>
            </w:r>
          </w:p>
        </w:tc>
        <w:tc>
          <w:tcPr>
            <w:tcW w:w="140" w:type="dxa"/>
            <w:vAlign w:val="bottom"/>
          </w:tcPr>
          <w:p>
            <w:pPr>
              <w:spacing w:after="0"/>
              <w:rPr>
                <w:sz w:val="14"/>
                <w:szCs w:val="14"/>
                <w:color w:val="auto"/>
              </w:rPr>
            </w:pP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513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513</w:t>
            </w:r>
          </w:p>
        </w:tc>
      </w:tr>
      <w:tr>
        <w:trPr>
          <w:trHeight w:val="27"/>
        </w:trPr>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2"/>
        </w:trPr>
        <w:tc>
          <w:tcPr>
            <w:tcW w:w="5760" w:type="dxa"/>
            <w:vAlign w:val="bottom"/>
            <w:tcBorders>
              <w:bottom w:val="single" w:sz="8" w:color="CCEEFF"/>
            </w:tcBorders>
            <w:gridSpan w:val="5"/>
            <w:shd w:val="clear" w:color="auto" w:fill="CCEEFF"/>
          </w:tcPr>
          <w:p>
            <w:pPr>
              <w:ind w:left="500"/>
              <w:spacing w:after="0"/>
              <w:rPr>
                <w:sz w:val="20"/>
                <w:szCs w:val="20"/>
                <w:color w:val="auto"/>
              </w:rPr>
            </w:pPr>
            <w:r>
              <w:rPr>
                <w:rFonts w:ascii="Arial" w:cs="Arial" w:eastAsia="Arial" w:hAnsi="Arial"/>
                <w:sz w:val="13"/>
                <w:szCs w:val="13"/>
                <w:color w:val="auto"/>
              </w:rPr>
              <w:t>Class B voting common stock—Issued and outstanding, 3,538,628 shares</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35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w:t>
            </w:r>
          </w:p>
        </w:tc>
      </w:tr>
      <w:tr>
        <w:trPr>
          <w:trHeight w:val="195"/>
        </w:trPr>
        <w:tc>
          <w:tcPr>
            <w:tcW w:w="5760" w:type="dxa"/>
            <w:vAlign w:val="bottom"/>
            <w:gridSpan w:val="5"/>
          </w:tcPr>
          <w:p>
            <w:pPr>
              <w:ind w:left="320"/>
              <w:spacing w:after="0"/>
              <w:rPr>
                <w:sz w:val="20"/>
                <w:szCs w:val="20"/>
                <w:color w:val="auto"/>
              </w:rPr>
            </w:pPr>
            <w:r>
              <w:rPr>
                <w:rFonts w:ascii="Arial" w:cs="Arial" w:eastAsia="Arial" w:hAnsi="Arial"/>
                <w:sz w:val="13"/>
                <w:szCs w:val="13"/>
                <w:color w:val="auto"/>
              </w:rPr>
              <w:t>Additional paid-in capital</w:t>
            </w:r>
          </w:p>
        </w:tc>
        <w:tc>
          <w:tcPr>
            <w:tcW w:w="140" w:type="dxa"/>
            <w:vAlign w:val="bottom"/>
          </w:tcPr>
          <w:p>
            <w:pPr>
              <w:spacing w:after="0"/>
              <w:rPr>
                <w:sz w:val="16"/>
                <w:szCs w:val="16"/>
                <w:color w:val="auto"/>
              </w:rPr>
            </w:pP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326,182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325,631</w:t>
            </w:r>
          </w:p>
        </w:tc>
      </w:tr>
      <w:tr>
        <w:trPr>
          <w:trHeight w:val="27"/>
        </w:trPr>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2"/>
        </w:trPr>
        <w:tc>
          <w:tcPr>
            <w:tcW w:w="57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3"/>
                <w:szCs w:val="13"/>
                <w:color w:val="auto"/>
              </w:rPr>
              <w:t>Retained earnings</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570,858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553,454</w:t>
            </w:r>
          </w:p>
        </w:tc>
      </w:tr>
      <w:tr>
        <w:trPr>
          <w:trHeight w:val="182"/>
        </w:trPr>
        <w:tc>
          <w:tcPr>
            <w:tcW w:w="5760" w:type="dxa"/>
            <w:vAlign w:val="bottom"/>
            <w:gridSpan w:val="5"/>
          </w:tcPr>
          <w:p>
            <w:pPr>
              <w:ind w:left="320"/>
              <w:spacing w:after="0"/>
              <w:rPr>
                <w:sz w:val="20"/>
                <w:szCs w:val="20"/>
                <w:color w:val="auto"/>
              </w:rPr>
            </w:pPr>
            <w:r>
              <w:rPr>
                <w:rFonts w:ascii="Arial" w:cs="Arial" w:eastAsia="Arial" w:hAnsi="Arial"/>
                <w:sz w:val="13"/>
                <w:szCs w:val="13"/>
                <w:color w:val="auto"/>
                <w:w w:val="94"/>
              </w:rPr>
              <w:t>Treasury stock—2,342,513 and 2,867,870 shares, respectively of Class A nonvoting common stock,</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69"/>
        </w:trPr>
        <w:tc>
          <w:tcPr>
            <w:tcW w:w="5760" w:type="dxa"/>
            <w:vAlign w:val="bottom"/>
            <w:gridSpan w:val="5"/>
          </w:tcPr>
          <w:p>
            <w:pPr>
              <w:ind w:left="320"/>
              <w:spacing w:after="0"/>
              <w:rPr>
                <w:sz w:val="20"/>
                <w:szCs w:val="20"/>
                <w:color w:val="auto"/>
              </w:rPr>
            </w:pPr>
            <w:r>
              <w:rPr>
                <w:rFonts w:ascii="Arial" w:cs="Arial" w:eastAsia="Arial" w:hAnsi="Arial"/>
                <w:sz w:val="13"/>
                <w:szCs w:val="13"/>
                <w:color w:val="auto"/>
              </w:rPr>
              <w:t>at cost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(58,414)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(71,120)</w:t>
            </w:r>
          </w:p>
        </w:tc>
      </w:tr>
      <w:tr>
        <w:trPr>
          <w:trHeight w:val="27"/>
        </w:trPr>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2"/>
        </w:trPr>
        <w:tc>
          <w:tcPr>
            <w:tcW w:w="57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3"/>
                <w:szCs w:val="13"/>
                <w:color w:val="auto"/>
              </w:rPr>
              <w:t>Accumulated other comprehensive loss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(66,231)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(56,401)</w:t>
            </w:r>
          </w:p>
        </w:tc>
      </w:tr>
      <w:tr>
        <w:trPr>
          <w:trHeight w:val="175"/>
        </w:trPr>
        <w:tc>
          <w:tcPr>
            <w:tcW w:w="5760" w:type="dxa"/>
            <w:vAlign w:val="bottom"/>
            <w:gridSpan w:val="5"/>
          </w:tcPr>
          <w:p>
            <w:pPr>
              <w:ind w:left="500"/>
              <w:spacing w:after="0"/>
              <w:rPr>
                <w:sz w:val="20"/>
                <w:szCs w:val="20"/>
                <w:color w:val="auto"/>
              </w:rPr>
            </w:pPr>
            <w:r>
              <w:rPr>
                <w:rFonts w:ascii="Arial" w:cs="Arial" w:eastAsia="Arial" w:hAnsi="Arial"/>
                <w:sz w:val="13"/>
                <w:szCs w:val="13"/>
                <w:b w:val="1"/>
                <w:bCs w:val="1"/>
                <w:color w:val="auto"/>
              </w:rPr>
              <w:t>Total stockholders’ equity</w:t>
            </w: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772,943</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752,112</w:t>
            </w:r>
          </w:p>
        </w:tc>
      </w:tr>
      <w:tr>
        <w:trPr>
          <w:trHeight w:val="27"/>
        </w:trPr>
        <w:tc>
          <w:tcPr>
            <w:tcW w:w="14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4"/>
        </w:trPr>
        <w:tc>
          <w:tcPr>
            <w:tcW w:w="57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1,073,626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1,056,931</w:t>
            </w:r>
          </w:p>
        </w:tc>
      </w:tr>
      <w:tr>
        <w:trPr>
          <w:trHeight w:val="20"/>
        </w:trPr>
        <w:tc>
          <w:tcPr>
            <w:tcW w:w="1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39"/>
          </w:cols>
          <w:pgMar w:left="220" w:top="506" w:right="1440"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color w:val="auto"/>
        </w:rPr>
        <w:t>BRADY CORPORATION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 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4"/>
          </w:tcPr>
          <w:p>
            <w:pPr>
              <w:jc w:val="right"/>
              <w:ind w:right="73"/>
              <w:spacing w:after="0"/>
              <w:rPr>
                <w:sz w:val="20"/>
                <w:szCs w:val="20"/>
                <w:color w:val="auto"/>
              </w:rPr>
            </w:pPr>
            <w:r>
              <w:rPr>
                <w:rFonts w:ascii="Arial" w:cs="Arial" w:eastAsia="Arial" w:hAnsi="Arial"/>
                <w:sz w:val="13"/>
                <w:szCs w:val="13"/>
                <w:color w:val="auto"/>
                <w:w w:val="92"/>
              </w:rPr>
              <w:t>Three months ended October 31,</w:t>
            </w:r>
          </w:p>
        </w:tc>
      </w:tr>
      <w:tr>
        <w:trPr>
          <w:trHeight w:val="27"/>
        </w:trPr>
        <w:tc>
          <w:tcPr>
            <w:tcW w:w="5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6"/>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293"/>
              <w:spacing w:after="0"/>
              <w:rPr>
                <w:sz w:val="20"/>
                <w:szCs w:val="20"/>
                <w:color w:val="auto"/>
              </w:rPr>
            </w:pPr>
            <w:r>
              <w:rPr>
                <w:rFonts w:ascii="Arial" w:cs="Arial" w:eastAsia="Arial" w:hAnsi="Arial"/>
                <w:sz w:val="13"/>
                <w:szCs w:val="13"/>
                <w:color w:val="auto"/>
              </w:rPr>
              <w:t>2018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93"/>
              <w:spacing w:after="0"/>
              <w:rPr>
                <w:sz w:val="20"/>
                <w:szCs w:val="20"/>
                <w:color w:val="auto"/>
              </w:rPr>
            </w:pPr>
            <w:r>
              <w:rPr>
                <w:rFonts w:ascii="Arial" w:cs="Arial" w:eastAsia="Arial" w:hAnsi="Arial"/>
                <w:sz w:val="13"/>
                <w:szCs w:val="13"/>
                <w:color w:val="auto"/>
              </w:rPr>
              <w:t>2017</w:t>
            </w: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3"/>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Operating activities:</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r>
      <w:tr>
        <w:trPr>
          <w:trHeight w:val="195"/>
        </w:trPr>
        <w:tc>
          <w:tcPr>
            <w:tcW w:w="5940" w:type="dxa"/>
            <w:vAlign w:val="bottom"/>
          </w:tcPr>
          <w:p>
            <w:pPr>
              <w:ind w:left="40"/>
              <w:spacing w:after="0"/>
              <w:rPr>
                <w:sz w:val="20"/>
                <w:szCs w:val="20"/>
                <w:color w:val="auto"/>
              </w:rPr>
            </w:pPr>
            <w:r>
              <w:rPr>
                <w:rFonts w:ascii="Arial" w:cs="Arial" w:eastAsia="Arial" w:hAnsi="Arial"/>
                <w:sz w:val="13"/>
                <w:szCs w:val="13"/>
                <w:color w:val="auto"/>
              </w:rPr>
              <w:t>Net earnings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30,637</w:t>
            </w:r>
          </w:p>
        </w:tc>
        <w:tc>
          <w:tcPr>
            <w:tcW w:w="80" w:type="dxa"/>
            <w:vAlign w:val="bottom"/>
          </w:tcPr>
          <w:p>
            <w:pPr>
              <w:spacing w:after="0"/>
              <w:rPr>
                <w:sz w:val="16"/>
                <w:szCs w:val="16"/>
                <w:color w:val="auto"/>
              </w:rPr>
            </w:pP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25,836</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2"/>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r>
      <w:tr>
        <w:trPr>
          <w:trHeight w:val="195"/>
        </w:trPr>
        <w:tc>
          <w:tcPr>
            <w:tcW w:w="5940" w:type="dxa"/>
            <w:vAlign w:val="bottom"/>
          </w:tcPr>
          <w:p>
            <w:pPr>
              <w:ind w:left="32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5,960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6,564</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2"/>
        </w:trPr>
        <w:tc>
          <w:tcPr>
            <w:tcW w:w="5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Non-cash portion of stock-based compensation expense</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4,965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3,744</w:t>
            </w:r>
          </w:p>
        </w:tc>
      </w:tr>
      <w:tr>
        <w:trPr>
          <w:trHeight w:val="195"/>
        </w:trPr>
        <w:tc>
          <w:tcPr>
            <w:tcW w:w="5940" w:type="dxa"/>
            <w:vAlign w:val="bottom"/>
          </w:tcPr>
          <w:p>
            <w:pPr>
              <w:ind w:left="320"/>
              <w:spacing w:after="0"/>
              <w:rPr>
                <w:sz w:val="20"/>
                <w:szCs w:val="20"/>
                <w:color w:val="auto"/>
              </w:rPr>
            </w:pPr>
            <w:r>
              <w:rPr>
                <w:rFonts w:ascii="Arial" w:cs="Arial" w:eastAsia="Arial" w:hAnsi="Arial"/>
                <w:sz w:val="13"/>
                <w:szCs w:val="13"/>
                <w:color w:val="auto"/>
              </w:rPr>
              <w:t>Deferred income taxes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2,164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(1,168)</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2"/>
        </w:trPr>
        <w:tc>
          <w:tcPr>
            <w:tcW w:w="5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Changes in operating assets and liabilities:</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r>
      <w:tr>
        <w:trPr>
          <w:trHeight w:val="195"/>
        </w:trPr>
        <w:tc>
          <w:tcPr>
            <w:tcW w:w="5940" w:type="dxa"/>
            <w:vAlign w:val="bottom"/>
          </w:tcPr>
          <w:p>
            <w:pPr>
              <w:ind w:left="580"/>
              <w:spacing w:after="0"/>
              <w:rPr>
                <w:sz w:val="20"/>
                <w:szCs w:val="20"/>
                <w:color w:val="auto"/>
              </w:rPr>
            </w:pPr>
            <w:r>
              <w:rPr>
                <w:rFonts w:ascii="Arial" w:cs="Arial" w:eastAsia="Arial" w:hAnsi="Arial"/>
                <w:sz w:val="13"/>
                <w:szCs w:val="13"/>
                <w:color w:val="auto"/>
              </w:rPr>
              <w:t>Accounts receivable</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(6,709)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(4,807)</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2"/>
        </w:trPr>
        <w:tc>
          <w:tcPr>
            <w:tcW w:w="5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3"/>
                <w:szCs w:val="13"/>
                <w:color w:val="auto"/>
              </w:rPr>
              <w:t>Inventories</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(3,125)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(3,571)</w:t>
            </w:r>
          </w:p>
        </w:tc>
      </w:tr>
      <w:tr>
        <w:trPr>
          <w:trHeight w:val="195"/>
        </w:trPr>
        <w:tc>
          <w:tcPr>
            <w:tcW w:w="5940" w:type="dxa"/>
            <w:vAlign w:val="bottom"/>
          </w:tcPr>
          <w:p>
            <w:pPr>
              <w:ind w:left="580"/>
              <w:spacing w:after="0"/>
              <w:rPr>
                <w:sz w:val="20"/>
                <w:szCs w:val="20"/>
                <w:color w:val="auto"/>
              </w:rPr>
            </w:pPr>
            <w:r>
              <w:rPr>
                <w:rFonts w:ascii="Arial" w:cs="Arial" w:eastAsia="Arial" w:hAnsi="Arial"/>
                <w:sz w:val="13"/>
                <w:szCs w:val="13"/>
                <w:color w:val="auto"/>
              </w:rPr>
              <w:t>Prepaid expenses and other assets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(2,197)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(2,005)</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2"/>
        </w:trPr>
        <w:tc>
          <w:tcPr>
            <w:tcW w:w="5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3"/>
                <w:szCs w:val="13"/>
                <w:color w:val="auto"/>
              </w:rPr>
              <w:t>Accounts payable and accrued liabilities</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(14,070)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7,799</w:t>
            </w:r>
          </w:p>
        </w:tc>
      </w:tr>
      <w:tr>
        <w:trPr>
          <w:trHeight w:val="195"/>
        </w:trPr>
        <w:tc>
          <w:tcPr>
            <w:tcW w:w="5940" w:type="dxa"/>
            <w:vAlign w:val="bottom"/>
          </w:tcPr>
          <w:p>
            <w:pPr>
              <w:ind w:left="580"/>
              <w:spacing w:after="0"/>
              <w:rPr>
                <w:sz w:val="20"/>
                <w:szCs w:val="20"/>
                <w:color w:val="auto"/>
              </w:rPr>
            </w:pPr>
            <w:r>
              <w:rPr>
                <w:rFonts w:ascii="Arial" w:cs="Arial" w:eastAsia="Arial" w:hAnsi="Arial"/>
                <w:sz w:val="13"/>
                <w:szCs w:val="13"/>
                <w:color w:val="auto"/>
              </w:rPr>
              <w:t>Income taxes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1,193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2,327</w:t>
            </w: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2"/>
        </w:trPr>
        <w:tc>
          <w:tcPr>
            <w:tcW w:w="59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3"/>
                <w:szCs w:val="13"/>
                <w:color w:val="auto"/>
              </w:rPr>
              <w:t>Net cash provided by operating activities</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18,818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34,719</w:t>
            </w:r>
          </w:p>
        </w:tc>
      </w:tr>
      <w:tr>
        <w:trPr>
          <w:trHeight w:val="233"/>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02"/>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Investing activities:</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r>
      <w:tr>
        <w:trPr>
          <w:trHeight w:val="195"/>
        </w:trPr>
        <w:tc>
          <w:tcPr>
            <w:tcW w:w="5940" w:type="dxa"/>
            <w:vAlign w:val="bottom"/>
          </w:tcPr>
          <w:p>
            <w:pPr>
              <w:ind w:left="320"/>
              <w:spacing w:after="0"/>
              <w:rPr>
                <w:sz w:val="20"/>
                <w:szCs w:val="20"/>
                <w:color w:val="auto"/>
              </w:rPr>
            </w:pPr>
            <w:r>
              <w:rPr>
                <w:rFonts w:ascii="Arial" w:cs="Arial" w:eastAsia="Arial" w:hAnsi="Arial"/>
                <w:sz w:val="13"/>
                <w:szCs w:val="13"/>
                <w:color w:val="auto"/>
              </w:rPr>
              <w:t>Purchases of property, plant and equipment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(6,009)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(3,802)</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2"/>
        </w:trPr>
        <w:tc>
          <w:tcPr>
            <w:tcW w:w="5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Other</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337</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974</w:t>
            </w:r>
          </w:p>
        </w:tc>
      </w:tr>
      <w:tr>
        <w:trPr>
          <w:trHeight w:val="175"/>
        </w:trPr>
        <w:tc>
          <w:tcPr>
            <w:tcW w:w="5940" w:type="dxa"/>
            <w:vAlign w:val="bottom"/>
          </w:tcPr>
          <w:p>
            <w:pPr>
              <w:ind w:left="860"/>
              <w:spacing w:after="0"/>
              <w:rPr>
                <w:sz w:val="20"/>
                <w:szCs w:val="20"/>
                <w:color w:val="auto"/>
              </w:rPr>
            </w:pPr>
            <w:r>
              <w:rPr>
                <w:rFonts w:ascii="Arial" w:cs="Arial" w:eastAsia="Arial" w:hAnsi="Arial"/>
                <w:sz w:val="13"/>
                <w:szCs w:val="13"/>
                <w:color w:val="auto"/>
              </w:rPr>
              <w:t>Net cash used in investing activities</w:t>
            </w: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(5,672)</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(2,828)</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3"/>
        </w:trPr>
        <w:tc>
          <w:tcPr>
            <w:tcW w:w="5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195"/>
        </w:trPr>
        <w:tc>
          <w:tcPr>
            <w:tcW w:w="5940" w:type="dxa"/>
            <w:vAlign w:val="bottom"/>
          </w:tcPr>
          <w:p>
            <w:pPr>
              <w:ind w:left="40"/>
              <w:spacing w:after="0"/>
              <w:rPr>
                <w:sz w:val="20"/>
                <w:szCs w:val="20"/>
                <w:color w:val="auto"/>
              </w:rPr>
            </w:pPr>
            <w:r>
              <w:rPr>
                <w:rFonts w:ascii="Arial" w:cs="Arial" w:eastAsia="Arial" w:hAnsi="Arial"/>
                <w:sz w:val="13"/>
                <w:szCs w:val="13"/>
                <w:color w:val="auto"/>
              </w:rPr>
              <w:t>Financing activities: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2"/>
        </w:trPr>
        <w:tc>
          <w:tcPr>
            <w:tcW w:w="5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Payment of dividends</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(11,096)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(10,639)</w:t>
            </w:r>
          </w:p>
        </w:tc>
      </w:tr>
      <w:tr>
        <w:trPr>
          <w:trHeight w:val="195"/>
        </w:trPr>
        <w:tc>
          <w:tcPr>
            <w:tcW w:w="5940" w:type="dxa"/>
            <w:vAlign w:val="bottom"/>
          </w:tcPr>
          <w:p>
            <w:pPr>
              <w:ind w:left="320"/>
              <w:spacing w:after="0"/>
              <w:rPr>
                <w:sz w:val="20"/>
                <w:szCs w:val="20"/>
                <w:color w:val="auto"/>
              </w:rPr>
            </w:pPr>
            <w:r>
              <w:rPr>
                <w:rFonts w:ascii="Arial" w:cs="Arial" w:eastAsia="Arial" w:hAnsi="Arial"/>
                <w:sz w:val="13"/>
                <w:szCs w:val="13"/>
                <w:color w:val="auto"/>
              </w:rPr>
              <w:t>Proceeds from exercise of stock options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12,138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3,249</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2"/>
        </w:trPr>
        <w:tc>
          <w:tcPr>
            <w:tcW w:w="5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Proceeds from borrowings on credit facilities</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5,737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10,901</w:t>
            </w:r>
          </w:p>
        </w:tc>
      </w:tr>
      <w:tr>
        <w:trPr>
          <w:trHeight w:val="195"/>
        </w:trPr>
        <w:tc>
          <w:tcPr>
            <w:tcW w:w="5940" w:type="dxa"/>
            <w:vAlign w:val="bottom"/>
          </w:tcPr>
          <w:p>
            <w:pPr>
              <w:ind w:left="320"/>
              <w:spacing w:after="0"/>
              <w:rPr>
                <w:sz w:val="20"/>
                <w:szCs w:val="20"/>
                <w:color w:val="auto"/>
              </w:rPr>
            </w:pPr>
            <w:r>
              <w:rPr>
                <w:rFonts w:ascii="Arial" w:cs="Arial" w:eastAsia="Arial" w:hAnsi="Arial"/>
                <w:sz w:val="13"/>
                <w:szCs w:val="13"/>
                <w:color w:val="auto"/>
              </w:rPr>
              <w:t>Repayments of borrowings on credit facilities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(2,269)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(22,894)</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2"/>
        </w:trPr>
        <w:tc>
          <w:tcPr>
            <w:tcW w:w="5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Income tax on equity-based compensation, and other</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(3,846)</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(2,280)</w:t>
            </w:r>
          </w:p>
        </w:tc>
      </w:tr>
      <w:tr>
        <w:trPr>
          <w:trHeight w:val="175"/>
        </w:trPr>
        <w:tc>
          <w:tcPr>
            <w:tcW w:w="5940" w:type="dxa"/>
            <w:vAlign w:val="bottom"/>
          </w:tcPr>
          <w:p>
            <w:pPr>
              <w:ind w:left="860"/>
              <w:spacing w:after="0"/>
              <w:rPr>
                <w:sz w:val="20"/>
                <w:szCs w:val="20"/>
                <w:color w:val="auto"/>
              </w:rPr>
            </w:pPr>
            <w:r>
              <w:rPr>
                <w:rFonts w:ascii="Arial" w:cs="Arial" w:eastAsia="Arial" w:hAnsi="Arial"/>
                <w:sz w:val="13"/>
                <w:szCs w:val="13"/>
                <w:color w:val="auto"/>
              </w:rPr>
              <w:t>Net cash provided by (used in) financing activities</w:t>
            </w: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664</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(21,663)</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3"/>
        </w:trPr>
        <w:tc>
          <w:tcPr>
            <w:tcW w:w="5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195"/>
        </w:trPr>
        <w:tc>
          <w:tcPr>
            <w:tcW w:w="5940" w:type="dxa"/>
            <w:vAlign w:val="bottom"/>
          </w:tcPr>
          <w:p>
            <w:pPr>
              <w:ind w:left="40"/>
              <w:spacing w:after="0"/>
              <w:rPr>
                <w:sz w:val="20"/>
                <w:szCs w:val="20"/>
                <w:color w:val="auto"/>
              </w:rPr>
            </w:pPr>
            <w:r>
              <w:rPr>
                <w:rFonts w:ascii="Arial" w:cs="Arial" w:eastAsia="Arial" w:hAnsi="Arial"/>
                <w:sz w:val="13"/>
                <w:szCs w:val="13"/>
                <w:color w:val="auto"/>
              </w:rPr>
              <w:t>Effect of exchange rate changes on cash</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(3,061)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(1,935)</w:t>
            </w: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4"/>
        </w:trPr>
        <w:tc>
          <w:tcPr>
            <w:tcW w:w="5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195"/>
        </w:trPr>
        <w:tc>
          <w:tcPr>
            <w:tcW w:w="5940" w:type="dxa"/>
            <w:vAlign w:val="bottom"/>
          </w:tcPr>
          <w:p>
            <w:pPr>
              <w:ind w:left="40"/>
              <w:spacing w:after="0"/>
              <w:rPr>
                <w:sz w:val="20"/>
                <w:szCs w:val="20"/>
                <w:color w:val="auto"/>
              </w:rPr>
            </w:pPr>
            <w:r>
              <w:rPr>
                <w:rFonts w:ascii="Arial" w:cs="Arial" w:eastAsia="Arial" w:hAnsi="Arial"/>
                <w:sz w:val="13"/>
                <w:szCs w:val="13"/>
                <w:color w:val="auto"/>
              </w:rPr>
              <w:t>Net increase in cash and cash equivalents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10,749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8,293</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2"/>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Cash and cash equivalents, beginning of period</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181,427</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133,944</w:t>
            </w:r>
          </w:p>
        </w:tc>
      </w:tr>
      <w:tr>
        <w:trPr>
          <w:trHeight w:val="224"/>
        </w:trPr>
        <w:tc>
          <w:tcPr>
            <w:tcW w:w="59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r>
      <w:tr>
        <w:trPr>
          <w:trHeight w:val="203"/>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Cash and cash equivalents,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192,176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142,237</w:t>
            </w:r>
          </w:p>
        </w:tc>
      </w:tr>
      <w:tr>
        <w:trPr>
          <w:trHeight w:val="20"/>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39"/>
          </w:cols>
          <w:pgMar w:left="220" w:top="506" w:right="1440"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color w:val="auto"/>
        </w:rPr>
        <w:t>BRADY CORPORATION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SEGMENT INFORMATION</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 Dollars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jc w:val="right"/>
              <w:ind w:right="33"/>
              <w:spacing w:after="0"/>
              <w:rPr>
                <w:sz w:val="20"/>
                <w:szCs w:val="20"/>
                <w:color w:val="auto"/>
              </w:rPr>
            </w:pPr>
            <w:r>
              <w:rPr>
                <w:rFonts w:ascii="Arial" w:cs="Arial" w:eastAsia="Arial" w:hAnsi="Arial"/>
                <w:sz w:val="13"/>
                <w:szCs w:val="13"/>
                <w:color w:val="auto"/>
                <w:w w:val="91"/>
              </w:rPr>
              <w:t>Three months ended October 31,</w:t>
            </w:r>
          </w:p>
        </w:tc>
      </w:tr>
      <w:tr>
        <w:trPr>
          <w:trHeight w:val="27"/>
        </w:trPr>
        <w:tc>
          <w:tcPr>
            <w:tcW w:w="6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6"/>
        </w:trPr>
        <w:tc>
          <w:tcPr>
            <w:tcW w:w="6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273"/>
              <w:spacing w:after="0"/>
              <w:rPr>
                <w:sz w:val="20"/>
                <w:szCs w:val="20"/>
                <w:color w:val="auto"/>
              </w:rPr>
            </w:pPr>
            <w:r>
              <w:rPr>
                <w:rFonts w:ascii="Arial" w:cs="Arial" w:eastAsia="Arial" w:hAnsi="Arial"/>
                <w:sz w:val="13"/>
                <w:szCs w:val="13"/>
                <w:color w:val="auto"/>
              </w:rPr>
              <w:t>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73"/>
              <w:spacing w:after="0"/>
              <w:rPr>
                <w:sz w:val="20"/>
                <w:szCs w:val="20"/>
                <w:color w:val="auto"/>
              </w:rPr>
            </w:pPr>
            <w:r>
              <w:rPr>
                <w:rFonts w:ascii="Arial" w:cs="Arial" w:eastAsia="Arial" w:hAnsi="Arial"/>
                <w:sz w:val="13"/>
                <w:szCs w:val="13"/>
                <w:color w:val="auto"/>
              </w:rPr>
              <w:t>2017</w:t>
            </w:r>
          </w:p>
        </w:tc>
      </w:tr>
      <w:tr>
        <w:trPr>
          <w:trHeight w:val="27"/>
        </w:trPr>
        <w:tc>
          <w:tcPr>
            <w:tcW w:w="6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71"/>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NET SALES</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r>
      <w:tr>
        <w:trPr>
          <w:trHeight w:val="195"/>
        </w:trPr>
        <w:tc>
          <w:tcPr>
            <w:tcW w:w="6020" w:type="dxa"/>
            <w:vAlign w:val="bottom"/>
          </w:tcPr>
          <w:p>
            <w:pPr>
              <w:ind w:left="320"/>
              <w:spacing w:after="0"/>
              <w:rPr>
                <w:sz w:val="20"/>
                <w:szCs w:val="20"/>
                <w:color w:val="auto"/>
              </w:rPr>
            </w:pPr>
            <w:r>
              <w:rPr>
                <w:rFonts w:ascii="Arial" w:cs="Arial" w:eastAsia="Arial" w:hAnsi="Arial"/>
                <w:sz w:val="13"/>
                <w:szCs w:val="13"/>
                <w:color w:val="auto"/>
              </w:rPr>
              <w:t>ID Solutions</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13"/>
              <w:spacing w:after="0"/>
              <w:rPr>
                <w:sz w:val="20"/>
                <w:szCs w:val="20"/>
                <w:color w:val="auto"/>
              </w:rPr>
            </w:pPr>
            <w:r>
              <w:rPr>
                <w:rFonts w:ascii="Arial" w:cs="Arial" w:eastAsia="Arial" w:hAnsi="Arial"/>
                <w:sz w:val="13"/>
                <w:szCs w:val="13"/>
                <w:color w:val="auto"/>
              </w:rPr>
              <w:t>218,100</w:t>
            </w:r>
          </w:p>
        </w:tc>
        <w:tc>
          <w:tcPr>
            <w:tcW w:w="100" w:type="dxa"/>
            <w:vAlign w:val="bottom"/>
          </w:tcPr>
          <w:p>
            <w:pPr>
              <w:spacing w:after="0"/>
              <w:rPr>
                <w:sz w:val="16"/>
                <w:szCs w:val="16"/>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13"/>
              <w:spacing w:after="0"/>
              <w:rPr>
                <w:sz w:val="20"/>
                <w:szCs w:val="20"/>
                <w:color w:val="auto"/>
              </w:rPr>
            </w:pPr>
            <w:r>
              <w:rPr>
                <w:rFonts w:ascii="Arial" w:cs="Arial" w:eastAsia="Arial" w:hAnsi="Arial"/>
                <w:sz w:val="13"/>
                <w:szCs w:val="13"/>
                <w:color w:val="auto"/>
              </w:rPr>
              <w:t>209,705</w:t>
            </w:r>
          </w:p>
        </w:tc>
      </w:tr>
      <w:tr>
        <w:trPr>
          <w:trHeight w:val="27"/>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2"/>
        </w:trPr>
        <w:tc>
          <w:tcPr>
            <w:tcW w:w="6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Workplace Safety</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rPr>
              <w:t>75,096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rPr>
              <w:t>80,446</w:t>
            </w:r>
          </w:p>
        </w:tc>
      </w:tr>
      <w:tr>
        <w:trPr>
          <w:trHeight w:val="234"/>
        </w:trPr>
        <w:tc>
          <w:tcPr>
            <w:tcW w:w="6020" w:type="dxa"/>
            <w:vAlign w:val="bottom"/>
            <w:tcBorders>
              <w:bottom w:val="single" w:sz="8" w:color="CCEEFF"/>
            </w:tcBorders>
          </w:tcPr>
          <w:p>
            <w:pPr>
              <w:ind w:left="320"/>
              <w:spacing w:after="0"/>
              <w:rPr>
                <w:sz w:val="20"/>
                <w:szCs w:val="20"/>
                <w:color w:val="auto"/>
              </w:rPr>
            </w:pPr>
            <w:r>
              <w:rPr>
                <w:rFonts w:ascii="Arial" w:cs="Arial" w:eastAsia="Arial" w:hAnsi="Arial"/>
                <w:sz w:val="13"/>
                <w:szCs w:val="13"/>
                <w:color w:val="auto"/>
              </w:rPr>
              <w:t>Total Company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3"/>
                <w:szCs w:val="13"/>
                <w:color w:val="auto"/>
              </w:rPr>
              <w:t>293,196</w:t>
            </w:r>
          </w:p>
        </w:tc>
        <w:tc>
          <w:tcPr>
            <w:tcW w:w="1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3"/>
                <w:szCs w:val="13"/>
                <w:color w:val="auto"/>
              </w:rPr>
              <w:t>290,151</w:t>
            </w:r>
          </w:p>
        </w:tc>
      </w:tr>
      <w:tr>
        <w:trPr>
          <w:trHeight w:val="192"/>
        </w:trPr>
        <w:tc>
          <w:tcPr>
            <w:tcW w:w="6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bl>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20" w:type="dxa"/>
            <w:vAlign w:val="bottom"/>
          </w:tcPr>
          <w:p>
            <w:pPr>
              <w:ind w:left="40"/>
              <w:spacing w:after="0"/>
              <w:rPr>
                <w:sz w:val="20"/>
                <w:szCs w:val="20"/>
                <w:color w:val="auto"/>
              </w:rPr>
            </w:pPr>
            <w:r>
              <w:rPr>
                <w:rFonts w:ascii="Arial" w:cs="Arial" w:eastAsia="Arial" w:hAnsi="Arial"/>
                <w:sz w:val="13"/>
                <w:szCs w:val="13"/>
                <w:b w:val="1"/>
                <w:bCs w:val="1"/>
                <w:color w:val="auto"/>
              </w:rPr>
              <w:t>SALES INFORMATION</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7"/>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91"/>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i w:val="1"/>
                <w:iCs w:val="1"/>
                <w:color w:val="auto"/>
              </w:rPr>
              <w:t>ID Solutions</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r>
      <w:tr>
        <w:trPr>
          <w:trHeight w:val="195"/>
        </w:trPr>
        <w:tc>
          <w:tcPr>
            <w:tcW w:w="6020" w:type="dxa"/>
            <w:vAlign w:val="bottom"/>
          </w:tcPr>
          <w:p>
            <w:pPr>
              <w:ind w:left="320"/>
              <w:spacing w:after="0"/>
              <w:rPr>
                <w:sz w:val="20"/>
                <w:szCs w:val="20"/>
                <w:color w:val="auto"/>
              </w:rPr>
            </w:pPr>
            <w:r>
              <w:rPr>
                <w:rFonts w:ascii="Arial" w:cs="Arial" w:eastAsia="Arial" w:hAnsi="Arial"/>
                <w:sz w:val="13"/>
                <w:szCs w:val="13"/>
                <w:color w:val="auto"/>
              </w:rPr>
              <w:t>Organic</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5.7 %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2.9 %</w:t>
            </w:r>
          </w:p>
        </w:tc>
      </w:tr>
      <w:tr>
        <w:trPr>
          <w:trHeight w:val="27"/>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2"/>
        </w:trPr>
        <w:tc>
          <w:tcPr>
            <w:tcW w:w="6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Currency</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1.3 %</w:t>
            </w:r>
          </w:p>
        </w:tc>
      </w:tr>
      <w:tr>
        <w:trPr>
          <w:trHeight w:val="234"/>
        </w:trPr>
        <w:tc>
          <w:tcPr>
            <w:tcW w:w="6020" w:type="dxa"/>
            <w:vAlign w:val="bottom"/>
            <w:tcBorders>
              <w:bottom w:val="single" w:sz="8" w:color="CCEEFF"/>
            </w:tcBorders>
          </w:tcPr>
          <w:p>
            <w:pPr>
              <w:ind w:left="320"/>
              <w:spacing w:after="0"/>
              <w:rPr>
                <w:sz w:val="20"/>
                <w:szCs w:val="20"/>
                <w:color w:val="auto"/>
              </w:rPr>
            </w:pPr>
            <w:r>
              <w:rPr>
                <w:rFonts w:ascii="Arial" w:cs="Arial" w:eastAsia="Arial" w:hAnsi="Arial"/>
                <w:sz w:val="13"/>
                <w:szCs w:val="13"/>
                <w:color w:val="auto"/>
              </w:rPr>
              <w:t>Total</w:t>
            </w: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4.0 %</w:t>
            </w:r>
          </w:p>
        </w:tc>
        <w:tc>
          <w:tcPr>
            <w:tcW w:w="1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4.2 %</w:t>
            </w:r>
          </w:p>
        </w:tc>
      </w:tr>
      <w:tr>
        <w:trPr>
          <w:trHeight w:val="192"/>
        </w:trPr>
        <w:tc>
          <w:tcPr>
            <w:tcW w:w="6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4"/>
        </w:trPr>
        <w:tc>
          <w:tcPr>
            <w:tcW w:w="6020" w:type="dxa"/>
            <w:vAlign w:val="bottom"/>
          </w:tcPr>
          <w:p>
            <w:pPr>
              <w:ind w:left="40"/>
              <w:spacing w:after="0"/>
              <w:rPr>
                <w:sz w:val="20"/>
                <w:szCs w:val="20"/>
                <w:color w:val="auto"/>
              </w:rPr>
            </w:pPr>
            <w:r>
              <w:rPr>
                <w:rFonts w:ascii="Arial" w:cs="Arial" w:eastAsia="Arial" w:hAnsi="Arial"/>
                <w:sz w:val="13"/>
                <w:szCs w:val="13"/>
                <w:b w:val="1"/>
                <w:bCs w:val="1"/>
                <w:i w:val="1"/>
                <w:iCs w:val="1"/>
                <w:color w:val="auto"/>
              </w:rPr>
              <w:t>Workplace Safety</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7"/>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2"/>
        </w:trPr>
        <w:tc>
          <w:tcPr>
            <w:tcW w:w="6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Organic</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2.2 %</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95"/>
        </w:trPr>
        <w:tc>
          <w:tcPr>
            <w:tcW w:w="6020" w:type="dxa"/>
            <w:vAlign w:val="bottom"/>
          </w:tcPr>
          <w:p>
            <w:pPr>
              <w:ind w:left="320"/>
              <w:spacing w:after="0"/>
              <w:rPr>
                <w:sz w:val="20"/>
                <w:szCs w:val="20"/>
                <w:color w:val="auto"/>
              </w:rPr>
            </w:pPr>
            <w:r>
              <w:rPr>
                <w:rFonts w:ascii="Arial" w:cs="Arial" w:eastAsia="Arial" w:hAnsi="Arial"/>
                <w:sz w:val="13"/>
                <w:szCs w:val="13"/>
                <w:color w:val="auto"/>
              </w:rPr>
              <w:t>Currency</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3.3 %</w:t>
            </w:r>
          </w:p>
        </w:tc>
      </w:tr>
      <w:tr>
        <w:trPr>
          <w:trHeight w:val="27"/>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2"/>
        </w:trPr>
        <w:tc>
          <w:tcPr>
            <w:tcW w:w="6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Divestitures</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234"/>
        </w:trPr>
        <w:tc>
          <w:tcPr>
            <w:tcW w:w="6020" w:type="dxa"/>
            <w:vAlign w:val="bottom"/>
            <w:tcBorders>
              <w:bottom w:val="single" w:sz="8" w:color="CCEEFF"/>
            </w:tcBorders>
          </w:tcPr>
          <w:p>
            <w:pPr>
              <w:ind w:left="320"/>
              <w:spacing w:after="0"/>
              <w:rPr>
                <w:sz w:val="20"/>
                <w:szCs w:val="20"/>
                <w:color w:val="auto"/>
              </w:rPr>
            </w:pPr>
            <w:r>
              <w:rPr>
                <w:rFonts w:ascii="Arial" w:cs="Arial" w:eastAsia="Arial" w:hAnsi="Arial"/>
                <w:sz w:val="13"/>
                <w:szCs w:val="13"/>
                <w:color w:val="auto"/>
              </w:rPr>
              <w:t>Total</w:t>
            </w: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(6.6)%</w:t>
            </w:r>
          </w:p>
        </w:tc>
        <w:tc>
          <w:tcPr>
            <w:tcW w:w="1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1.9 %</w:t>
            </w:r>
          </w:p>
        </w:tc>
      </w:tr>
      <w:tr>
        <w:trPr>
          <w:trHeight w:val="192"/>
        </w:trPr>
        <w:tc>
          <w:tcPr>
            <w:tcW w:w="6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4"/>
        </w:trPr>
        <w:tc>
          <w:tcPr>
            <w:tcW w:w="6020" w:type="dxa"/>
            <w:vAlign w:val="bottom"/>
          </w:tcPr>
          <w:p>
            <w:pPr>
              <w:ind w:left="40"/>
              <w:spacing w:after="0"/>
              <w:rPr>
                <w:sz w:val="20"/>
                <w:szCs w:val="20"/>
                <w:color w:val="auto"/>
              </w:rPr>
            </w:pPr>
            <w:r>
              <w:rPr>
                <w:rFonts w:ascii="Arial" w:cs="Arial" w:eastAsia="Arial" w:hAnsi="Arial"/>
                <w:sz w:val="13"/>
                <w:szCs w:val="13"/>
                <w:b w:val="1"/>
                <w:bCs w:val="1"/>
                <w:i w:val="1"/>
                <w:iCs w:val="1"/>
                <w:color w:val="auto"/>
              </w:rPr>
              <w:t>Total Company</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7"/>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2"/>
        </w:trPr>
        <w:tc>
          <w:tcPr>
            <w:tcW w:w="6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Organic</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4.7 %</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1.7 %</w:t>
            </w:r>
          </w:p>
        </w:tc>
      </w:tr>
      <w:tr>
        <w:trPr>
          <w:trHeight w:val="195"/>
        </w:trPr>
        <w:tc>
          <w:tcPr>
            <w:tcW w:w="6020" w:type="dxa"/>
            <w:vAlign w:val="bottom"/>
          </w:tcPr>
          <w:p>
            <w:pPr>
              <w:ind w:left="320"/>
              <w:spacing w:after="0"/>
              <w:rPr>
                <w:sz w:val="20"/>
                <w:szCs w:val="20"/>
                <w:color w:val="auto"/>
              </w:rPr>
            </w:pPr>
            <w:r>
              <w:rPr>
                <w:rFonts w:ascii="Arial" w:cs="Arial" w:eastAsia="Arial" w:hAnsi="Arial"/>
                <w:sz w:val="13"/>
                <w:szCs w:val="13"/>
                <w:color w:val="auto"/>
              </w:rPr>
              <w:t>Currency</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1.9 %</w:t>
            </w:r>
          </w:p>
        </w:tc>
      </w:tr>
      <w:tr>
        <w:trPr>
          <w:trHeight w:val="27"/>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2"/>
        </w:trPr>
        <w:tc>
          <w:tcPr>
            <w:tcW w:w="6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Divestitures</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234"/>
        </w:trPr>
        <w:tc>
          <w:tcPr>
            <w:tcW w:w="6020" w:type="dxa"/>
            <w:vAlign w:val="bottom"/>
            <w:tcBorders>
              <w:bottom w:val="single" w:sz="8" w:color="CCEEFF"/>
            </w:tcBorders>
          </w:tcPr>
          <w:p>
            <w:pPr>
              <w:ind w:left="320"/>
              <w:spacing w:after="0"/>
              <w:rPr>
                <w:sz w:val="20"/>
                <w:szCs w:val="20"/>
                <w:color w:val="auto"/>
              </w:rPr>
            </w:pPr>
            <w:r>
              <w:rPr>
                <w:rFonts w:ascii="Arial" w:cs="Arial" w:eastAsia="Arial" w:hAnsi="Arial"/>
                <w:sz w:val="13"/>
                <w:szCs w:val="13"/>
                <w:color w:val="auto"/>
              </w:rPr>
              <w:t>Total</w:t>
            </w: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1.0 %</w:t>
            </w:r>
          </w:p>
        </w:tc>
        <w:tc>
          <w:tcPr>
            <w:tcW w:w="1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3.6 %</w:t>
            </w:r>
          </w:p>
        </w:tc>
      </w:tr>
      <w:tr>
        <w:trPr>
          <w:trHeight w:val="192"/>
        </w:trPr>
        <w:tc>
          <w:tcPr>
            <w:tcW w:w="6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4"/>
        </w:trPr>
        <w:tc>
          <w:tcPr>
            <w:tcW w:w="6020" w:type="dxa"/>
            <w:vAlign w:val="bottom"/>
          </w:tcPr>
          <w:p>
            <w:pPr>
              <w:ind w:left="40"/>
              <w:spacing w:after="0"/>
              <w:rPr>
                <w:sz w:val="20"/>
                <w:szCs w:val="20"/>
                <w:color w:val="auto"/>
              </w:rPr>
            </w:pPr>
            <w:r>
              <w:rPr>
                <w:rFonts w:ascii="Arial" w:cs="Arial" w:eastAsia="Arial" w:hAnsi="Arial"/>
                <w:sz w:val="13"/>
                <w:szCs w:val="13"/>
                <w:b w:val="1"/>
                <w:bCs w:val="1"/>
                <w:color w:val="auto"/>
              </w:rPr>
              <w:t>SEGMENT PROFIT</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7"/>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2"/>
        </w:trPr>
        <w:tc>
          <w:tcPr>
            <w:tcW w:w="6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ID Solutions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rPr>
              <w:t>41,562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rPr>
              <w:t>35,837</w:t>
            </w:r>
          </w:p>
        </w:tc>
      </w:tr>
      <w:tr>
        <w:trPr>
          <w:trHeight w:val="195"/>
        </w:trPr>
        <w:tc>
          <w:tcPr>
            <w:tcW w:w="6020" w:type="dxa"/>
            <w:vAlign w:val="bottom"/>
          </w:tcPr>
          <w:p>
            <w:pPr>
              <w:ind w:left="320"/>
              <w:spacing w:after="0"/>
              <w:rPr>
                <w:sz w:val="20"/>
                <w:szCs w:val="20"/>
                <w:color w:val="auto"/>
              </w:rPr>
            </w:pPr>
            <w:r>
              <w:rPr>
                <w:rFonts w:ascii="Arial" w:cs="Arial" w:eastAsia="Arial" w:hAnsi="Arial"/>
                <w:sz w:val="13"/>
                <w:szCs w:val="13"/>
                <w:color w:val="auto"/>
              </w:rPr>
              <w:t>Workplace Safety</w:t>
            </w:r>
          </w:p>
        </w:tc>
        <w:tc>
          <w:tcPr>
            <w:tcW w:w="100" w:type="dxa"/>
            <w:vAlign w:val="bottom"/>
          </w:tcPr>
          <w:p>
            <w:pPr>
              <w:spacing w:after="0"/>
              <w:rPr>
                <w:sz w:val="16"/>
                <w:szCs w:val="16"/>
                <w:color w:val="auto"/>
              </w:rPr>
            </w:pPr>
          </w:p>
        </w:tc>
        <w:tc>
          <w:tcPr>
            <w:tcW w:w="840" w:type="dxa"/>
            <w:vAlign w:val="bottom"/>
          </w:tcPr>
          <w:p>
            <w:pPr>
              <w:jc w:val="right"/>
              <w:ind w:right="113"/>
              <w:spacing w:after="0"/>
              <w:rPr>
                <w:sz w:val="20"/>
                <w:szCs w:val="20"/>
                <w:color w:val="auto"/>
              </w:rPr>
            </w:pPr>
            <w:r>
              <w:rPr>
                <w:rFonts w:ascii="Arial" w:cs="Arial" w:eastAsia="Arial" w:hAnsi="Arial"/>
                <w:sz w:val="13"/>
                <w:szCs w:val="13"/>
                <w:color w:val="auto"/>
              </w:rPr>
              <w:t>5,541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113"/>
              <w:spacing w:after="0"/>
              <w:rPr>
                <w:sz w:val="20"/>
                <w:szCs w:val="20"/>
                <w:color w:val="auto"/>
              </w:rPr>
            </w:pPr>
            <w:r>
              <w:rPr>
                <w:rFonts w:ascii="Arial" w:cs="Arial" w:eastAsia="Arial" w:hAnsi="Arial"/>
                <w:sz w:val="13"/>
                <w:szCs w:val="13"/>
                <w:color w:val="auto"/>
              </w:rPr>
              <w:t>6,445</w:t>
            </w:r>
          </w:p>
        </w:tc>
      </w:tr>
      <w:tr>
        <w:trPr>
          <w:trHeight w:val="27"/>
        </w:trPr>
        <w:tc>
          <w:tcPr>
            <w:tcW w:w="6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4"/>
        </w:trPr>
        <w:tc>
          <w:tcPr>
            <w:tcW w:w="6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47,103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42,282</w:t>
            </w:r>
          </w:p>
        </w:tc>
      </w:tr>
      <w:tr>
        <w:trPr>
          <w:trHeight w:val="20"/>
        </w:trPr>
        <w:tc>
          <w:tcPr>
            <w:tcW w:w="6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2"/>
        </w:trPr>
        <w:tc>
          <w:tcPr>
            <w:tcW w:w="6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SEGMENT PROFIT AS A PERCENT OF NET SALES</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r>
      <w:tr>
        <w:trPr>
          <w:trHeight w:val="195"/>
        </w:trPr>
        <w:tc>
          <w:tcPr>
            <w:tcW w:w="6020" w:type="dxa"/>
            <w:vAlign w:val="bottom"/>
          </w:tcPr>
          <w:p>
            <w:pPr>
              <w:ind w:left="320"/>
              <w:spacing w:after="0"/>
              <w:rPr>
                <w:sz w:val="20"/>
                <w:szCs w:val="20"/>
                <w:color w:val="auto"/>
              </w:rPr>
            </w:pPr>
            <w:r>
              <w:rPr>
                <w:rFonts w:ascii="Arial" w:cs="Arial" w:eastAsia="Arial" w:hAnsi="Arial"/>
                <w:sz w:val="13"/>
                <w:szCs w:val="13"/>
                <w:color w:val="auto"/>
              </w:rPr>
              <w:t>ID Solutions</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19.1 %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17.1 %</w:t>
            </w:r>
          </w:p>
        </w:tc>
      </w:tr>
      <w:tr>
        <w:trPr>
          <w:trHeight w:val="27"/>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2"/>
        </w:trPr>
        <w:tc>
          <w:tcPr>
            <w:tcW w:w="6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Workplace Safety</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7.4 %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8.0 %</w:t>
            </w:r>
          </w:p>
        </w:tc>
      </w:tr>
      <w:tr>
        <w:trPr>
          <w:trHeight w:val="194"/>
        </w:trPr>
        <w:tc>
          <w:tcPr>
            <w:tcW w:w="6020" w:type="dxa"/>
            <w:vAlign w:val="bottom"/>
          </w:tcPr>
          <w:p>
            <w:pPr>
              <w:ind w:left="320"/>
              <w:spacing w:after="0"/>
              <w:rPr>
                <w:sz w:val="20"/>
                <w:szCs w:val="20"/>
                <w:color w:val="auto"/>
              </w:rPr>
            </w:pPr>
            <w:r>
              <w:rPr>
                <w:rFonts w:ascii="Arial" w:cs="Arial" w:eastAsia="Arial" w:hAnsi="Arial"/>
                <w:sz w:val="13"/>
                <w:szCs w:val="13"/>
                <w:color w:val="auto"/>
              </w:rPr>
              <w:t>Total</w:t>
            </w:r>
          </w:p>
        </w:tc>
        <w:tc>
          <w:tcPr>
            <w:tcW w:w="1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16.1 %</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14.6 %</w:t>
            </w:r>
          </w:p>
        </w:tc>
      </w:tr>
      <w:tr>
        <w:trPr>
          <w:trHeight w:val="20"/>
        </w:trPr>
        <w:tc>
          <w:tcPr>
            <w:tcW w:w="6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r>
      <w:tr>
        <w:trPr>
          <w:trHeight w:val="454"/>
        </w:trPr>
        <w:tc>
          <w:tcPr>
            <w:tcW w:w="6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4"/>
          </w:tcPr>
          <w:p>
            <w:pPr>
              <w:jc w:val="right"/>
              <w:ind w:right="33"/>
              <w:spacing w:after="0"/>
              <w:rPr>
                <w:sz w:val="20"/>
                <w:szCs w:val="20"/>
                <w:color w:val="auto"/>
              </w:rPr>
            </w:pPr>
            <w:r>
              <w:rPr>
                <w:rFonts w:ascii="Arial" w:cs="Arial" w:eastAsia="Arial" w:hAnsi="Arial"/>
                <w:sz w:val="13"/>
                <w:szCs w:val="13"/>
                <w:color w:val="auto"/>
                <w:w w:val="91"/>
              </w:rPr>
              <w:t>Three months ended October 31,</w:t>
            </w:r>
          </w:p>
        </w:tc>
      </w:tr>
      <w:tr>
        <w:trPr>
          <w:trHeight w:val="27"/>
        </w:trPr>
        <w:tc>
          <w:tcPr>
            <w:tcW w:w="6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6"/>
        </w:trPr>
        <w:tc>
          <w:tcPr>
            <w:tcW w:w="6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273"/>
              <w:spacing w:after="0"/>
              <w:rPr>
                <w:sz w:val="20"/>
                <w:szCs w:val="20"/>
                <w:color w:val="auto"/>
              </w:rPr>
            </w:pPr>
            <w:r>
              <w:rPr>
                <w:rFonts w:ascii="Arial" w:cs="Arial" w:eastAsia="Arial" w:hAnsi="Arial"/>
                <w:sz w:val="13"/>
                <w:szCs w:val="13"/>
                <w:color w:val="auto"/>
              </w:rPr>
              <w:t>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73"/>
              <w:spacing w:after="0"/>
              <w:rPr>
                <w:sz w:val="20"/>
                <w:szCs w:val="20"/>
                <w:color w:val="auto"/>
              </w:rPr>
            </w:pPr>
            <w:r>
              <w:rPr>
                <w:rFonts w:ascii="Arial" w:cs="Arial" w:eastAsia="Arial" w:hAnsi="Arial"/>
                <w:sz w:val="13"/>
                <w:szCs w:val="13"/>
                <w:color w:val="auto"/>
              </w:rPr>
              <w:t>2017</w:t>
            </w:r>
          </w:p>
        </w:tc>
      </w:tr>
      <w:tr>
        <w:trPr>
          <w:trHeight w:val="27"/>
        </w:trPr>
        <w:tc>
          <w:tcPr>
            <w:tcW w:w="6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2"/>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Total segment profit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47,103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42,282</w:t>
            </w:r>
          </w:p>
        </w:tc>
      </w:tr>
      <w:tr>
        <w:trPr>
          <w:trHeight w:val="195"/>
        </w:trPr>
        <w:tc>
          <w:tcPr>
            <w:tcW w:w="6020" w:type="dxa"/>
            <w:vAlign w:val="bottom"/>
          </w:tcPr>
          <w:p>
            <w:pPr>
              <w:ind w:left="40"/>
              <w:spacing w:after="0"/>
              <w:rPr>
                <w:sz w:val="20"/>
                <w:szCs w:val="20"/>
                <w:color w:val="auto"/>
              </w:rPr>
            </w:pPr>
            <w:r>
              <w:rPr>
                <w:rFonts w:ascii="Arial" w:cs="Arial" w:eastAsia="Arial" w:hAnsi="Arial"/>
                <w:sz w:val="13"/>
                <w:szCs w:val="13"/>
                <w:color w:val="auto"/>
              </w:rPr>
              <w:t>Unallocated amounts:</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7"/>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2"/>
        </w:trPr>
        <w:tc>
          <w:tcPr>
            <w:tcW w:w="6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Administrative costs</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(6,481)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(6,871)</w:t>
            </w:r>
          </w:p>
        </w:tc>
      </w:tr>
      <w:tr>
        <w:trPr>
          <w:trHeight w:val="195"/>
        </w:trPr>
        <w:tc>
          <w:tcPr>
            <w:tcW w:w="6020" w:type="dxa"/>
            <w:vAlign w:val="bottom"/>
          </w:tcPr>
          <w:p>
            <w:pPr>
              <w:ind w:left="320"/>
              <w:spacing w:after="0"/>
              <w:rPr>
                <w:sz w:val="20"/>
                <w:szCs w:val="20"/>
                <w:color w:val="auto"/>
              </w:rPr>
            </w:pPr>
            <w:r>
              <w:rPr>
                <w:rFonts w:ascii="Arial" w:cs="Arial" w:eastAsia="Arial" w:hAnsi="Arial"/>
                <w:sz w:val="13"/>
                <w:szCs w:val="13"/>
                <w:color w:val="auto"/>
              </w:rPr>
              <w:t>Investment and other (expense) income</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216</w:t>
            </w:r>
          </w:p>
        </w:tc>
      </w:tr>
      <w:tr>
        <w:trPr>
          <w:trHeight w:val="27"/>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2"/>
        </w:trPr>
        <w:tc>
          <w:tcPr>
            <w:tcW w:w="6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Interest expense</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(863)</w:t>
            </w:r>
          </w:p>
        </w:tc>
      </w:tr>
      <w:tr>
        <w:trPr>
          <w:trHeight w:val="194"/>
        </w:trPr>
        <w:tc>
          <w:tcPr>
            <w:tcW w:w="6020" w:type="dxa"/>
            <w:vAlign w:val="bottom"/>
          </w:tcPr>
          <w:p>
            <w:pPr>
              <w:ind w:left="40"/>
              <w:spacing w:after="0"/>
              <w:rPr>
                <w:sz w:val="20"/>
                <w:szCs w:val="20"/>
                <w:color w:val="auto"/>
              </w:rPr>
            </w:pPr>
            <w:r>
              <w:rPr>
                <w:rFonts w:ascii="Arial" w:cs="Arial" w:eastAsia="Arial" w:hAnsi="Arial"/>
                <w:sz w:val="13"/>
                <w:szCs w:val="13"/>
                <w:color w:val="auto"/>
              </w:rPr>
              <w:t>Earnings before income taxes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39,893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34,764</w:t>
            </w:r>
          </w:p>
        </w:tc>
      </w:tr>
      <w:tr>
        <w:trPr>
          <w:trHeight w:val="20"/>
        </w:trPr>
        <w:tc>
          <w:tcPr>
            <w:tcW w:w="6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39"/>
          </w:cols>
          <w:pgMar w:left="220" w:top="506" w:right="1440"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314325</wp:posOffset>
            </wp:positionV>
            <wp:extent cx="721233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549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5554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2019-12-28T17:32:59Z</dcterms:created>
  <dcterms:modified xsi:type="dcterms:W3CDTF">2019-12-28T17:32:59Z</dcterms:modified>
</cp:coreProperties>
</file>