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51435</wp:posOffset>
            </wp:positionV>
            <wp:extent cx="14998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53340</wp:posOffset>
            </wp:positionV>
            <wp:extent cx="1499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222" w:lineRule="exact"/>
        <w:rPr>
          <w:sz w:val="24"/>
          <w:szCs w:val="24"/>
          <w:color w:val="auto"/>
        </w:rPr>
      </w:pPr>
    </w:p>
    <w:p>
      <w:pPr>
        <w:ind w:left="640" w:right="40" w:hanging="614"/>
        <w:spacing w:after="0" w:line="233" w:lineRule="auto"/>
        <w:tabs>
          <w:tab w:leader="none" w:pos="64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30, 2025</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2" w:lineRule="exact"/>
        <w:rPr>
          <w:sz w:val="24"/>
          <w:szCs w:val="24"/>
          <w:color w:val="auto"/>
        </w:rPr>
      </w:pPr>
    </w:p>
    <w:p>
      <w:pPr>
        <w:ind w:left="640" w:right="60" w:hanging="614"/>
        <w:spacing w:after="0" w:line="238" w:lineRule="auto"/>
        <w:tabs>
          <w:tab w:leader="none" w:pos="6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6760" w:type="dxa"/>
            <w:vAlign w:val="bottom"/>
            <w:gridSpan w:val="5"/>
          </w:tcPr>
          <w:p>
            <w:pPr>
              <w:ind w:left="34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378"/>
        </w:trPr>
        <w:tc>
          <w:tcPr>
            <w:tcW w:w="3860" w:type="dxa"/>
            <w:vAlign w:val="bottom"/>
          </w:tcPr>
          <w:p>
            <w:pPr>
              <w:spacing w:after="0"/>
              <w:rPr>
                <w:sz w:val="24"/>
                <w:szCs w:val="24"/>
                <w:color w:val="auto"/>
              </w:rPr>
            </w:pPr>
          </w:p>
        </w:tc>
        <w:tc>
          <w:tcPr>
            <w:tcW w:w="7400" w:type="dxa"/>
            <w:vAlign w:val="bottom"/>
            <w:gridSpan w:val="7"/>
          </w:tcPr>
          <w:p>
            <w:pPr>
              <w:jc w:val="center"/>
              <w:ind w:right="3788"/>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tc>
        <w:tc>
          <w:tcPr>
            <w:tcW w:w="0" w:type="dxa"/>
            <w:vAlign w:val="bottom"/>
          </w:tcPr>
          <w:p>
            <w:pPr>
              <w:spacing w:after="0"/>
              <w:rPr>
                <w:sz w:val="1"/>
                <w:szCs w:val="1"/>
                <w:color w:val="auto"/>
              </w:rPr>
            </w:pPr>
          </w:p>
        </w:tc>
      </w:tr>
      <w:tr>
        <w:trPr>
          <w:trHeight w:val="81"/>
        </w:trPr>
        <w:tc>
          <w:tcPr>
            <w:tcW w:w="442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8"/>
        </w:trPr>
        <w:tc>
          <w:tcPr>
            <w:tcW w:w="11260" w:type="dxa"/>
            <w:vAlign w:val="bottom"/>
            <w:gridSpan w:val="8"/>
          </w:tcPr>
          <w:p>
            <w:pPr>
              <w:jc w:val="center"/>
              <w:spacing w:after="0"/>
              <w:rPr>
                <w:sz w:val="20"/>
                <w:szCs w:val="20"/>
                <w:color w:val="auto"/>
              </w:rPr>
            </w:pPr>
            <w:r>
              <w:rPr>
                <w:rFonts w:ascii="Times New Roman" w:cs="Times New Roman" w:eastAsia="Times New Roman" w:hAnsi="Times New Roman"/>
                <w:sz w:val="43"/>
                <w:szCs w:val="43"/>
                <w:b w:val="1"/>
                <w:bCs w:val="1"/>
                <w:color w:val="auto"/>
                <w:w w:val="99"/>
              </w:rPr>
              <w:t>BRADY CORPORATION</w:t>
            </w: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7400" w:type="dxa"/>
            <w:vAlign w:val="bottom"/>
            <w:gridSpan w:val="7"/>
          </w:tcPr>
          <w:p>
            <w:pPr>
              <w:jc w:val="center"/>
              <w:ind w:right="3788"/>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0" w:type="dxa"/>
            <w:vAlign w:val="bottom"/>
          </w:tcPr>
          <w:p>
            <w:pPr>
              <w:spacing w:after="0"/>
              <w:rPr>
                <w:sz w:val="1"/>
                <w:szCs w:val="1"/>
                <w:color w:val="auto"/>
              </w:rPr>
            </w:pPr>
          </w:p>
        </w:tc>
      </w:tr>
      <w:tr>
        <w:trPr>
          <w:trHeight w:val="91"/>
        </w:trPr>
        <w:tc>
          <w:tcPr>
            <w:tcW w:w="3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8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335"/>
        </w:trPr>
        <w:tc>
          <w:tcPr>
            <w:tcW w:w="3860" w:type="dxa"/>
            <w:vAlign w:val="bottom"/>
          </w:tcPr>
          <w:p>
            <w:pPr>
              <w:jc w:val="center"/>
              <w:ind w:left="138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500" w:type="dxa"/>
            <w:vAlign w:val="bottom"/>
            <w:gridSpan w:val="3"/>
          </w:tcPr>
          <w:p>
            <w:pPr>
              <w:jc w:val="right"/>
              <w:ind w:right="2188"/>
              <w:spacing w:after="0"/>
              <w:rPr>
                <w:sz w:val="20"/>
                <w:szCs w:val="20"/>
                <w:color w:val="auto"/>
              </w:rPr>
            </w:pPr>
            <w:r>
              <w:rPr>
                <w:rFonts w:ascii="Times New Roman" w:cs="Times New Roman" w:eastAsia="Times New Roman" w:hAnsi="Times New Roman"/>
                <w:sz w:val="18"/>
                <w:szCs w:val="18"/>
                <w:b w:val="1"/>
                <w:bCs w:val="1"/>
                <w:color w:val="auto"/>
              </w:rPr>
              <w:t>39-0178960</w:t>
            </w:r>
          </w:p>
        </w:tc>
        <w:tc>
          <w:tcPr>
            <w:tcW w:w="0" w:type="dxa"/>
            <w:vAlign w:val="bottom"/>
          </w:tcPr>
          <w:p>
            <w:pPr>
              <w:spacing w:after="0"/>
              <w:rPr>
                <w:sz w:val="1"/>
                <w:szCs w:val="1"/>
                <w:color w:val="auto"/>
              </w:rPr>
            </w:pPr>
          </w:p>
        </w:tc>
      </w:tr>
      <w:tr>
        <w:trPr>
          <w:trHeight w:val="188"/>
        </w:trPr>
        <w:tc>
          <w:tcPr>
            <w:tcW w:w="6760" w:type="dxa"/>
            <w:vAlign w:val="bottom"/>
            <w:gridSpan w:val="5"/>
          </w:tcPr>
          <w:p>
            <w:pPr>
              <w:jc w:val="center"/>
              <w:ind w:right="1362"/>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tcPr>
          <w:p>
            <w:pPr>
              <w:jc w:val="center"/>
              <w:ind w:right="84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98"/>
        </w:trPr>
        <w:tc>
          <w:tcPr>
            <w:tcW w:w="3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6555 West Good Hope Road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Milwaukee, Wisconsin 53223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7400" w:type="dxa"/>
            <w:vAlign w:val="bottom"/>
            <w:gridSpan w:val="7"/>
          </w:tcPr>
          <w:p>
            <w:pPr>
              <w:jc w:val="center"/>
              <w:ind w:right="3808"/>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tc>
        <w:tc>
          <w:tcPr>
            <w:tcW w:w="0" w:type="dxa"/>
            <w:vAlign w:val="bottom"/>
          </w:tcPr>
          <w:p>
            <w:pPr>
              <w:spacing w:after="0"/>
              <w:rPr>
                <w:sz w:val="1"/>
                <w:szCs w:val="1"/>
                <w:color w:val="auto"/>
              </w:rPr>
            </w:pPr>
          </w:p>
        </w:tc>
      </w:tr>
      <w:tr>
        <w:trPr>
          <w:trHeight w:val="365"/>
        </w:trPr>
        <w:tc>
          <w:tcPr>
            <w:tcW w:w="3860" w:type="dxa"/>
            <w:vAlign w:val="bottom"/>
          </w:tcPr>
          <w:p>
            <w:pPr>
              <w:spacing w:after="0"/>
              <w:rPr>
                <w:sz w:val="24"/>
                <w:szCs w:val="24"/>
                <w:color w:val="auto"/>
              </w:rPr>
            </w:pPr>
          </w:p>
        </w:tc>
        <w:tc>
          <w:tcPr>
            <w:tcW w:w="2900" w:type="dxa"/>
            <w:vAlign w:val="bottom"/>
            <w:gridSpan w:val="4"/>
          </w:tcPr>
          <w:p>
            <w:pPr>
              <w:jc w:val="center"/>
              <w:ind w:left="541"/>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7400" w:type="dxa"/>
            <w:vAlign w:val="bottom"/>
            <w:gridSpan w:val="7"/>
          </w:tcPr>
          <w:p>
            <w:pPr>
              <w:jc w:val="center"/>
              <w:ind w:right="380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0" w:type="dxa"/>
            <w:vAlign w:val="bottom"/>
          </w:tcPr>
          <w:p>
            <w:pPr>
              <w:spacing w:after="0"/>
              <w:rPr>
                <w:sz w:val="1"/>
                <w:szCs w:val="1"/>
                <w:color w:val="auto"/>
              </w:rPr>
            </w:pPr>
          </w:p>
        </w:tc>
      </w:tr>
      <w:tr>
        <w:trPr>
          <w:trHeight w:val="91"/>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5"/>
        </w:trPr>
        <w:tc>
          <w:tcPr>
            <w:tcW w:w="38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5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8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Class A Nonvoting Common Stock, par value $0.01 per share</w:t>
            </w:r>
          </w:p>
        </w:tc>
        <w:tc>
          <w:tcPr>
            <w:tcW w:w="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BRC</w:t>
            </w:r>
          </w:p>
        </w:tc>
        <w:tc>
          <w:tcPr>
            <w:tcW w:w="45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bl>
    <w:p>
      <w:pPr>
        <w:spacing w:after="0" w:line="234" w:lineRule="exact"/>
        <w:rPr>
          <w:sz w:val="24"/>
          <w:szCs w:val="24"/>
          <w:color w:val="auto"/>
        </w:rPr>
      </w:pPr>
    </w:p>
    <w:p>
      <w:pPr>
        <w:jc w:val="both"/>
        <w:ind w:right="40"/>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20" w:lineRule="exact"/>
        <w:rPr>
          <w:sz w:val="24"/>
          <w:szCs w:val="24"/>
          <w:color w:val="auto"/>
        </w:rPr>
      </w:pPr>
    </w:p>
    <w:p>
      <w:pPr>
        <w:jc w:val="both"/>
        <w:ind w:right="20"/>
        <w:spacing w:after="0" w:line="20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20" w:lineRule="exact"/>
        <w:rPr>
          <w:sz w:val="24"/>
          <w:szCs w:val="24"/>
          <w:color w:val="auto"/>
        </w:rPr>
      </w:pPr>
    </w:p>
    <w:p>
      <w:pPr>
        <w:jc w:val="both"/>
        <w:ind w:right="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5" w:right="319" w:bottom="1440" w:gutter="0" w:footer="0" w:header="0"/>
        </w:sectPr>
      </w:pPr>
    </w:p>
    <w:p>
      <w:pPr>
        <w:spacing w:after="0" w:line="148" w:lineRule="exact"/>
        <w:rPr>
          <w:sz w:val="24"/>
          <w:szCs w:val="24"/>
          <w:color w:val="auto"/>
        </w:rPr>
      </w:pPr>
    </w:p>
    <w:p>
      <w:pPr>
        <w:ind w:left="20" w:right="420"/>
        <w:spacing w:after="0" w:line="382" w:lineRule="auto"/>
        <w:rPr>
          <w:sz w:val="20"/>
          <w:szCs w:val="20"/>
          <w:color w:val="auto"/>
        </w:rPr>
      </w:pPr>
      <w:r>
        <w:rPr>
          <w:rFonts w:ascii="Times New Roman" w:cs="Times New Roman" w:eastAsia="Times New Roman" w:hAnsi="Times New Roman"/>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94" w:lineRule="exact"/>
        <w:rPr>
          <w:sz w:val="24"/>
          <w:szCs w:val="24"/>
          <w:color w:val="auto"/>
        </w:rPr>
      </w:pPr>
    </w:p>
    <w:p>
      <w:pPr>
        <w:sectPr>
          <w:pgSz w:w="11900" w:h="16838" w:orient="portrait"/>
          <w:cols w:equalWidth="0" w:num="6">
            <w:col w:w="1740" w:space="720"/>
            <w:col w:w="320" w:space="720"/>
            <w:col w:w="1780" w:space="720"/>
            <w:col w:w="320" w:space="720"/>
            <w:col w:w="1760" w:space="720"/>
            <w:col w:w="1740"/>
          </w:cols>
          <w:pgMar w:left="320" w:top="225" w:right="319" w:bottom="1440" w:gutter="0" w:footer="0" w:header="0"/>
          <w:type w:val="continuous"/>
        </w:sectPr>
      </w:pPr>
    </w:p>
    <w:p>
      <w:pPr>
        <w:ind w:right="20"/>
        <w:spacing w:after="0" w:line="21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3" w:lineRule="exact"/>
        <w:rPr>
          <w:sz w:val="24"/>
          <w:szCs w:val="24"/>
          <w:color w:val="auto"/>
        </w:rPr>
      </w:pPr>
    </w:p>
    <w:p>
      <w:pPr>
        <w:spacing w:after="0" w:line="184" w:lineRule="exact"/>
        <w:tabs>
          <w:tab w:leader="none" w:pos="66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20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As of May 14, 2025, there were 43,776,968 outstanding shares of Class A Nonvoting Common Stock and 3,538,628 shares of Class B Voting Common Stock. The Class B Voting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INDEX</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5"/>
        </w:trPr>
        <w:tc>
          <w:tcPr>
            <w:tcW w:w="9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1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8"/>
        </w:trPr>
        <w:tc>
          <w:tcPr>
            <w:tcW w:w="9760" w:type="dxa"/>
            <w:vAlign w:val="bottom"/>
            <w:vMerge w:val="continue"/>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Income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1A. Risk Factors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6. Exhibits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Signatures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976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7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1. FINANCIAL STATEMENTS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Dollars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April 30, 2025</w:t>
            </w:r>
          </w:p>
        </w:tc>
        <w:tc>
          <w:tcPr>
            <w:tcW w:w="200" w:type="dxa"/>
            <w:vAlign w:val="bottom"/>
          </w:tcPr>
          <w:p>
            <w:pPr>
              <w:spacing w:after="0"/>
              <w:rPr>
                <w:sz w:val="18"/>
                <w:szCs w:val="18"/>
                <w:color w:val="auto"/>
              </w:rPr>
            </w:pPr>
          </w:p>
        </w:tc>
        <w:tc>
          <w:tcPr>
            <w:tcW w:w="13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0" w:type="dxa"/>
            <w:vAlign w:val="bottom"/>
          </w:tcPr>
          <w:p>
            <w:pPr>
              <w:spacing w:after="0"/>
              <w:rPr>
                <w:sz w:val="1"/>
                <w:szCs w:val="1"/>
                <w:color w:val="auto"/>
              </w:rPr>
            </w:pPr>
          </w:p>
        </w:tc>
      </w:tr>
      <w:tr>
        <w:trPr>
          <w:trHeight w:val="211"/>
        </w:trPr>
        <w:tc>
          <w:tcPr>
            <w:tcW w:w="8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40" w:type="dxa"/>
            <w:vAlign w:val="bottom"/>
            <w:shd w:val="clear" w:color="auto" w:fill="CCEEFF"/>
          </w:tcPr>
          <w:p>
            <w:pPr>
              <w:ind w:left="37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250,118</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$8,967 and $6,749, respectively</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185,486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152,729</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15,399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11,382</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581,902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599,715</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219,082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195,758</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682,554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589,611</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51,839</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15,596</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38,504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24,546</w:t>
            </w:r>
          </w:p>
        </w:tc>
        <w:tc>
          <w:tcPr>
            <w:tcW w:w="0" w:type="dxa"/>
            <w:vAlign w:val="bottom"/>
          </w:tcPr>
          <w:p>
            <w:pPr>
              <w:spacing w:after="0"/>
              <w:rPr>
                <w:sz w:val="1"/>
                <w:szCs w:val="1"/>
                <w:color w:val="auto"/>
              </w:rPr>
            </w:pPr>
          </w:p>
        </w:tc>
      </w:tr>
      <w:tr>
        <w:trPr>
          <w:trHeight w:val="207"/>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1,698,115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1,515,569</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14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84,691</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77,954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14,061</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income taxes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13,382</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86,809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67,170</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264,682</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90,935</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25,342</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72,185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67,952</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530,562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448,911</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14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Class A nonvoting common stock—Issued 51,261,487 shares, and outstanding 43,774,580 and 44,042,462 shares,</w:t>
            </w: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Class B voting common stock—Issued and outstanding, 3,538,628 shares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357,545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353,654</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1,279,168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1,174,025</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Treasury stock—7,486,907 and 7,219,025 shares, respectively, of Class A nonvoting common stock, at cost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(351,947)</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(93,734)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(109,622)</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1,167,553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1,066,658</w:t>
            </w:r>
          </w:p>
        </w:tc>
        <w:tc>
          <w:tcPr>
            <w:tcW w:w="0" w:type="dxa"/>
            <w:vAlign w:val="bottom"/>
          </w:tcPr>
          <w:p>
            <w:pPr>
              <w:spacing w:after="0"/>
              <w:rPr>
                <w:sz w:val="1"/>
                <w:szCs w:val="1"/>
                <w:color w:val="auto"/>
              </w:rPr>
            </w:pPr>
          </w:p>
        </w:tc>
      </w:tr>
      <w:tr>
        <w:trPr>
          <w:trHeight w:val="207"/>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1,698,115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1,515,569</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INCOME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 Except Per Share Amounts,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260" w:type="dxa"/>
            <w:vAlign w:val="bottom"/>
          </w:tcPr>
          <w:p>
            <w:pPr>
              <w:spacing w:after="0"/>
              <w:rPr>
                <w:sz w:val="18"/>
                <w:szCs w:val="18"/>
                <w:color w:val="auto"/>
              </w:rPr>
            </w:pPr>
          </w:p>
        </w:tc>
        <w:tc>
          <w:tcPr>
            <w:tcW w:w="25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1"/>
        </w:trPr>
        <w:tc>
          <w:tcPr>
            <w:tcW w:w="54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382,590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1,116,330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997,991</w:t>
            </w:r>
          </w:p>
        </w:tc>
      </w:tr>
      <w:tr>
        <w:trPr>
          <w:trHeight w:val="21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187,531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166,357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555,739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487,162</w:t>
            </w:r>
          </w:p>
        </w:tc>
      </w:tr>
      <w:tr>
        <w:trPr>
          <w:trHeight w:val="212"/>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margin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560,591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510,829</w:t>
            </w: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50,215</w:t>
            </w:r>
          </w:p>
        </w:tc>
      </w:tr>
      <w:tr>
        <w:trPr>
          <w:trHeight w:val="213"/>
        </w:trPr>
        <w:tc>
          <w:tcPr>
            <w:tcW w:w="5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108,678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95,803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326,410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283,415</w:t>
            </w:r>
          </w:p>
        </w:tc>
      </w:tr>
      <w:tr>
        <w:trPr>
          <w:trHeight w:val="212"/>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383,245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333,630</w:t>
            </w: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177,199</w:t>
            </w: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Investment and other (expense) income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4,718</w:t>
            </w: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w:t>
            </w:r>
          </w:p>
        </w:tc>
      </w:tr>
      <w:tr>
        <w:trPr>
          <w:trHeight w:val="207"/>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65,745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64,411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176,592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179,633</w:t>
            </w: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37,212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37,874</w:t>
            </w:r>
          </w:p>
        </w:tc>
      </w:tr>
      <w:tr>
        <w:trPr>
          <w:trHeight w:val="212"/>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52,263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50,890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139,380</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141,759</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3"/>
        </w:trPr>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r>
      <w:tr>
        <w:trPr>
          <w:trHeight w:val="213"/>
        </w:trPr>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48,294</w:t>
            </w: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48,640</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ind w:right="526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CONDENSED CONSOLIDATED STATEMENTS OF COMPREHENSIVE INCOME </w:t>
      </w:r>
      <w:r>
        <w:rPr>
          <w:rFonts w:ascii="Times New Roman" w:cs="Times New Roman" w:eastAsia="Times New Roman" w:hAnsi="Times New Roman"/>
          <w:sz w:val="16"/>
          <w:szCs w:val="16"/>
          <w:color w:val="auto"/>
        </w:rPr>
        <w:t>(Dollars in Thousands, 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260" w:type="dxa"/>
            <w:vAlign w:val="bottom"/>
          </w:tcPr>
          <w:p>
            <w:pPr>
              <w:spacing w:after="0"/>
              <w:rPr>
                <w:sz w:val="18"/>
                <w:szCs w:val="18"/>
                <w:color w:val="auto"/>
              </w:rPr>
            </w:pPr>
          </w:p>
        </w:tc>
        <w:tc>
          <w:tcPr>
            <w:tcW w:w="25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1"/>
        </w:trPr>
        <w:tc>
          <w:tcPr>
            <w:tcW w:w="54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139,380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141,759</w:t>
            </w: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(12,310)</w:t>
            </w:r>
          </w:p>
        </w:tc>
      </w:tr>
      <w:tr>
        <w:trPr>
          <w:trHeight w:val="216"/>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flow hedges: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5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(loss) gain recognized in other comprehensive income (loss)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r>
      <w:tr>
        <w:trPr>
          <w:trHeight w:val="216"/>
        </w:trPr>
        <w:tc>
          <w:tcPr>
            <w:tcW w:w="5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Reclassification adjustment for losses (gains) included in net income</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w:t>
            </w:r>
          </w:p>
        </w:tc>
      </w:tr>
      <w:tr>
        <w:trPr>
          <w:trHeight w:val="209"/>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r>
      <w:tr>
        <w:trPr>
          <w:trHeight w:val="219"/>
        </w:trPr>
        <w:tc>
          <w:tcPr>
            <w:tcW w:w="5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Pension and other post-retirement benefits actuarial gain amortization</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r>
      <w:tr>
        <w:trPr>
          <w:trHeight w:val="219"/>
        </w:trPr>
        <w:tc>
          <w:tcPr>
            <w:tcW w:w="5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tax</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(13,240)</w:t>
            </w: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income (loss)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07"/>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38,093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15,888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(13,346)</w:t>
            </w:r>
          </w:p>
        </w:tc>
      </w:tr>
      <w:tr>
        <w:trPr>
          <w:trHeight w:val="235"/>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90,356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44,424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155,268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128,413</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ind w:right="536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CONDENSED CONSOLIDATED STATEMENTS OF STOCKHOLDERS' EQUITY </w:t>
      </w:r>
      <w:r>
        <w:rPr>
          <w:rFonts w:ascii="Times New Roman" w:cs="Times New Roman" w:eastAsia="Times New Roman" w:hAnsi="Times New Roman"/>
          <w:sz w:val="16"/>
          <w:szCs w:val="16"/>
          <w:color w:val="auto"/>
        </w:rPr>
        <w:t>(Dollars in Thousands, 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April 30, 2025</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6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31,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1,238,275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1,120,468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40" w:type="dxa"/>
            <w:vAlign w:val="bottom"/>
            <w:tcBorders>
              <w:top w:val="single" w:sz="8" w:color="CCEEFF"/>
            </w:tcBorders>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52,263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52,263</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38,093</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(33,330)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(33,330)</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including excise taxes</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 $0.2400 per share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(10,521)</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B — $0.2400 per share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0" w:type="dxa"/>
            <w:vAlign w:val="bottom"/>
          </w:tcPr>
          <w:p>
            <w:pPr>
              <w:spacing w:after="0"/>
              <w:rPr>
                <w:sz w:val="1"/>
                <w:szCs w:val="1"/>
                <w:color w:val="auto"/>
              </w:rPr>
            </w:pPr>
          </w:p>
        </w:tc>
      </w:tr>
      <w:tr>
        <w:trPr>
          <w:trHeight w:val="212"/>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April 30,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357,545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1,279,168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(375,974)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(93,734)</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1,167,553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0"/>
        </w:trPr>
        <w:tc>
          <w:tcPr>
            <w:tcW w:w="3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 April 30, 2025</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6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1,174,025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1,066,658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40" w:type="dxa"/>
            <w:vAlign w:val="bottom"/>
            <w:tcBorders>
              <w:top w:val="single" w:sz="8" w:color="CCEEFF"/>
            </w:tcBorders>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139,380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139,380</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15,888</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(6,061)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9,303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3,242</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Tax benefit and withholdings from deferred</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distributions</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9,762</w:t>
            </w: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including excise taxes</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 — $0.7200 per share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(31,749)</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B — $0.7034 per share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0" w:type="dxa"/>
            <w:vAlign w:val="bottom"/>
          </w:tcPr>
          <w:p>
            <w:pPr>
              <w:spacing w:after="0"/>
              <w:rPr>
                <w:sz w:val="1"/>
                <w:szCs w:val="1"/>
                <w:color w:val="auto"/>
              </w:rPr>
            </w:pPr>
          </w:p>
        </w:tc>
      </w:tr>
      <w:tr>
        <w:trPr>
          <w:trHeight w:val="237"/>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April 30,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357,545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1,279,168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1,167,553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April 30, 2024</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6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353,794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1,090,045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1,038,732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40" w:type="dxa"/>
            <w:vAlign w:val="bottom"/>
            <w:tcBorders>
              <w:top w:val="single" w:sz="8" w:color="CCEEFF"/>
            </w:tcBorders>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50,890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50,890</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(6,466)</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(50,932)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(50,932)</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including excise taxes</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 $0.2350 per share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(10,364)</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B — $0.2350 per share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0" w:type="dxa"/>
            <w:vAlign w:val="bottom"/>
          </w:tcPr>
          <w:p>
            <w:pPr>
              <w:spacing w:after="0"/>
              <w:rPr>
                <w:sz w:val="1"/>
                <w:szCs w:val="1"/>
                <w:color w:val="auto"/>
              </w:rPr>
            </w:pPr>
          </w:p>
        </w:tc>
      </w:tr>
      <w:tr>
        <w:trPr>
          <w:trHeight w:val="212"/>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April 30,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354,432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1,129,739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(356,210)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(106,407)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1,022,102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0"/>
        </w:trPr>
        <w:tc>
          <w:tcPr>
            <w:tcW w:w="3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 April 30, 2024</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6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1,021,870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990,919</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40" w:type="dxa"/>
            <w:vAlign w:val="bottom"/>
            <w:tcBorders>
              <w:top w:val="single" w:sz="8" w:color="CCEEFF"/>
            </w:tcBorders>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141,759</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141,759</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(13,346)</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Tax benefit and withholdings from deferred</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distributions</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6,422</w:t>
            </w: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(72,830)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(72,830)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including excise taxes</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 — $0.7050 per share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(31,454)</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B — $0.6884 per share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0" w:type="dxa"/>
            <w:vAlign w:val="bottom"/>
          </w:tcPr>
          <w:p>
            <w:pPr>
              <w:spacing w:after="0"/>
              <w:rPr>
                <w:sz w:val="1"/>
                <w:szCs w:val="1"/>
                <w:color w:val="auto"/>
              </w:rPr>
            </w:pPr>
          </w:p>
        </w:tc>
      </w:tr>
      <w:tr>
        <w:trPr>
          <w:trHeight w:val="237"/>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April 30,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1,129,739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1,022,102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0" w:type="dxa"/>
            <w:vAlign w:val="bottom"/>
          </w:tcPr>
          <w:p>
            <w:pPr>
              <w:spacing w:after="0"/>
              <w:rPr>
                <w:sz w:val="1"/>
                <w:szCs w:val="1"/>
                <w:color w:val="auto"/>
              </w:rPr>
            </w:pPr>
          </w:p>
        </w:tc>
      </w:tr>
      <w:tr>
        <w:trPr>
          <w:trHeight w:val="211"/>
        </w:trPr>
        <w:tc>
          <w:tcPr>
            <w:tcW w:w="8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139,380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141,759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6,422</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(15,915)</w:t>
            </w:r>
          </w:p>
        </w:tc>
        <w:tc>
          <w:tcPr>
            <w:tcW w:w="0" w:type="dxa"/>
            <w:vAlign w:val="bottom"/>
          </w:tcPr>
          <w:p>
            <w:pPr>
              <w:spacing w:after="0"/>
              <w:rPr>
                <w:sz w:val="1"/>
                <w:szCs w:val="1"/>
                <w:color w:val="auto"/>
              </w:rPr>
            </w:pPr>
          </w:p>
        </w:tc>
      </w:tr>
      <w:tr>
        <w:trPr>
          <w:trHeight w:val="213"/>
        </w:trPr>
        <w:tc>
          <w:tcPr>
            <w:tcW w:w="81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20,861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w:t>
            </w:r>
          </w:p>
        </w:tc>
        <w:tc>
          <w:tcPr>
            <w:tcW w:w="0" w:type="dxa"/>
            <w:vAlign w:val="bottom"/>
          </w:tcPr>
          <w:p>
            <w:pPr>
              <w:spacing w:after="0"/>
              <w:rPr>
                <w:sz w:val="1"/>
                <w:szCs w:val="1"/>
                <w:color w:val="auto"/>
              </w:rPr>
            </w:pPr>
          </w:p>
        </w:tc>
      </w:tr>
      <w:tr>
        <w:trPr>
          <w:trHeight w:val="213"/>
        </w:trPr>
        <w:tc>
          <w:tcPr>
            <w:tcW w:w="81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(4,393)</w:t>
            </w:r>
          </w:p>
        </w:tc>
        <w:tc>
          <w:tcPr>
            <w:tcW w:w="0" w:type="dxa"/>
            <w:vAlign w:val="bottom"/>
          </w:tcPr>
          <w:p>
            <w:pPr>
              <w:spacing w:after="0"/>
              <w:rPr>
                <w:sz w:val="1"/>
                <w:szCs w:val="1"/>
                <w:color w:val="auto"/>
              </w:rPr>
            </w:pPr>
          </w:p>
        </w:tc>
      </w:tr>
      <w:tr>
        <w:trPr>
          <w:trHeight w:val="207"/>
        </w:trPr>
        <w:tc>
          <w:tcPr>
            <w:tcW w:w="818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122,874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171,094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(69,157)</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0" w:type="dxa"/>
            <w:vAlign w:val="bottom"/>
          </w:tcPr>
          <w:p>
            <w:pPr>
              <w:spacing w:after="0"/>
              <w:rPr>
                <w:sz w:val="1"/>
                <w:szCs w:val="1"/>
                <w:color w:val="auto"/>
              </w:rPr>
            </w:pPr>
          </w:p>
        </w:tc>
      </w:tr>
      <w:tr>
        <w:trPr>
          <w:trHeight w:val="207"/>
        </w:trPr>
        <w:tc>
          <w:tcPr>
            <w:tcW w:w="818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(165,079)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(70,331)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Payment of dividends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(33,890)</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Payments for employee taxes withheld from stock-based awards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(72,225)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Proceeds from borrowing on credit agreement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111,790</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Repayment of borrowing on credit agreement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(97,732)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07"/>
        </w:trPr>
        <w:tc>
          <w:tcPr>
            <w:tcW w:w="818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(52,077)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(88,989)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(2,848)</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8,926</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250,118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151,532</w:t>
            </w:r>
          </w:p>
        </w:tc>
        <w:tc>
          <w:tcPr>
            <w:tcW w:w="0" w:type="dxa"/>
            <w:vAlign w:val="bottom"/>
          </w:tcPr>
          <w:p>
            <w:pPr>
              <w:spacing w:after="0"/>
              <w:rPr>
                <w:sz w:val="1"/>
                <w:szCs w:val="1"/>
                <w:color w:val="auto"/>
              </w:rPr>
            </w:pPr>
          </w:p>
        </w:tc>
      </w:tr>
      <w:tr>
        <w:trPr>
          <w:trHeight w:val="199"/>
        </w:trPr>
        <w:tc>
          <w:tcPr>
            <w:tcW w:w="8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152,154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160,458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8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Nine Months Ended April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Basis of Presentation</w:t>
      </w:r>
    </w:p>
    <w:p>
      <w:pPr>
        <w:spacing w:after="0" w:line="1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April 30, 2025 and July 31, 2024, its results of operations and comprehensive income for the three and nine months ended April 30, 2025 and 2024, and cash flows for the nine months ended April 30, 2025 and 2024. The condensed consolidated balance sheet as of July 31, 2024 has been derived from the audited consolidated financial statements as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Annual Report on Form 10-K for the year ended July 31, 2024.</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New Accounting Pronouncements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Standards not yet adopted</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The guidance requires expanded interim and annual disclosures of segment information including the disclosure of significant segment expenses that are regularly provided to the chief operating decision maker and included within segment profit and loss. The guidance is effective for the Company's fiscal 2025 Form 10-K and interim periods thereafter. The Company is currently assessing its segment information disclosures in connection with the adoption of ASU 2023-07.</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guidance requires expanded annual disclosures including the standardization and disaggregation of income tax rate reconciliation categories and the amount of income taxes paid by jurisdiction. The guidance is effective for the Company’s fiscal 2026 Form 10-K. The Company is currently assessing its income tax disclosures in connection with the adoption of ASU 2023-09.</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guidance requires expanded interim and annual disclosures of expense information including the amounts of inventory purchases, employee compensation, depreciation, amortization, and depletion within commonly presented expense captions during the period. The guidance is effective for the Company's fiscal 2028 Form 10-K and interim periods thereafter. The Company is currently evaluating the ASU to determine its impact on the Company's disclosures.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Additional Balance Sheet Information</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Inventories consisted of the following as of April 30, 2025 and July 31,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April 30, 2025</w:t>
            </w:r>
          </w:p>
        </w:tc>
        <w:tc>
          <w:tcPr>
            <w:tcW w:w="22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July 31, 2024</w:t>
            </w:r>
          </w:p>
        </w:tc>
      </w:tr>
      <w:tr>
        <w:trPr>
          <w:trHeight w:val="212"/>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products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104,559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89,430</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24,601</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38,698</w:t>
            </w:r>
          </w:p>
        </w:tc>
      </w:tr>
      <w:tr>
        <w:trPr>
          <w:trHeight w:val="207"/>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inventories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189,991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152,729</w:t>
            </w:r>
          </w:p>
        </w:tc>
      </w:tr>
      <w:tr>
        <w:trPr>
          <w:trHeight w:val="23"/>
        </w:trPr>
        <w:tc>
          <w:tcPr>
            <w:tcW w:w="7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Property, plant and equipment is presented net of accumulated depreciation in the amount of $309,349 and $304,199 as of April 30, 2025 and July 31, 2024, respectively.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Other Intangible Assets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intangible assets as of April 30, 2025 and July 31, 2024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20" w:type="dxa"/>
            <w:vAlign w:val="bottom"/>
          </w:tcPr>
          <w:p>
            <w:pPr>
              <w:spacing w:after="0"/>
              <w:rPr>
                <w:sz w:val="11"/>
                <w:szCs w:val="11"/>
                <w:color w:val="auto"/>
              </w:rPr>
            </w:pP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0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7"/>
                <w:szCs w:val="17"/>
                <w:color w:val="auto"/>
              </w:rPr>
            </w:pP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0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9"/>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Amortized other intangible assets:</w:t>
            </w: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Tradenames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2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85"/>
              </w:rPr>
              <w:t>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relationships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(34,778)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91,370</w:t>
            </w:r>
          </w:p>
        </w:tc>
        <w:tc>
          <w:tcPr>
            <w:tcW w:w="12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85"/>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41,151</w:t>
            </w:r>
          </w:p>
        </w:tc>
        <w:tc>
          <w:tcPr>
            <w:tcW w:w="0" w:type="dxa"/>
            <w:vAlign w:val="bottom"/>
          </w:tcPr>
          <w:p>
            <w:pPr>
              <w:spacing w:after="0"/>
              <w:rPr>
                <w:sz w:val="1"/>
                <w:szCs w:val="1"/>
                <w:color w:val="auto"/>
              </w:rPr>
            </w:pPr>
          </w:p>
        </w:tc>
      </w:tr>
      <w:tr>
        <w:trPr>
          <w:trHeight w:val="195"/>
        </w:trPr>
        <w:tc>
          <w:tcPr>
            <w:tcW w:w="2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Technology</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12,089</w:t>
            </w:r>
          </w:p>
        </w:tc>
        <w:tc>
          <w:tcPr>
            <w:tcW w:w="12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85"/>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3,118</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other intangible assets: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Tradenames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7,657</w:t>
            </w: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7,570</w:t>
            </w:r>
          </w:p>
        </w:tc>
        <w:tc>
          <w:tcPr>
            <w:tcW w:w="0" w:type="dxa"/>
            <w:vAlign w:val="bottom"/>
          </w:tcPr>
          <w:p>
            <w:pPr>
              <w:spacing w:after="0"/>
              <w:rPr>
                <w:sz w:val="1"/>
                <w:szCs w:val="1"/>
                <w:color w:val="auto"/>
              </w:rPr>
            </w:pPr>
          </w:p>
        </w:tc>
      </w:tr>
      <w:tr>
        <w:trPr>
          <w:trHeight w:val="221"/>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156,216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(30,061)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51,839</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change in the gross carrying amount of other intangible assets as of April 30, 2025 compared to July 31, 2024 was primarily due to the acquisitions of Gravotech Holding (“Gravotech”), American Barcode and RFID Incorporated (“AB&amp;R”), and the Microfluidic Solutions business unit of Funai Electric Co., Ltd. (“Microfluidic Solutions”) completed during the nine months ended April 30, 2025 and to a lesser extent, the effect of currency fluctuations. Refer to Note N, “Acquisitions,” for additional information on intangible assets acquired.</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on intangible assets was $4,754 and $2,365 for the three months ended April 30, 2025 and 2024, respectively, and $14,138 and $7,084 for the nine months ended April 30, 2025 and 2024, respectively.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Leases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leases certain manufacturing facilities, warehouse and office spaces, and vehicles accounted for as operating leases. Lease terms typically range from one year to ten years. As of April 30, 2025, the Company did not have any finance leases.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lease expense was $4,714 and $3,688 for the three months ended April 30, 2025 and 2024, respectively, and $13,988 and $11,557 for the nine months ended April 30, 2025 and 2024, respectively, which was recognized in either “Cost of goods sold” or “Selling, general and administrative” expenses in the condensed consolidated statements of income, based on the nature of the lease. Short-term lease expense, variable lease expenses, and sublease income were immaterial to the condensed consolidated statements of income for the three and nine months ended April 30, 2025 and 2024.</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for the nine months ended April 30, 2025 and 2024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260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560" w:type="dxa"/>
            <w:vAlign w:val="bottom"/>
            <w:tcBorders>
              <w:bottom w:val="single" w:sz="8" w:color="auto"/>
            </w:tcBorders>
          </w:tcPr>
          <w:p>
            <w:pPr>
              <w:spacing w:after="0"/>
              <w:rPr>
                <w:sz w:val="18"/>
                <w:szCs w:val="18"/>
                <w:color w:val="auto"/>
              </w:rPr>
            </w:pPr>
          </w:p>
        </w:tc>
      </w:tr>
      <w:tr>
        <w:trPr>
          <w:trHeight w:val="211"/>
        </w:trPr>
        <w:tc>
          <w:tcPr>
            <w:tcW w:w="80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r>
      <w:tr>
        <w:trPr>
          <w:trHeight w:val="21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outflows from operating leases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12,441</w:t>
            </w:r>
          </w:p>
        </w:tc>
      </w:tr>
      <w:tr>
        <w:trPr>
          <w:trHeight w:val="281"/>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Operating lease assets obtained in exchange for new operating lease liabilities </w:t>
            </w:r>
            <w:r>
              <w:rPr>
                <w:rFonts w:ascii="Times New Roman" w:cs="Times New Roman" w:eastAsia="Times New Roman" w:hAnsi="Times New Roman"/>
                <w:sz w:val="21"/>
                <w:szCs w:val="21"/>
                <w:color w:val="auto"/>
                <w:vertAlign w:val="superscript"/>
              </w:rPr>
              <w:t>(1)</w:t>
            </w: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30,964</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8,903</w:t>
            </w:r>
          </w:p>
        </w:tc>
      </w:tr>
    </w:tbl>
    <w:p>
      <w:pPr>
        <w:spacing w:after="0" w:line="11" w:lineRule="exact"/>
        <w:rPr>
          <w:sz w:val="20"/>
          <w:szCs w:val="20"/>
          <w:color w:val="auto"/>
        </w:rPr>
      </w:pPr>
    </w:p>
    <w:p>
      <w:pPr>
        <w:ind w:left="480" w:hanging="148"/>
        <w:spacing w:after="0"/>
        <w:tabs>
          <w:tab w:leader="none" w:pos="48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new leases and remeasurements or modifications of existing leases.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Accumulated Other Comprehensive Loss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comprehensive income (loss) consists of foreign currency translation adjustments, which includes net investment hedges and long-term intercompany loan translation adjustments, unrealized gains and losses from cash flow hedges, and the unamortized gain on post-retirement plans, net of their related tax effects.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changes in the balances of each component of accumulated other comprehensive loss, net of tax, for the nine months ended April 30,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Unrealized loss on</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5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236"/>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July 31,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center"/>
              <w:ind w:left="799"/>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(109,622)</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w:t>
            </w: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tcBorders>
              <w:top w:val="single" w:sz="8" w:color="CCEEFF"/>
            </w:tcBorders>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left="799"/>
              <w:spacing w:after="0"/>
              <w:rPr>
                <w:sz w:val="20"/>
                <w:szCs w:val="20"/>
                <w:color w:val="auto"/>
              </w:rPr>
            </w:pPr>
            <w:r>
              <w:rPr>
                <w:rFonts w:ascii="Times New Roman" w:cs="Times New Roman" w:eastAsia="Times New Roman" w:hAnsi="Times New Roman"/>
                <w:sz w:val="16"/>
                <w:szCs w:val="16"/>
                <w:color w:val="auto"/>
              </w:rPr>
              <w:t>(716)</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16,902</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16,186</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839"/>
              <w:spacing w:after="0"/>
              <w:rPr>
                <w:sz w:val="20"/>
                <w:szCs w:val="20"/>
                <w:color w:val="auto"/>
              </w:rPr>
            </w:pPr>
            <w:r>
              <w:rPr>
                <w:rFonts w:ascii="Times New Roman" w:cs="Times New Roman" w:eastAsia="Times New Roman" w:hAnsi="Times New Roman"/>
                <w:sz w:val="16"/>
                <w:szCs w:val="16"/>
                <w:color w:val="auto"/>
                <w:w w:val="99"/>
              </w:rPr>
              <w:t>156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April 30,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center"/>
              <w:ind w:left="799"/>
              <w:spacing w:after="0"/>
              <w:rPr>
                <w:sz w:val="20"/>
                <w:szCs w:val="20"/>
                <w:color w:val="auto"/>
              </w:rPr>
            </w:pPr>
            <w:r>
              <w:rPr>
                <w:rFonts w:ascii="Times New Roman" w:cs="Times New Roman" w:eastAsia="Times New Roman" w:hAnsi="Times New Roman"/>
                <w:sz w:val="16"/>
                <w:szCs w:val="16"/>
                <w:color w:val="auto"/>
              </w:rPr>
              <w:t>(709)</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(93,033)</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(93,734)</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decrease in accumulated other comprehensive loss as of April 30, 2025 compared to July 31, 2024 was primarily due to the depreciation of the U.S. dollar against certain other currencies during the nine-month period.</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in accumulated other comprehensive loss by component, net of tax, for the nine months ended April 30, 2024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Unrealized gain on</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5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236"/>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July 31, 2023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(93,061)</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w:t>
            </w: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tcBorders>
              <w:top w:val="single" w:sz="8" w:color="CCEEFF"/>
            </w:tcBorders>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(12,310)</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0" w:type="dxa"/>
            <w:vAlign w:val="bottom"/>
          </w:tcPr>
          <w:p>
            <w:pPr>
              <w:spacing w:after="0"/>
              <w:rPr>
                <w:sz w:val="1"/>
                <w:szCs w:val="1"/>
                <w:color w:val="auto"/>
              </w:rPr>
            </w:pP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April 30,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(107,768)</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(106,407)</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accumulated other comprehensive loss as of April 30, 2024 compared to July 31, 2023 was primarily due to the appreciation of the U.S. dollar against certain other currencies during the nine-month period.</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Of the amounts reclassified from accumulated other comprehensive loss during the nine months ended April 30, 2025 and 2024, unrealized (losses) gains on cash flow hedges were reclassified to “Cost of goods sold” and unamortized gains on post-retirement plans were reclassified into “Investment and other (expense) income” on the condensed consolidated statements of income.</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income tax benefit (expense) on the components of other comprehensive income (loss) for the three and nine months ended April 30, 2025 and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30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1"/>
        </w:trPr>
        <w:tc>
          <w:tcPr>
            <w:tcW w:w="5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loss: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0"/>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flow hedges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Revenue Recognition</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revenue when control of the product or service transfers to the customer at an amount that represents the consideration expected to be received in exchange for those products and services. The Company’s revenues are primarily from the sale of identification solutions and workplace safety products that are shipped and billed to customers. All revenue is from contracts with customers and is included in “Net sales” on the condensed consolidated statements of income. See Note H, “Segment Information,” for the Company’s disaggregated revenue disclosure.</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offers extended warranty coverage that is included in the sales price of certain products, which it accounts for as service warranties. The Company accounts for the deferred revenue associated with extended service warranties as a contract liability. The balance of contract liabilities associated with service warranty performance obligations was $2,986 and $2,947 as of April 30, 2025 and July 31, 2024, respectively. The current portion and non-current portion of contract liabilities are included in “Other current liabilities” and “Other liabilities,” respectively, on the condensed consolidated balance sheets. The Company recognized revenue of $343 and $325 during the three months ended April 30, 2025 and 2024, respectively, and $1,021 and $960 during the nine months ended April 30, 2025 and 2024, respectively, that was included in the contract liability balance at the beginning of the respective period from the amortization of extended service warranties. Of the contract liability balance outstanding at April 30, 2025, the Company expects to recognize 12% by the end of fiscal 2025, an additional 38% by the end of fiscal 2026, and the remaining balance thereafter.</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Segment Information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is organized and managed within two regions: Americas &amp; Asia and Europe &amp; Australia, which are the reportable segments.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net sales by segment and geographic region for the three and nine months ended April 30, 2025 and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30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0" w:type="dxa"/>
            <w:vAlign w:val="bottom"/>
          </w:tcPr>
          <w:p>
            <w:pPr>
              <w:spacing w:after="0"/>
              <w:rPr>
                <w:sz w:val="1"/>
                <w:szCs w:val="1"/>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Americas &amp; Asia</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Americas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636,493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582,864</w:t>
            </w:r>
          </w:p>
        </w:tc>
        <w:tc>
          <w:tcPr>
            <w:tcW w:w="0" w:type="dxa"/>
            <w:vAlign w:val="bottom"/>
          </w:tcPr>
          <w:p>
            <w:pPr>
              <w:spacing w:after="0"/>
              <w:rPr>
                <w:sz w:val="1"/>
                <w:szCs w:val="1"/>
                <w:color w:val="auto"/>
              </w:rPr>
            </w:pPr>
          </w:p>
        </w:tc>
      </w:tr>
      <w:tr>
        <w:trPr>
          <w:trHeight w:val="214"/>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i w:val="1"/>
                <w:iCs w:val="1"/>
                <w:color w:val="auto"/>
              </w:rPr>
              <w:t>Asia</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33,739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24,164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96,433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75,171</w:t>
            </w:r>
          </w:p>
        </w:tc>
        <w:tc>
          <w:tcPr>
            <w:tcW w:w="0" w:type="dxa"/>
            <w:vAlign w:val="bottom"/>
          </w:tcPr>
          <w:p>
            <w:pPr>
              <w:spacing w:after="0"/>
              <w:rPr>
                <w:sz w:val="1"/>
                <w:szCs w:val="1"/>
                <w:color w:val="auto"/>
              </w:rPr>
            </w:pPr>
          </w:p>
        </w:tc>
      </w:tr>
      <w:tr>
        <w:trPr>
          <w:trHeight w:val="233"/>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253,652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224,766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732,926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658,035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Europe &amp; Australia</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Europe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299,629</w:t>
            </w:r>
          </w:p>
        </w:tc>
        <w:tc>
          <w:tcPr>
            <w:tcW w:w="0" w:type="dxa"/>
            <w:vAlign w:val="bottom"/>
          </w:tcPr>
          <w:p>
            <w:pPr>
              <w:spacing w:after="0"/>
              <w:rPr>
                <w:sz w:val="1"/>
                <w:szCs w:val="1"/>
                <w:color w:val="auto"/>
              </w:rPr>
            </w:pPr>
          </w:p>
        </w:tc>
      </w:tr>
      <w:tr>
        <w:trPr>
          <w:trHeight w:val="214"/>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i w:val="1"/>
                <w:iCs w:val="1"/>
                <w:color w:val="auto"/>
              </w:rPr>
              <w:t>Australia</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13,693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41,059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40,327</w:t>
            </w:r>
          </w:p>
        </w:tc>
        <w:tc>
          <w:tcPr>
            <w:tcW w:w="0" w:type="dxa"/>
            <w:vAlign w:val="bottom"/>
          </w:tcPr>
          <w:p>
            <w:pPr>
              <w:spacing w:after="0"/>
              <w:rPr>
                <w:sz w:val="1"/>
                <w:szCs w:val="1"/>
                <w:color w:val="auto"/>
              </w:rPr>
            </w:pPr>
          </w:p>
        </w:tc>
      </w:tr>
      <w:tr>
        <w:trPr>
          <w:trHeight w:val="233"/>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128,938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118,618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383,404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339,956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Company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382,590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343,384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1,116,330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997,991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segment profit for the three and nine months ended April 30, 2025 and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3060" w:type="dxa"/>
            <w:vAlign w:val="bottom"/>
            <w:gridSpan w:val="6"/>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30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1"/>
        </w:trPr>
        <w:tc>
          <w:tcPr>
            <w:tcW w:w="52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profit:</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5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57,164</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49,697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158,148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143,489</w:t>
            </w:r>
          </w:p>
        </w:tc>
      </w:tr>
      <w:tr>
        <w:trPr>
          <w:trHeight w:val="21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17,478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51,335</w:t>
            </w:r>
          </w:p>
        </w:tc>
      </w:tr>
      <w:tr>
        <w:trPr>
          <w:trHeight w:val="20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profit from reportable segments</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74,642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69,234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200,020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194,824</w:t>
            </w:r>
          </w:p>
        </w:tc>
      </w:tr>
      <w:tr>
        <w:trPr>
          <w:trHeight w:val="23"/>
        </w:trPr>
        <w:tc>
          <w:tcPr>
            <w:tcW w:w="5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Total profit from reportable segments is a measure of operating income that excludes administrative costs related to corporate functions that are otherwise included in the Company's operating income. The following is a reconciliation of total profit from reportable segments to income before income taxes for the three and nine months ended April 30, 2025 and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3040" w:type="dxa"/>
            <w:vAlign w:val="bottom"/>
            <w:gridSpan w:val="6"/>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30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1"/>
        </w:trPr>
        <w:tc>
          <w:tcPr>
            <w:tcW w:w="52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profit from reportable segments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74,642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194,824</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Unallocated amounts: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Administrative costs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(17,625)</w:t>
            </w:r>
          </w:p>
        </w:tc>
      </w:tr>
      <w:tr>
        <w:trPr>
          <w:trHeight w:val="213"/>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Investment and other (expense) income</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4,718</w:t>
            </w: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w:t>
            </w:r>
          </w:p>
        </w:tc>
      </w:tr>
      <w:tr>
        <w:trPr>
          <w:trHeight w:val="207"/>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65,745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64,411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176,592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179,633</w:t>
            </w:r>
          </w:p>
        </w:tc>
      </w:tr>
      <w:tr>
        <w:trPr>
          <w:trHeight w:val="23"/>
        </w:trPr>
        <w:tc>
          <w:tcPr>
            <w:tcW w:w="5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Net Income per Common Share</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Reconciliations of the numerator and denominator of the basic and diluted per share computations for the Company’s Class A and Class B common stock are summarized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3040" w:type="dxa"/>
            <w:vAlign w:val="bottom"/>
            <w:gridSpan w:val="6"/>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30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0" w:type="dxa"/>
            <w:vAlign w:val="bottom"/>
          </w:tcPr>
          <w:p>
            <w:pPr>
              <w:spacing w:after="0"/>
              <w:rPr>
                <w:sz w:val="1"/>
                <w:szCs w:val="1"/>
                <w:color w:val="auto"/>
              </w:rPr>
            </w:pPr>
          </w:p>
        </w:tc>
      </w:tr>
      <w:tr>
        <w:trPr>
          <w:trHeight w:val="211"/>
        </w:trPr>
        <w:tc>
          <w:tcPr>
            <w:tcW w:w="52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 (in thousands):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Net income (Numerator for basic and diluted income per Class A</w:t>
            </w:r>
          </w:p>
        </w:tc>
        <w:tc>
          <w:tcPr>
            <w:tcW w:w="880" w:type="dxa"/>
            <w:vAlign w:val="bottom"/>
            <w:vMerge w:val="restart"/>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52,263</w:t>
            </w:r>
          </w:p>
        </w:tc>
        <w:tc>
          <w:tcPr>
            <w:tcW w:w="100" w:type="dxa"/>
            <w:vAlign w:val="bottom"/>
          </w:tcPr>
          <w:p>
            <w:pPr>
              <w:spacing w:after="0"/>
              <w:rPr>
                <w:sz w:val="14"/>
                <w:szCs w:val="14"/>
                <w:color w:val="auto"/>
              </w:rPr>
            </w:pPr>
          </w:p>
        </w:tc>
        <w:tc>
          <w:tcPr>
            <w:tcW w:w="3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50,890</w:t>
            </w:r>
          </w:p>
        </w:tc>
        <w:tc>
          <w:tcPr>
            <w:tcW w:w="100" w:type="dxa"/>
            <w:vAlign w:val="bottom"/>
          </w:tcPr>
          <w:p>
            <w:pPr>
              <w:spacing w:after="0"/>
              <w:rPr>
                <w:sz w:val="14"/>
                <w:szCs w:val="14"/>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139,380</w:t>
            </w:r>
          </w:p>
        </w:tc>
        <w:tc>
          <w:tcPr>
            <w:tcW w:w="100" w:type="dxa"/>
            <w:vAlign w:val="bottom"/>
          </w:tcPr>
          <w:p>
            <w:pPr>
              <w:spacing w:after="0"/>
              <w:rPr>
                <w:sz w:val="14"/>
                <w:szCs w:val="14"/>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141,759</w:t>
            </w:r>
          </w:p>
        </w:tc>
        <w:tc>
          <w:tcPr>
            <w:tcW w:w="0" w:type="dxa"/>
            <w:vAlign w:val="bottom"/>
          </w:tcPr>
          <w:p>
            <w:pPr>
              <w:spacing w:after="0"/>
              <w:rPr>
                <w:sz w:val="1"/>
                <w:szCs w:val="1"/>
                <w:color w:val="auto"/>
              </w:rPr>
            </w:pPr>
          </w:p>
        </w:tc>
      </w:tr>
      <w:tr>
        <w:trPr>
          <w:trHeight w:val="213"/>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Nonvoting Common Share)</w:t>
            </w:r>
          </w:p>
        </w:tc>
        <w:tc>
          <w:tcPr>
            <w:tcW w:w="88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Preferential dividends</w:t>
            </w:r>
          </w:p>
        </w:tc>
        <w:tc>
          <w:tcPr>
            <w:tcW w:w="8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Preferential dividends on dilutive stock options</w:t>
            </w:r>
          </w:p>
        </w:tc>
        <w:tc>
          <w:tcPr>
            <w:tcW w:w="8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42"/>
        </w:trPr>
        <w:tc>
          <w:tcPr>
            <w:tcW w:w="5220" w:type="dxa"/>
            <w:vAlign w:val="bottom"/>
          </w:tcPr>
          <w:p>
            <w:pPr>
              <w:ind w:left="360"/>
              <w:spacing w:after="0" w:line="142" w:lineRule="exact"/>
              <w:rPr>
                <w:sz w:val="20"/>
                <w:szCs w:val="20"/>
                <w:color w:val="auto"/>
              </w:rPr>
            </w:pPr>
            <w:r>
              <w:rPr>
                <w:rFonts w:ascii="Times New Roman" w:cs="Times New Roman" w:eastAsia="Times New Roman" w:hAnsi="Times New Roman"/>
                <w:sz w:val="16"/>
                <w:szCs w:val="16"/>
                <w:color w:val="auto"/>
              </w:rPr>
              <w:t>Numerator for basic and diluted income per Class B Voting Common</w:t>
            </w:r>
          </w:p>
        </w:tc>
        <w:tc>
          <w:tcPr>
            <w:tcW w:w="880" w:type="dxa"/>
            <w:vAlign w:val="bottom"/>
            <w:tcBorders>
              <w:top w:val="single" w:sz="8" w:color="auto"/>
            </w:tcBorders>
            <w:vMerge w:val="restart"/>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52,263</w:t>
            </w:r>
          </w:p>
        </w:tc>
        <w:tc>
          <w:tcPr>
            <w:tcW w:w="100" w:type="dxa"/>
            <w:vAlign w:val="bottom"/>
          </w:tcPr>
          <w:p>
            <w:pPr>
              <w:spacing w:after="0"/>
              <w:rPr>
                <w:sz w:val="12"/>
                <w:szCs w:val="12"/>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50,890</w:t>
            </w:r>
          </w:p>
        </w:tc>
        <w:tc>
          <w:tcPr>
            <w:tcW w:w="100" w:type="dxa"/>
            <w:vAlign w:val="bottom"/>
          </w:tcPr>
          <w:p>
            <w:pPr>
              <w:spacing w:after="0"/>
              <w:rPr>
                <w:sz w:val="12"/>
                <w:szCs w:val="12"/>
                <w:color w:val="auto"/>
              </w:rPr>
            </w:pPr>
          </w:p>
        </w:tc>
        <w:tc>
          <w:tcPr>
            <w:tcW w:w="300" w:type="dxa"/>
            <w:vAlign w:val="bottom"/>
            <w:tcBorders>
              <w:top w:val="single" w:sz="8" w:color="auto"/>
            </w:tcBorders>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138,636</w:t>
            </w:r>
          </w:p>
        </w:tc>
        <w:tc>
          <w:tcPr>
            <w:tcW w:w="100" w:type="dxa"/>
            <w:vAlign w:val="bottom"/>
          </w:tcPr>
          <w:p>
            <w:pPr>
              <w:spacing w:after="0"/>
              <w:rPr>
                <w:sz w:val="12"/>
                <w:szCs w:val="12"/>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141,006</w:t>
            </w:r>
          </w:p>
        </w:tc>
        <w:tc>
          <w:tcPr>
            <w:tcW w:w="0" w:type="dxa"/>
            <w:vAlign w:val="bottom"/>
          </w:tcPr>
          <w:p>
            <w:pPr>
              <w:spacing w:after="0"/>
              <w:rPr>
                <w:sz w:val="1"/>
                <w:szCs w:val="1"/>
                <w:color w:val="auto"/>
              </w:rPr>
            </w:pPr>
          </w:p>
        </w:tc>
      </w:tr>
      <w:tr>
        <w:trPr>
          <w:trHeight w:val="194"/>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w:t>
            </w:r>
          </w:p>
        </w:tc>
        <w:tc>
          <w:tcPr>
            <w:tcW w:w="8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 (in thousands):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Denominator for basic income per share for both Class A and Class B</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47,644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48,294</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Plus: Effect of dilutive equity awards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07"/>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Denominator for diluted income per share for both Class A and Class B</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48,066</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48,386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48,196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48,640</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Basic</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Diluted</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Basic</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10"/>
        </w:trPr>
        <w:tc>
          <w:tcPr>
            <w:tcW w:w="5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Diluted</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bl>
    <w:p>
      <w:pPr>
        <w:spacing w:after="0" w:line="23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Potentially dilutive securities attributable to outstanding stock options and restricted stock units were excluded from the calculation of diluted earnings per share where the combined exercise price and average unamortized fair value were greater than the average market price of the Company's Class A Nonvoting Common Stock because the effect would have been anti-dilutive. There were no anti-dilutive shares for the three months ended April 30, 2025. The amount of anti-dilutive shares were 47,409 for the three months ended April 30, 2024, and 5,759 and 136,919 for the nine months ended April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Fair Value Measurements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fair value accounting guidance, the Company determines fair value based on the exchange price that would be received to sell an asset or paid to transfer a liability in an orderly transaction between market participants. The inputs used to measure fair value are classified into the following hierarchy:</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instruments that are accessible as of the reporting date.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Other significant pricing inputs that are either directly or indirectly observable.</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Significant unobservable pricing inputs, which result in the use of management's own assumptions.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that were accounted for at fair value on a recurring basis as of April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July 31,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April 30, 2025</w:t>
            </w:r>
          </w:p>
        </w:tc>
        <w:tc>
          <w:tcPr>
            <w:tcW w:w="22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15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 Hierarchy</w:t>
            </w:r>
          </w:p>
        </w:tc>
      </w:tr>
      <w:tr>
        <w:trPr>
          <w:trHeight w:val="199"/>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3"/>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compensation plan assets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20,029</w:t>
            </w:r>
          </w:p>
        </w:tc>
        <w:tc>
          <w:tcPr>
            <w:tcW w:w="120" w:type="dxa"/>
            <w:vAlign w:val="bottom"/>
          </w:tcPr>
          <w:p>
            <w:pPr>
              <w:spacing w:after="0"/>
              <w:rPr>
                <w:sz w:val="18"/>
                <w:szCs w:val="18"/>
                <w:color w:val="auto"/>
              </w:rPr>
            </w:pPr>
          </w:p>
        </w:tc>
        <w:tc>
          <w:tcPr>
            <w:tcW w:w="1560" w:type="dxa"/>
            <w:vAlign w:val="bottom"/>
          </w:tcPr>
          <w:p>
            <w:pPr>
              <w:ind w:left="1060"/>
              <w:spacing w:after="0"/>
              <w:rPr>
                <w:sz w:val="20"/>
                <w:szCs w:val="20"/>
                <w:color w:val="auto"/>
              </w:rPr>
            </w:pPr>
            <w:r>
              <w:rPr>
                <w:rFonts w:ascii="Times New Roman" w:cs="Times New Roman" w:eastAsia="Times New Roman" w:hAnsi="Times New Roman"/>
                <w:sz w:val="16"/>
                <w:szCs w:val="16"/>
                <w:color w:val="auto"/>
                <w:w w:val="99"/>
              </w:rPr>
              <w:t>Level 1</w:t>
            </w: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w w:val="99"/>
              </w:rPr>
              <w:t>Level 2</w:t>
            </w: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w w:val="99"/>
              </w:rPr>
              <w:t>Level 2</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w:t>
      </w:r>
    </w:p>
    <w:p>
      <w:pPr>
        <w:spacing w:after="0" w:line="16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plan assets: </w:t>
      </w:r>
      <w:r>
        <w:rPr>
          <w:rFonts w:ascii="Times New Roman" w:cs="Times New Roman" w:eastAsia="Times New Roman" w:hAnsi="Times New Roman"/>
          <w:sz w:val="18"/>
          <w:szCs w:val="18"/>
          <w:color w:val="auto"/>
        </w:rPr>
        <w:t>The Company’s deferred compensation investments consist of investments in mutual funds, which are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assets” on the condensed consolidated balance sheets. These investments were classified as Level 1 as the shares of these investments trade with sufficient frequency and volume to enable us to obtain pricing information on an ongoing basis.</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exchange contracts: </w:t>
      </w:r>
      <w:r>
        <w:rPr>
          <w:rFonts w:ascii="Times New Roman" w:cs="Times New Roman" w:eastAsia="Times New Roman" w:hAnsi="Times New Roman"/>
          <w:sz w:val="18"/>
          <w:szCs w:val="18"/>
          <w:color w:val="auto"/>
        </w:rPr>
        <w:t>The Company’s foreign exchange contracts were classified as Level 2 as the fair value was based on the present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future cash flows using external models that use observable inputs, such as interest rates, yield curves and foreign exchange rates. See Note K, “Derivatives and Hedging Activities,” for additional information.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cash and cash equivalents, accounts receivable, accounts payable, and other liabilities approximated carrying values due to their short-term nature.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Derivatives and Hedging Activities</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on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Main foreign currency exposures are related to transactions denominated in the British Pound, Euro, Canadian dollar, Australian dollar, Mexican Peso, Chinese Yuan, Malaysian Ringgit and Singapore dollar. Generally, these risk management transactions will involve the use of foreign currency derivatives to minimize the impact of currency movements on non-functional currency transactions.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U.S. dollar equivalent notional amounts of outstanding forward exchange contracts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April 30, 2025</w:t>
            </w:r>
          </w:p>
        </w:tc>
        <w:tc>
          <w:tcPr>
            <w:tcW w:w="20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July 31, 2024</w:t>
            </w:r>
          </w:p>
        </w:tc>
      </w:tr>
      <w:tr>
        <w:trPr>
          <w:trHeight w:val="213"/>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Designated as cash flow hedges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59,207</w:t>
            </w:r>
          </w:p>
        </w:tc>
      </w:tr>
      <w:tr>
        <w:trPr>
          <w:trHeight w:val="21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Non-designated hedges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4,459</w:t>
            </w:r>
          </w:p>
        </w:tc>
      </w:tr>
      <w:tr>
        <w:trPr>
          <w:trHeight w:val="237"/>
        </w:trPr>
        <w:tc>
          <w:tcPr>
            <w:tcW w:w="8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foreign exchange contracts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63,666</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designated a portion of its forward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income in the same period or periods during which the hedged transaction affects income. As of April 30, 2025 and July 31, 2024, unrealized losses of $742 and $124 have been included in OCI, respectively.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designated certain third party foreign currency denominated debt borrowed under its credit agreement as net investment hedges. These debt obligations, denominated in Euros and British Pounds, were designated as net investment hedges to hedge portions of the Company's net investment in its European operations. The Company’s foreign currency denominated debt obligations are valued under a market approach using publicized spot prices, and the net gains or losses attributable to the changes in spot prices are recorded as cumulative translation within AOCI and are included in the foreign currency translation adjustments section of the condensed consolidated statements of comprehensive income. As of April 30, 2025 and July 31, 2024, the cumulative balances recognized in accumulated other comprehensive income were losses of $2,850 and $1,237, respectively, on any outstanding foreign currency denominated debt obligations.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amount of pre-tax gains and losses related to derivatives designated as hedging instruments: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1"/>
        </w:trPr>
        <w:tc>
          <w:tcPr>
            <w:tcW w:w="5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(Losses) gains recognized in OCI:</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5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Forward exchange contracts (cash flow hedges)</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Pr>
          <w:p>
            <w:pPr>
              <w:spacing w:after="0"/>
              <w:rPr>
                <w:sz w:val="18"/>
                <w:szCs w:val="18"/>
                <w:color w:val="auto"/>
              </w:rPr>
            </w:pP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r>
      <w:tr>
        <w:trPr>
          <w:trHeight w:val="219"/>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denominated debt (net investment hedges)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w:t>
            </w:r>
          </w:p>
        </w:tc>
      </w:tr>
      <w:tr>
        <w:trPr>
          <w:trHeight w:val="214"/>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(Losses) gains reclassified from OCI into cost of goods sold</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Forward exchange contracts (cash flow hedges)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Fair values of derivative instruments in the condensed consolidated balance sheets were as follows: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p>
      <w:pPr>
        <w:spacing w:after="0" w:line="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Foreign exchange contracts (cash flow hedges)</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Foreign currency denominated debt (net investment hedges)</w:t>
      </w:r>
    </w:p>
    <w:p>
      <w:pPr>
        <w:spacing w:after="0" w:line="30" w:lineRule="exact"/>
        <w:rPr>
          <w:sz w:val="20"/>
          <w:szCs w:val="20"/>
          <w:color w:val="auto"/>
        </w:rPr>
      </w:pPr>
    </w:p>
    <w:p>
      <w:pPr>
        <w:jc w:val="right"/>
        <w:ind w:left="20" w:right="680"/>
        <w:spacing w:after="0" w:line="308" w:lineRule="auto"/>
        <w:rPr>
          <w:sz w:val="20"/>
          <w:szCs w:val="20"/>
          <w:color w:val="auto"/>
        </w:rPr>
      </w:pPr>
      <w:r>
        <w:rPr>
          <w:rFonts w:ascii="Times New Roman" w:cs="Times New Roman" w:eastAsia="Times New Roman" w:hAnsi="Times New Roman"/>
          <w:sz w:val="16"/>
          <w:szCs w:val="16"/>
          <w:b w:val="1"/>
          <w:bCs w:val="1"/>
          <w:color w:val="auto"/>
        </w:rPr>
        <w:t xml:space="preserve">Derivatives not designated as hedging instruments: </w:t>
      </w:r>
      <w:r>
        <w:rPr>
          <w:rFonts w:ascii="Times New Roman" w:cs="Times New Roman" w:eastAsia="Times New Roman" w:hAnsi="Times New Roman"/>
          <w:sz w:val="16"/>
          <w:szCs w:val="16"/>
          <w:color w:val="auto"/>
        </w:rPr>
        <w:t>Foreign exchange contracts (non-designated hedges)</w:t>
      </w:r>
    </w:p>
    <w:p>
      <w:pPr>
        <w:ind w:left="20"/>
        <w:spacing w:after="0"/>
        <w:rPr>
          <w:sz w:val="20"/>
          <w:szCs w:val="20"/>
          <w:color w:val="auto"/>
        </w:rPr>
      </w:pPr>
      <w:r>
        <w:rPr>
          <w:rFonts w:ascii="Times New Roman" w:cs="Times New Roman" w:eastAsia="Times New Roman" w:hAnsi="Times New Roman"/>
          <w:sz w:val="16"/>
          <w:szCs w:val="16"/>
          <w:b w:val="1"/>
          <w:bCs w:val="1"/>
          <w:color w:val="auto"/>
        </w:rPr>
        <w:t>Total derivative instruments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April 30, 2025</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9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Prepaid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Prepaid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expenses and</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expenses and</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9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9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7"/>
              </w:rPr>
              <w:t>assets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0" w:type="dxa"/>
            <w:vAlign w:val="bottom"/>
          </w:tcPr>
          <w:p>
            <w:pPr>
              <w:spacing w:after="0"/>
              <w:rPr>
                <w:sz w:val="1"/>
                <w:szCs w:val="1"/>
                <w:color w:val="auto"/>
              </w:rPr>
            </w:pPr>
          </w:p>
        </w:tc>
      </w:tr>
      <w:tr>
        <w:trPr>
          <w:trHeight w:val="408"/>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34,060</w:t>
            </w:r>
          </w:p>
        </w:tc>
        <w:tc>
          <w:tcPr>
            <w:tcW w:w="0" w:type="dxa"/>
            <w:vAlign w:val="bottom"/>
          </w:tcPr>
          <w:p>
            <w:pPr>
              <w:spacing w:after="0"/>
              <w:rPr>
                <w:sz w:val="1"/>
                <w:szCs w:val="1"/>
                <w:color w:val="auto"/>
              </w:rPr>
            </w:pPr>
          </w:p>
        </w:tc>
      </w:tr>
      <w:tr>
        <w:trPr>
          <w:trHeight w:val="435"/>
        </w:trPr>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34,633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34,060</w:t>
            </w: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-864870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-591185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-316865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720"/>
            <w:col w:w="6300"/>
          </w:cols>
          <w:pgMar w:left="320" w:top="118" w:right="339"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L — Income Taxes</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income tax rate for the three months ended April 30, 2025 and 2024 was 20.5% and 21.0%, respectively. The income tax rate for both of the nine months ended April 30, 2025 and 2024 was 21.1%.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M — Contingencies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a variety of investigations, claims, suits, and other legal proceedings, including but not limited to, intellectual property, employment, unclaimed property, tort, and breach of contract matters. Any legal proceedings are subject to inherent uncertainties, and these matters and their potential effects may change in the future. The Company records a liability for contingencies when a loss is deemed to be probable and the loss can be reasonably estimated. The Company currently believes that the outcomes of such proceedings will not have a material adverse impact on its business, financial position, results of operations or cash flows.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N — Acquisitions</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1, 2024, the Company acquired all of the outstanding shares of Gravotech. Headquartered in Lyon, France, Gravotech is a leader in the design, manufacture and distribution of innovative solutions for specialized engraving, marking and cutting, offering laser, mechanical engraving, scribing and dot peen capabilities across multiple industries. The acquisition of Gravotech expands the Company’s identification product offerings and research and development capabilities to include specialized direct part marking and engraving expertise. The acquisition was funded through cash on hand and borrowings under the Company’s existing credit agreement. Net sales and net loss attributable to Gravotech from the acquisition date through April 30, 2025 were $85,528 and $10,439, respectively. The net loss attributable to Gravotech is due to a non-recurring increase in cost of goods sold related to the fair value adjustment to inventory upon acquisition and amortization expense for intangible assets.</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preliminary purchase price allocation included goodwill of $69,936 of which $48,586 was assigned to the Americas &amp; Asia segment and $21,350 was assigned to the Europe &amp; Australia segment.</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 of the assets acquired and liabilities assumed at the date of the acquisition: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7,469</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23,697</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21,190</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 net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69,936</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64,099</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6,800</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(17,353)</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(9,106)</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(6,680)</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income taxes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(17,688)</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(6,800)</w:t>
            </w:r>
          </w:p>
        </w:tc>
      </w:tr>
      <w:tr>
        <w:trPr>
          <w:trHeight w:val="213"/>
        </w:trPr>
        <w:tc>
          <w:tcPr>
            <w:tcW w:w="9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(6,729)</w:t>
            </w:r>
          </w:p>
        </w:tc>
      </w:tr>
      <w:tr>
        <w:trPr>
          <w:trHeight w:val="212"/>
        </w:trPr>
        <w:tc>
          <w:tcPr>
            <w:tcW w:w="9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assets acquired</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131,083</w:t>
            </w:r>
          </w:p>
        </w:tc>
      </w:tr>
      <w:tr>
        <w:trPr>
          <w:trHeight w:val="213"/>
        </w:trPr>
        <w:tc>
          <w:tcPr>
            <w:tcW w:w="9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cash acquired</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(7,469)</w:t>
            </w:r>
          </w:p>
        </w:tc>
      </w:tr>
      <w:tr>
        <w:trPr>
          <w:trHeight w:val="199"/>
        </w:trPr>
        <w:tc>
          <w:tcPr>
            <w:tcW w:w="9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total consideration</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123,614</w:t>
            </w:r>
          </w:p>
        </w:tc>
      </w:tr>
      <w:tr>
        <w:trPr>
          <w:trHeight w:val="23"/>
        </w:trPr>
        <w:tc>
          <w:tcPr>
            <w:tcW w:w="9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final purchase price allocation is subject to post-closing adjustments pursuant to the terms of the securities sale and purchase agreement, as well as the finalization of certain accounts, primarily intangible assets and deferred tax adjustments. The goodwill for this acquisition is not deductible for tax purposes.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table presents the unaudited pro forma operating results of the Company for the three and nine months ended April 30, 2025 and 2024, reflecting the acquisition of Gravotech as if it had occurred at the beginning of fiscal year 2024. The unaudited pro forma operating results for the three and nine months ended April 30, 2025 do not contain any adjustments to the accompanying condensed consolidated financial statements. The unaudited pro forma operating results for the three and nine months ended April 30, 2024 include Gravotech’s normal operating results and pro forma adjustments to include cumulative expenses, net of tax, for the non-recurring fair value adjustment to inventory, amortization expense for acquired intangible assets and interest expense on acquisition-related debt. The unaudited pro forma operating results are presented for comparative purposes only and do not necessarily reflect future operating results or those that would have occurred had the acquisition been completed at the beginning of fiscal year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340" w:type="dxa"/>
            <w:vAlign w:val="bottom"/>
          </w:tcPr>
          <w:p>
            <w:pPr>
              <w:spacing w:after="0"/>
              <w:rPr>
                <w:sz w:val="18"/>
                <w:szCs w:val="18"/>
                <w:color w:val="auto"/>
              </w:rPr>
            </w:pPr>
          </w:p>
        </w:tc>
        <w:tc>
          <w:tcPr>
            <w:tcW w:w="278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1"/>
        </w:trPr>
        <w:tc>
          <w:tcPr>
            <w:tcW w:w="49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sales, pro forma</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382,590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371,732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1,116,330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1,085,253</w:t>
            </w:r>
          </w:p>
        </w:tc>
      </w:tr>
      <w:tr>
        <w:trPr>
          <w:trHeight w:val="210"/>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pro forma</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139,380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135,257</w:t>
            </w:r>
          </w:p>
        </w:tc>
      </w:tr>
    </w:tbl>
    <w:p>
      <w:pPr>
        <w:spacing w:after="0" w:line="24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1, 2024, the Company acquired all of the outstanding shares of AB&amp;R for $14,827, net of cash acquired. Based in Phoenix, Arizona, AB&amp;R provides integrated solutions for asset tracking, inventory management, and workflow optimization using advanced identification and tracking technologies, including barcoding, radio frequency identification (“RFID”) and Internet of Things (“IoT”)-based systems. The acquisition was funded through cash on hand and borrowings under the Company’s existing credit agreement. The Company recorded its preliminary purchase price allocation during the first quarter of fiscal year 2025, based on its estimates of the fair value of the acquired assets and assumed liabilities at that time. The preliminary purchase price allocation included goodwill of $10,079, intangible assets of $4,600, and net tangible assets of $148. The goodwill for this acquisition is assigned to the Americas &amp; Asia segment and is deductible for tax purposes. The final purchase price allocation is subject to post-closing adjustments and the finalization of certain intangible asset valuations and deferred tax adjustments, as well as potential contingent consideration subject to AB&amp;R’s achievement of certain post-acquisition financial targets pursuant to the terms of the membership interest purchase agreement. Acquisition-related expenses of $305 were recognized in selling, general and administrative (“SG&amp;A”) expenses during the nine months ended April 30, 2025. The accompanying condensed consolidated financial statements include the results of AB&amp;R from the date of acquisition through April 30, 2025. Pro forma and other financial information are not presented for the AB&amp;R acquisition because its impact on the Company's results of operation and financial position is immaterial.</w:t>
      </w:r>
    </w:p>
    <w:p>
      <w:pPr>
        <w:spacing w:after="0" w:line="13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April 1, 2025, the Company acquired certain assets and liabilities representing the Microfluidic Solutions business unit of Funai Electric Co., Ltd., for $11,648. Headquartered in Lexington, Kentucky, with a manufacturing facility in Cebu, Philippines, Microfluidic Solutions specializes in the research, development and manufacturing of advanced inkjet microfluidic technologies. The acquisition was funded through cash on hand and borrowings under the Company’s existing credit agreement. The Company recorded its preliminary purchase price allocation during the third quarter of fiscal year 2025, based on its estimates of the fair value of the acquired assets and assumed liabilities at that time. The preliminary purchase price allocation included property, plant and equipment of $12,090, inventories of $3,028, other intangible assets of $1,544, accounts payable of $1,111, and other liabilities of $3,903. The final purchase price allocation is subject to post-closing adjustments and the finalization of certain tangible asset valuations, intangible asset valuations and deferred tax adjustments. The accompanying condensed consolidated financial statements include the results of Microfluidic Solutions from the date of acquisition through April 30, 2025. Pro forma and other financial information are not presented for the Microfluidic Solutions acquisition because its impact on the Company's results of operation and financial position is immaterial.</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O — Subsequent Events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May 15, 2025, the Board of Directors declared a quarterly cash dividend to shareholders of the Company’s Class A and Class B Common Stock of $0.24 per share payable on July 31, 2025, to shareholders of record at the close of business on July 10,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Brady Corporation is a global manufacturer and supplier of identification solutions and workplace safety products that identify and protect premises, products and people. The Company is organized and managed on a geographic basis with two reportable segments: Americas &amp; Asia and Europe &amp; Australia. This regional operating structure allows the Company to further integrate its businesses, support continued growth through the application of the best go-to-market strategies in key geographies, facilitate new product development within recent acquisitions and further simplify and scale the global business.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Within each of the reportable segments, the Company markets, sells and distributes a broad range of identification and safety products and solutions across the following primary product categories:</w:t>
      </w:r>
    </w:p>
    <w:p>
      <w:pPr>
        <w:spacing w:after="0" w:line="189" w:lineRule="exact"/>
        <w:rPr>
          <w:sz w:val="20"/>
          <w:szCs w:val="20"/>
          <w:color w:val="auto"/>
        </w:rPr>
      </w:pPr>
    </w:p>
    <w:p>
      <w:pPr>
        <w:jc w:val="both"/>
        <w:ind w:left="66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facility identification and protection, which includes safety signs, traffic signs and control products, floor-marking tape, pipe markers, labeling systems, spill control products, lockout/tagout devices, personal protection equipment, first aid products, and software and services for safety compliance auditing, procedures writing and training.</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identification, which includes materials, printing systems, radio frequency identification (“RFID”) and barcode scanners for product identification, engraving equipment, brand protection labeling, work in process labeling, finished product identification, asset tracking labels, asset tags and industrial track and trace applications.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identification, which includes handheld printers, wire markers, sleeves, and tags.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identification, which includes wristbands, labels, printing systems, and other products used in hospital, laboratory, and other healthcare settings for tracking and improving the safety of patients.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 identification, which includes name tags, badges, lanyards, rigid card printing systems, and access control software.</w:t>
      </w:r>
    </w:p>
    <w:p>
      <w:pPr>
        <w:spacing w:after="0" w:line="15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ability to provide customers with a broad range of proprietary, customized and diverse products for use in various applications across multiple industries and geographies, along with a commitment to quality and service, have made Brady a leader in many of its markets. Brady's long-term sales growth and profitability will depend not only on the overall economic environment and our ability to successfully navigate changes in the macro environment, but also on our ability to develop and market innovative products, deliver a high level of customer service, advance our digital capabilities, and continuously improve the efficiency of our global operations. Our strategy for growth includes an increased focus on certain industries and products, streamlining our product offerings, expanding into higher growth end-markets, intensifying efforts to leverage our diverse product portfolio and synergies across our business, improving the overall customer experience, developing technologically advanced, innovative, and proprietary products, and improving our digital capabilities.</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key initiatives supporting our strategy in fiscal 2025:</w:t>
      </w:r>
    </w:p>
    <w:p>
      <w:pPr>
        <w:spacing w:after="0" w:line="171" w:lineRule="exact"/>
        <w:rPr>
          <w:sz w:val="20"/>
          <w:szCs w:val="20"/>
          <w:color w:val="auto"/>
        </w:rPr>
      </w:pPr>
    </w:p>
    <w:p>
      <w:pPr>
        <w:ind w:left="660" w:right="2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organic growth by enhancing our research and development process and utilizing customer feedback and observations to develop innovative new products that solve customer needs and improve environmental sustainability.</w:t>
      </w:r>
    </w:p>
    <w:p>
      <w:pPr>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highest level of customer service by aligning with customers' preferred communications channels and leveraging technology to enhance the customer experience.</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our sales capabilities through an improved digital presence and the use of data-driven marketing automation tools.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profitability through pricing mechanisms to mitigate the impacts of ongoing supply chain disruptions and inflationary pressures while ensuring prices are market competitive.</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recent acquisitions to further enhance our strategic position and accelerate long-term sales growth.</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operational excellence and executing sustainable efficiency gains within our selling, general and administrative structures and within our global operations including insourcing of critical products and manufacturing activities while reducing our environmental footprint.</w:t>
      </w:r>
    </w:p>
    <w:p>
      <w:pPr>
        <w:ind w:left="66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high-performance culture, which rewards execution and respects diversity, to elevate employee engagement and improve recruitment and retention practices in order to drive differential performance and execute our strategy.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Macroeconomic Conditions and Trends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operations and financial performance are subject to the risks and uncertainties inherent in the global economic environment, including inflationary pressures, supply chain disruptions, and other macroeconomic challenges. These pressures may impact the Company's business, financial condition and results of operations as the global economic outlook remains uncertain.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recent months, the U.S. government introduced incremental import tariffs on goods imported into the U.S. from numerous countries, triggering reciprocal tariffs and other actions from many trading partners on goods exported from the U.S. Trade policies of the U.S. and other countries, including China, are complex and rapidly evolving. Our strategy of manufacturing products near the point of sale reduces our overall exposure to tariffs, though certain sourced inputs and manufactured items remain subject to incremental tariffs. Our business has incurred, and expects to continue to incur, additional costs as it relates to these incremental tariffs for the remainder of fiscal 2025 and the foreseeable future. The Company has taken and will continue to take action to mitigate inflationary pressures caused by the incremental tariffs through a combination of targeted price increases and surcharges, strategic sourcing adjustments, product portfolio optimization, as well as our ongoing efforts to drive sustainable efficiency gains in our operations and administrative structures.</w:t>
      </w:r>
    </w:p>
    <w:p>
      <w:pPr>
        <w:spacing w:after="0" w:line="1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Notwithstanding the fluid situation relating to tariffs, we believe our financial strength positions us well to continue investing in acquisitions and organic growth opportunities, such as expanded sales channels, marketing programs, and research and development (“R&amp;D”). We remain focused on driving sustainable efficiency gains and automation across our operations and selling, general and administrative (“SG&amp;A”) functions, while also returning capital to our shareholders through dividends and share repurchases. At April 30, 2025, we had cash of $152.2 million, as well as a credit agreement with $195.2 million available for future borrowing, which can be increased to $1,085.2 million at the Company's option and subject to certain conditions, for total available liquidity of $1,237.4 million.</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financial resources and liquidity levels, including the undrawn portion of our credit agreement and our ability to increase that credit line as necessary, are sufficient to support the execution of our growth strategy and to manage the impact of economic or geopolitical events that could potentially reduce sales, net income, or cash provided by operating activities. Refer to Risk Factors, included in Part I, Item 1A of our Annual Report on Form 10-K for the year ended July 31, 2024, for further discussion of the possible impact of global economic or geopolitical events on our business.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comparability of the operating results for the three and nine months ended April 30, 2025 compared to the same periods in the prior year have been impacted by the acquisitions of Gravotech on August 1, 2024, AB&amp;R on October 1, 2024 and Microfluidic Solutions on April 1, 2025. The operating results of Gravotech, AB&amp;R and Microfluidic Solutions have been included since their acquisition dates. Gravotech has been included in both reportable segments, and AB&amp;R and Microfluidic Solutions have been included in the Americas &amp; Asia reportable segment. The comparability of the year-to-date operating results of the Americas &amp; Asia segment has also been impacted by the divestiture of a non-core business in October 2023.</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comparison of results of operating income for the three and nine months ended April 30, 2025 and 2024,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840" w:type="dxa"/>
            <w:vAlign w:val="bottom"/>
            <w:tcBorders>
              <w:bottom w:val="single" w:sz="8" w:color="auto"/>
            </w:tcBorders>
          </w:tcPr>
          <w:p>
            <w:pPr>
              <w:spacing w:after="0"/>
              <w:rPr>
                <w:sz w:val="18"/>
                <w:szCs w:val="18"/>
                <w:color w:val="auto"/>
              </w:rPr>
            </w:pPr>
          </w:p>
        </w:tc>
      </w:tr>
      <w:tr>
        <w:trPr>
          <w:trHeight w:val="214"/>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00" w:type="dxa"/>
            <w:vAlign w:val="bottom"/>
          </w:tcPr>
          <w:p>
            <w:pPr>
              <w:spacing w:after="0"/>
              <w:rPr>
                <w:sz w:val="18"/>
                <w:szCs w:val="18"/>
                <w:color w:val="auto"/>
              </w:rPr>
            </w:pPr>
          </w:p>
        </w:tc>
        <w:tc>
          <w:tcPr>
            <w:tcW w:w="7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211"/>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382,590</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343,384</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1,116,330</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997,991</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4"/>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195,059</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177,027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560,591</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50.2 %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510,829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51.2 %</w:t>
            </w:r>
          </w:p>
        </w:tc>
      </w:tr>
      <w:tr>
        <w:trPr>
          <w:trHeight w:val="218"/>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3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19,191</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56,835</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50,215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r>
      <w:tr>
        <w:trPr>
          <w:trHeight w:val="219"/>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108,678</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95,803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326,410</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283,415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28.4 %</w:t>
            </w:r>
          </w:p>
        </w:tc>
      </w:tr>
      <w:tr>
        <w:trPr>
          <w:trHeight w:val="207"/>
        </w:trPr>
        <w:tc>
          <w:tcPr>
            <w:tcW w:w="33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127,869</w:t>
            </w: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33.4 %</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113,484</w:t>
            </w: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33.0 %</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383,245</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34.3 %</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333,630</w:t>
            </w: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33.4 %</w:t>
            </w:r>
          </w:p>
        </w:tc>
      </w:tr>
      <w:tr>
        <w:trPr>
          <w:trHeight w:val="235"/>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67,190</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63,543</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177,346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177,199</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17.8 %</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References in this Form 10-Q to “organic sales” refer to sales calculated in accordance with GAAP, excluding the impact of foreign currency translation, sales recorded from acquired companies prior to the first anniversary date of their acquisition, and sales recorded from divested companies up to the first anniversary of their divestiture.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sales for the three months ended April 30, 2025 increased 11.4% to $382.6 million compared to $343.4 million in the same period in the prior year. The increase consisted of organic sales growth of 1.6% and sales growth from acquisitions of 10.5%, which was partially offset by a decrease from foreign currency translation of 0.7%. Organic sales growth of 5.4% in the Americas &amp; Asia segment was partially offset by an organic sales decline of 5.4% in the Europe &amp; Australia segment during the three months ended April 30, 2025 compared to the same period in the prior year.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sales for the nine months ended April 30, 2025 increased 11.9% to $1,116.3 million compared to $998.0 million in the same period in the prior year. The increase consisted of organic sales growth of 2.6% and sales growth from acquisitions of 10.2%, partially offset by a decrease from foreign currency translation of 0.5% and a decrease of 0.4% due to a divestiture. Organic sales grew 5.0% in the Americas &amp; Asia segment, while organic sales declined 1.9% in the Europe &amp; Australia segment during the nine months ended April 30, 2025 compared to the same period in the prior year.</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Gross margin increased 10.2% to $195.1 million in the three months ended April 30, 2025 compared to $177.0 million in the same period in the prior year. As a percentage of net sales, gross margin decreased to 51.0% from 51.6% in the three-month period. Gross margin increased 9.7% to $560.6 million in the nine months ended April 30, 2025 compared to $510.8 million in the same period in the prior year. As a percentage of net sales, gross margin decreased to 50.2% from 51.2% in the nine-month period. The decrease in gross margin as a percentage of net sales during the three-month period was primarily due to the impact of incremental tariffs, primarily on goods imported to the U.S. from China, and $1.1 million of facility closure and other reorganization costs, which were partially offset by organic sales growth in higher gross margin product lines. The decrease in gross margin as a percentage of net sales during the nine months ended April 30, 2025 was primarily due to a non-recurring increase in cost of goods sold of $4.1 million related to the fair value adjustment to inventory from acquisitions, facility closure and other reorganization costs of $3.0 million, as well as the impact of incremental tariffs, which were partially offset by organic sales growth in higher gross margin product lines.</w:t>
      </w:r>
    </w:p>
    <w:p>
      <w:pPr>
        <w:spacing w:after="0" w:line="1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R&amp;D expenses increased 8.5% to $19.2 million in the three months ended April 30, 2025 compared to $17.7 million in the same period in the prior year. As a percentage of net sales, R&amp;D expenses decreased to 5.0% in the three-month period compared to 5.1% in the same period in the prior year. R&amp;D expenses increased 13.2% to $56.8 million in the nine months ended April 30, 2025 compared to $50.2 million in the same period in the prior year. As a percentage of net sales, R&amp;D expenses increased to 5.1% from 5.0% in the nine-month period. The increase in R&amp;D spending was primarily due to the acquisition of Gravotech, and, to a lesser extent, an increase in R&amp;D headcount within the Company's organic business. The Company remains committed to investing in new product development to drive long-term organic sales growth. Investments in new printing systems, materials and new product development within recent acquisitions are the primary focus of R&amp;D expenditures in fiscal 2025.</w:t>
      </w:r>
    </w:p>
    <w:p>
      <w:pPr>
        <w:spacing w:after="0" w:line="1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SG&amp;A expenses include selling and administrative costs directly attributed to the Americas &amp; Asia and Europe &amp; Australia segments, as well as certain other corporate administrative expenses including finance, information technology, human resources and other administrative expenses. SG&amp;A expenses increased 13.4% to $108.7 million in the three months ended April 30, 2025 compared to $95.8 million in the same period in the prior year. As a percentage of sales, SG&amp;A expenses increased to 28.4% from 27.9% in the three-month period. SG&amp;A expenses increased 15.2% to $326.4 million for the nine months ended April 30, 2025 compared to $283.4 million in the same period in the prior year. As a percentage of net sales, SG&amp;A expenses increased to 29.2% from 28.4% in the nine-month period. The increase in SG&amp;A expenses during the three and nine months ended April 30, 2025 was primarily due to increased headcount and other selling-related costs from acquisitions, including incremental amortization expense from the acquired intangible assets. Amortization expense increased $2.4 million and $7.1 million during the three and nine months ended April 30, 2025 compared to the same periods in the prior year. SG&amp;A expenses during the three and nine months ended April 30, 2025 also include facility closure and other reorganization costs of $2.8 million and $6.6 million, respectively. SG&amp;A expenses during the nine months ended April 30, 2025 also include non-recurring acquisition-related costs and other expenses of $1.0 million.</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income increased 5.7% to $67.2 million and increased 0.1% to $177.3 million in the three and nine months ended April 30, 2025, respectively, compared to $63.5 million and $177.2 million in the same periods in the prior year. The increase in operating income in both the three and nine-month periods was primarily due to organic sales growth in higher gross margin product lines, which was partially offset by non-recurring acquisition-related costs and incremental amortization expense related to acquired businesses, as well as facility closure and other reorganization costs.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TO NET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7"/>
          </w:tcPr>
          <w:p>
            <w:pPr>
              <w:ind w:left="70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840" w:type="dxa"/>
            <w:vAlign w:val="bottom"/>
            <w:tcBorders>
              <w:bottom w:val="single" w:sz="8" w:color="auto"/>
            </w:tcBorders>
          </w:tcPr>
          <w:p>
            <w:pPr>
              <w:spacing w:after="0"/>
              <w:rPr>
                <w:sz w:val="18"/>
                <w:szCs w:val="18"/>
                <w:color w:val="auto"/>
              </w:rPr>
            </w:pPr>
          </w:p>
        </w:tc>
      </w:tr>
      <w:tr>
        <w:trPr>
          <w:trHeight w:val="214"/>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22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20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211"/>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67,190</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63,543</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177,346</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177,199</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17.8 %</w:t>
            </w: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Investment and other (expense) income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r>
      <w:tr>
        <w:trPr>
          <w:trHeight w:val="213"/>
        </w:trPr>
        <w:tc>
          <w:tcPr>
            <w:tcW w:w="3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2"/>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65,745</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64,411</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176,592</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179,633</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18.0 %</w:t>
            </w: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37,212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37,874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37"/>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14.2 %</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Investment and other (expense) income was a net expense of $0.5 million in the three months ended April 30, 2025 compared to net investment income of $1.6 million in the same period in the prior year. Investment and other (expense) income decreased to $2.9 million of net investment income in the nine months ended April 30, 2025 compared to $4.7 million in the same period in the prior year. The change in investment and other (expense) income during both the three and nine-month periods was primarily due to the change in market value of securities held in deferred compensation plans.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increased to $0.9 million and $3.6 million for the three and nine months ended April 30, 2025, respectively, compared to $0.7 million and $2.3 million in the same periods in the prior year. The increase in interest expense was primarily due to an increase in outstanding borrowings on the Company's credit agreement to fund acquisitions, which was partially offset by a decrease in the weighted average interest rate compared to the same periods in the prior year.</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income tax rate was 20.5% and 21.0% for the three months ended April 30, 2025 and 2024, respectively, and the income tax rate was 21.1% for both of the nine-month periods ended April 30, 2025 and 2024. The Company expects its ongoing annual income tax rate to be approximately 21% based on its current global business mix and based on tax laws and statutory rates currently in effect.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Segment Operating Results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evaluates short-term segment performance based on segment profit and customer sales. Interest expense, investment and other income, income tax expense, and certain corporate administrative expenses are excluded when evaluating segment performance.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segment information for the three and nine months ended April 30, 2025 and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340" w:type="dxa"/>
            <w:vAlign w:val="bottom"/>
          </w:tcPr>
          <w:p>
            <w:pPr>
              <w:spacing w:after="0"/>
              <w:rPr>
                <w:sz w:val="18"/>
                <w:szCs w:val="18"/>
                <w:color w:val="auto"/>
              </w:rPr>
            </w:pPr>
          </w:p>
        </w:tc>
        <w:tc>
          <w:tcPr>
            <w:tcW w:w="2800" w:type="dxa"/>
            <w:vAlign w:val="bottom"/>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0" w:type="dxa"/>
            <w:vAlign w:val="bottom"/>
          </w:tcPr>
          <w:p>
            <w:pPr>
              <w:spacing w:after="0"/>
              <w:rPr>
                <w:sz w:val="1"/>
                <w:szCs w:val="1"/>
                <w:color w:val="auto"/>
              </w:rPr>
            </w:pPr>
          </w:p>
        </w:tc>
      </w:tr>
      <w:tr>
        <w:trPr>
          <w:trHeight w:val="211"/>
        </w:trPr>
        <w:tc>
          <w:tcPr>
            <w:tcW w:w="49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SALES GROWTH INFORMATION</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Americas &amp; Asia</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Divestiture</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34"/>
        </w:trPr>
        <w:tc>
          <w:tcPr>
            <w:tcW w:w="49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Europe &amp; Australia</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07"/>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Divestiture</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7"/>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57,164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49,697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158,148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143,489</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17,478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19,537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41,872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51,335</w:t>
            </w:r>
          </w:p>
        </w:tc>
        <w:tc>
          <w:tcPr>
            <w:tcW w:w="0" w:type="dxa"/>
            <w:vAlign w:val="bottom"/>
          </w:tcPr>
          <w:p>
            <w:pPr>
              <w:spacing w:after="0"/>
              <w:rPr>
                <w:sz w:val="1"/>
                <w:szCs w:val="1"/>
                <w:color w:val="auto"/>
              </w:rPr>
            </w:pPr>
          </w:p>
        </w:tc>
      </w:tr>
      <w:tr>
        <w:trPr>
          <w:trHeight w:val="207"/>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74,642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69,234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200,020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194,824</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AS A PERCENT OF NET SALES</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0" w:type="dxa"/>
            <w:vAlign w:val="bottom"/>
          </w:tcPr>
          <w:p>
            <w:pPr>
              <w:spacing w:after="0"/>
              <w:rPr>
                <w:sz w:val="1"/>
                <w:szCs w:val="1"/>
                <w:color w:val="auto"/>
              </w:rPr>
            </w:pPr>
          </w:p>
        </w:tc>
      </w:tr>
      <w:tr>
        <w:trPr>
          <w:trHeight w:val="207"/>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17.9 %</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19.5 %</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 &amp; Asia</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Americas &amp; Asia net sales increased 12.9% to $253.7 million in the three months ended April 30, 2025 compared to $224.8 million in the same period in the prior year, which consisted of organic sales growth of 5.4% and sales growth from acquisitions of 8.6%, which were partially offset by a decrease from foreign currency translation of 1.1%. Americas &amp; Asia net sales increased 11.4% to $732.9 million in the nine months ended April 30, 2025 compared to $658.0 million in the same period in the prior year, which consisted of organic sales growth of 5.0% and sales growth from acquisitions of 7.9%, which were partially offset by a decrease from foreign currency translation of 1.0% and a decrease due to a divestiture of 0.5%.</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Organic sales in the Americas increased in the low-single digits in both the three and nine months ended April 30, 2025 compared to the same periods in the prior year. Organic sales growth in both the three and nine-month periods was driven by growth in the wire identification, safety and facility identification and product identification product lines. Organic sales growth was partially offset by an organic sales decline in the people identification product line in the three months ended April 30, 2025, and an organic sales decline in the healthcare identification product line in the nine months ended April 30, 2025.</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Organic sales in Asia increased approximately 23% in the three months ended April 30, 2025, and increased approximately 13% in the nine months ended April 30, 2025 compared to the same periods in the prior year. The organic sales increase in the three-month period was realized throughout Asia, which included a return to organic sales growth in China. Organic sales growth in the nine-month period resulted from growth throughout Asia, partially offset by flat organic sales in China. Organic sales in both the three and nine-month periods were driven by growth in all major product lines, with particularly strong growth in the product identification and safety and facility identification product lines.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Americas &amp; Asia segment profit increased 15.0% to $57.2 million in the three months ended April 30, 2025 compared to $49.7 million in the same period in the prior year. Segment profit increased 10.2% to $158.1 million in the nine months ended April 30, 2025 compared to $143.5 million in the same period in the prior year. As a percentage of net sales, segment profit increased to 22.5% from 22.1% in the three-month period and segment profit decreased to 21.6% from 21.8% in the nine-month period ended April 30, 2025 compared to the same periods in the prior year. The decrease in segment profit as a percentage of</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was primarily due to costs associated with the closure of two facilities, incremental amortization from acquired businesses and purchase accounting adjustments during the nine-month period, which was partially offset by increased profit from organic sales growth.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 &amp; Australia</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Europe &amp; Australia net sales increased 8.7% to $128.9 million in the three months ended April 30, 2025 compared to $118.6 million in the same period in the prior year, which consisted of sales growth from acquisitions of 14.2% that was partially offset by an organic sales decline of 5.4% and a decrease from foreign currency translation of 0.1%. Europe &amp; Australia net sales increased 12.8% to $383.4 million in the nine months ended April 30, 2025 compared to $340.0 million in the same period in the prior year, which consisted of sales growth from acquisitions of 14.8%, which was partially offset by an organic sales decline of 1.9% and a decrease from foreign currency translation of 0.1%.</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Organic sales in Europe declined in the mid-single digits in the three months ended April 30, 2025 and declined in the low-single digits in the nine months ended April 30, 2025 compared to the same periods in the prior year. Organic sales growth in the wire identification product line was more than offset by an organic sales decline in the product identification, safety and facility identification and people identification product lines during both the three and nine-month periods.</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Organic sales in Australia declined in the mid-single digits in both the three and nine months ended April 30, 2025 compared to the same periods in the prior year. The organic sales decline was primarily driven by a decrease in volume in the safety and facility and wire identification product lines.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Europe &amp; Australia segment profit decreased 10.5% to $17.5 million in the three months ended April 30, 2025 compared to $19.5 million in the same period in the prior year. Segment profit decreased 18.4% to $41.9 million in the nine months ended April 30, 2025 compared to $51.3 million in the same period in the prior year. As a percentage of net sales, segment profit decreased to 13.6% from 16.5% for the three-month period and segment profit decreased to 10.9% from 15.1% for the nine-month period ended April 30, 2025, compared to the same periods in the prior year. The decrease in segment profit and segment profit as a percentage of sales was primarily due to incremental amortization from acquired businesses, purchase accounting adjustments and reorganization costs in order to streamline our operating structure.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cash balances are generated and held in numerous locations throughout the world. At April 30, 2025, 95% of the Company's cash and cash equivalents were held outside the United States. The Company's organic and inorganic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research and development, common stock repurchases, and dividend payments for the next 12 months. Although the Company believes these sources of cash are currently sufficient to fund domestic operations, annual cash needs could require repatriation of cash to the U.S. from foreign jurisdictions, which may result in additional tax payments.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were $152.2 million at April 30, 2025, a decrease of $98.0 million from July 31, 2024. The significant changes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flow provided by (used in):</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activities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122,874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171,094</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(70,331)</w:t>
            </w: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activities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(88,989)</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w:t>
            </w:r>
          </w:p>
        </w:tc>
      </w:tr>
      <w:tr>
        <w:trPr>
          <w:trHeight w:val="207"/>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(97,964)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8,926</w:t>
            </w:r>
          </w:p>
        </w:tc>
      </w:tr>
      <w:tr>
        <w:trPr>
          <w:trHeight w:val="23"/>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$122.9 million in the nine months ended April 30, 2025, compared to $171.1 million in the same period of the prior year. The decrease in cash provided by operating activities was primarily due to changes in working capital. Increased cash outflows related to inventory were primarily due to new product launches and the timing of facility moves during the nine months ended April 30, 2025. Additionally, higher cash outflows related to accounts payable in the current year were primarily driven by normalization of outstanding payables from acquired businesses.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$165.1 million in the nine months ended April 30, 2025, which primarily consisted of the acquisition of businesses of $147.2 million and capital expenditures of $18.7 million. Net cash used in investing activities was $70.3 million in the nine months ended April 30, 2024, which primarily consisted of capital expenditures including the purchase of a previously leased facility in Mexico and facility construction costs in Belgium.</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$52.1 million in the nine months ended April 30, 2025 compared to $89.0 million in the same period in the prior year. The decrease in cash used in financing activities was primarily due to a decline in share repurchases compared to the same period in the prior year.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material cash requirements for known contractual obligations include capital expenditures, borrowings on our credit agreement and lease obligations. We believe that net cash provided by operating activities will continue to be adequate to meet our liquidity and capital needs for these items over the next 12 months and in the long-term beyond the next 12 months. We also have cash requirements for purchase orders and contracts for the purchase of inventory and other goods and services, which are based on current and anticipated customer needs and are fulfilled by our suppliers within short time horizons. We do not have significant agreements for the purchase of inventory or other goods or services specifying minimum order quantities. In addition, we may have liabilities for uncertain tax positions, but we do not believe that the cash requirements to meet any of these liabilities will be material.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August 1, 2019, the Company and certain of its subsidiaries entered into an unsecured $200 million multi-currency credit agreement with a group of five banks.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November 14, 2022, the Company and certain of its subsidiaries entered into a second amendment to the credit agreement to, among other items,</w:t>
      </w:r>
    </w:p>
    <w:p>
      <w:pPr>
        <w:spacing w:after="0" w:line="27" w:lineRule="exact"/>
        <w:rPr>
          <w:sz w:val="20"/>
          <w:szCs w:val="20"/>
          <w:color w:val="auto"/>
        </w:rPr>
      </w:pPr>
    </w:p>
    <w:p>
      <w:pPr>
        <w:jc w:val="both"/>
        <w:ind w:firstLine="8"/>
        <w:spacing w:after="0" w:line="253" w:lineRule="auto"/>
        <w:tabs>
          <w:tab w:leader="none" w:pos="25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lending commitments by $100 million for total lending commitments of $300 million, (b) extend the final maturity date to November 14, 2027, (c) increase the interest rate on certain borrowings by 0.125%, and (d) increase the available amount under the credit agreement, at the Company's option and subject to certain conditions, from $300 million up to (i) an amount equal to the incremental borrowing necessary to bring the Company's consolidated net debt-to-EBITDA ratio as defined in the credit agreement to 2.5 to 1.0 plus (ii) $200 million.</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10, 2024, the Company and certain of its subsidiaries entered into a Third Amendment to Credit Agreement (“Amendment No. 3”) with a group of six banks, which amended the original credit agreement dated August 1, 2019. Amendment No. 3 amended the credit agreement to, among other things, change the applicable benchmark under the credit agreement for borrowings denominated in Canadian Dollars from the Canadian Dollar Offered Rate (“CDOR”) to the adjusted Term Canadian Overnight Repo Rate Average Rate (“CORRA”). Borrowings under Amendment No. 3 are unsecured and are guaranteed by certain of the Company's domestic subsidiaries.</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April 30, 2025, the outstanding balance on the Company's credit agreement was $102.8 million. The maximum amount outstanding on the credit agreement during the nine months ended April 30, 2025 was $144.8 million. As of April 30, 2025, the U.S. dollar-denominated borrowings of $42.0 million bear interest at 5.3%; the Euro-denominated borrowings of €44.0 million bear interest at 3.2%; and the British Pound-denominated borrowings of £8.0 million bear interest at 5.3%. The Company had letters of credit outstanding under the credit agreement of $2.0 million as of April 30, 2025, and there was $195.2 million available for future borrowing, which can be increased to $1,085.2 million at the Company's option, subject to certain conditions. The credit agreement has a final maturity date of November 14, 2027. As such, borrowings were classified as long-term on the condensed consolidated balance sheets.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 Compliance</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credit agreement requires it to maintain certain financial covenants, including a ratio of debt to the trailing twelve months EBITDA, as defined in the debt agreements, of not more than a 3.5 to 1.0 ratio (leverage ratio) and the trailing twelve months EBITDA to interest expense of not less than a 3.0 to 1.0 ratio (interest expense coverage). As of April 30, 2025, the Company was in compliance with these financial covenants, with a ratio of debt to EBITDA, as defined by the agreements, equal to 0.3 to 1.0 and the interest expense coverage ratio equal to 71.5 to 1.0.</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this quarterly report on Form 10-Q,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26" w:lineRule="exact"/>
        <w:rPr>
          <w:sz w:val="20"/>
          <w:szCs w:val="20"/>
          <w:color w:val="auto"/>
        </w:rPr>
      </w:pPr>
    </w:p>
    <w:p>
      <w:pPr>
        <w:ind w:left="540" w:hanging="330"/>
        <w:spacing w:after="0" w:line="261" w:lineRule="auto"/>
        <w:tabs>
          <w:tab w:leader="none" w:pos="5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materials, labor, material shortages and supply chain disruptions, including as a result of tariffs or other impacts of the global trade environment</w:t>
      </w: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the Company's products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compete effectively or to successfully execute the Company's strategy</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develop technologically advanced products that meet customer demands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identify, integrate, and grow acquired companies, and to manage contingent liabilities from divested businesses</w:t>
      </w:r>
    </w:p>
    <w:p>
      <w:pPr>
        <w:spacing w:after="0" w:line="9" w:lineRule="exact"/>
        <w:rPr>
          <w:rFonts w:ascii="Times New Roman" w:cs="Times New Roman" w:eastAsia="Times New Roman" w:hAnsi="Times New Roman"/>
          <w:sz w:val="18"/>
          <w:szCs w:val="18"/>
          <w:color w:val="auto"/>
        </w:rPr>
      </w:pPr>
    </w:p>
    <w:p>
      <w:pPr>
        <w:ind w:left="540" w:hanging="330"/>
        <w:spacing w:after="0" w:line="250" w:lineRule="auto"/>
        <w:tabs>
          <w:tab w:leader="none" w:pos="5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protecting websites, networks, and systems against security breaches and difficulties in preventing phishing attacks, social engineering or malicious break-ins</w:t>
      </w: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loss of key employees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climate change and environmental regulations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including product liability claims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legislation and tax rates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goodwill and other intangible assets</w:t>
      </w:r>
    </w:p>
    <w:p>
      <w:pPr>
        <w:spacing w:after="0" w:line="9" w:lineRule="exact"/>
        <w:rPr>
          <w:rFonts w:ascii="Times New Roman" w:cs="Times New Roman" w:eastAsia="Times New Roman" w:hAnsi="Times New Roman"/>
          <w:sz w:val="18"/>
          <w:szCs w:val="18"/>
          <w:color w:val="auto"/>
        </w:rPr>
      </w:pPr>
    </w:p>
    <w:p>
      <w:pPr>
        <w:ind w:left="540" w:right="20" w:hanging="330"/>
        <w:spacing w:after="0" w:line="250" w:lineRule="auto"/>
        <w:tabs>
          <w:tab w:leader="none" w:pos="5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interests of voting and non-voting shareholders and changes in the regulatory and business environment around dual-class voting structures</w:t>
      </w:r>
    </w:p>
    <w:p>
      <w:pPr>
        <w:jc w:val="both"/>
        <w:ind w:left="540" w:hanging="330"/>
        <w:spacing w:after="0" w:line="253" w:lineRule="auto"/>
        <w:tabs>
          <w:tab w:leader="none" w:pos="5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(“SEC”) filings, including, but not limited to, those factors listed in the “Risk Factors” section within Item 1A of Part I of Brady's Form 10-K for the year ended July 31, 2024.</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the Company’s annual report on Form 10-K for the year ended July 31, 2024. There has been no material change in this information since the 2024 Form 10-K.</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7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Brady Corporation maintains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(the “Chief Executive Officer”) and its Chief Financial Officer, Chief Accounting Officer and Treasurer (the “Chief Financial Officer”), of the effectiveness of the design and operation of the Company’s disclosure controls and procedures pursuant to Rule 13a-15 of the Exchange Act. Based on that evaluation, the Company’s Chief Executive Officer and Chief Financial Officer concluded that the Company’s disclosure controls and procedures were effective as of the end of the period covered by this report.</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in Note M, "Contingencies" included in this Quarterly Report on Form 10-Q is incorporated herein by reference.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business, results of operations, financial condition, and cash flows are subject to various risks and uncertainties, including those described in Part I, Item 1A, “Risk Factors” of Company’s Annual Report on Form 10-K for the year ended July 31, 2024. There have been no material changes from the risk factors set forth in the 2024 Form 10-K.</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a share repurchase program for the Company's Class A Nonvoting Common Stock. The program may be implemented by purchasing shares in the open market or in privately negotiated transactions, with repurchased shares available for use in connection with the Company's stock-based plans and for other corporate purposes.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4, 2024, the Company's Board of Directors authorized an increase in the Company's share repurchase program, authorizing the repurchase of an additional $100.0 million of the Company's Class A Nonvoting Common Stock, which expanded upon the Company's prior authorization for a total authorized amount of $137.8 million. The share repurchase program may be implemented from time to time on the open market or in privately negotiated transactions and has no expiration date. As of April 30, 2025, there was $104.6 million worth of repurchase authority remaining pursuant to the existing share repurchase program.</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purchases by the Company of Class A Nonvoting Common Stock during the three months ended April 30,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6"/>
                <w:szCs w:val="16"/>
                <w:color w:val="auto"/>
              </w:rPr>
            </w:pPr>
          </w:p>
        </w:tc>
        <w:tc>
          <w:tcPr>
            <w:tcW w:w="17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 May</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00" w:type="dxa"/>
            <w:vAlign w:val="bottom"/>
          </w:tcPr>
          <w:p>
            <w:pPr>
              <w:spacing w:after="0"/>
              <w:rPr>
                <w:sz w:val="14"/>
                <w:szCs w:val="14"/>
                <w:color w:val="auto"/>
              </w:rPr>
            </w:pPr>
          </w:p>
        </w:tc>
        <w:tc>
          <w:tcPr>
            <w:tcW w:w="1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9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 Under</w:t>
            </w:r>
          </w:p>
        </w:tc>
        <w:tc>
          <w:tcPr>
            <w:tcW w:w="0" w:type="dxa"/>
            <w:vAlign w:val="bottom"/>
          </w:tcPr>
          <w:p>
            <w:pPr>
              <w:spacing w:after="0"/>
              <w:rPr>
                <w:sz w:val="1"/>
                <w:szCs w:val="1"/>
                <w:color w:val="auto"/>
              </w:rPr>
            </w:pPr>
          </w:p>
        </w:tc>
      </w:tr>
      <w:tr>
        <w:trPr>
          <w:trHeight w:val="162"/>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9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00" w:type="dxa"/>
            <w:vAlign w:val="bottom"/>
          </w:tcPr>
          <w:p>
            <w:pPr>
              <w:spacing w:after="0"/>
              <w:rPr>
                <w:sz w:val="14"/>
                <w:szCs w:val="14"/>
                <w:color w:val="auto"/>
              </w:rPr>
            </w:pPr>
          </w:p>
        </w:tc>
        <w:tc>
          <w:tcPr>
            <w:tcW w:w="174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the Plans or Programs</w:t>
            </w:r>
          </w:p>
        </w:tc>
        <w:tc>
          <w:tcPr>
            <w:tcW w:w="0" w:type="dxa"/>
            <w:vAlign w:val="bottom"/>
          </w:tcPr>
          <w:p>
            <w:pPr>
              <w:spacing w:after="0"/>
              <w:rPr>
                <w:sz w:val="1"/>
                <w:szCs w:val="1"/>
                <w:color w:val="auto"/>
              </w:rPr>
            </w:pPr>
          </w:p>
        </w:tc>
      </w:tr>
      <w:tr>
        <w:trPr>
          <w:trHeight w:val="214"/>
        </w:trPr>
        <w:tc>
          <w:tcPr>
            <w:tcW w:w="3580" w:type="dxa"/>
            <w:vAlign w:val="bottom"/>
            <w:gridSpan w:val="2"/>
            <w:vMerge w:val="continue"/>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100" w:type="dxa"/>
            <w:vAlign w:val="bottom"/>
          </w:tcPr>
          <w:p>
            <w:pPr>
              <w:spacing w:after="0"/>
              <w:rPr>
                <w:sz w:val="18"/>
                <w:szCs w:val="18"/>
                <w:color w:val="auto"/>
              </w:rPr>
            </w:pPr>
          </w:p>
        </w:tc>
        <w:tc>
          <w:tcPr>
            <w:tcW w:w="1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Plans or Programs</w:t>
            </w:r>
          </w:p>
        </w:tc>
        <w:tc>
          <w:tcPr>
            <w:tcW w:w="100" w:type="dxa"/>
            <w:vAlign w:val="bottom"/>
          </w:tcPr>
          <w:p>
            <w:pPr>
              <w:spacing w:after="0"/>
              <w:rPr>
                <w:sz w:val="18"/>
                <w:szCs w:val="18"/>
                <w:color w:val="auto"/>
              </w:rPr>
            </w:pPr>
          </w:p>
        </w:tc>
        <w:tc>
          <w:tcPr>
            <w:tcW w:w="17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0" w:type="dxa"/>
            <w:vAlign w:val="bottom"/>
          </w:tcPr>
          <w:p>
            <w:pPr>
              <w:spacing w:after="0"/>
              <w:rPr>
                <w:sz w:val="1"/>
                <w:szCs w:val="1"/>
                <w:color w:val="auto"/>
              </w:rPr>
            </w:pPr>
          </w:p>
        </w:tc>
      </w:tr>
      <w:tr>
        <w:trPr>
          <w:trHeight w:val="211"/>
        </w:trPr>
        <w:tc>
          <w:tcPr>
            <w:tcW w:w="3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1, 2025 - February 28, 2025</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45,148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72.31</w:t>
            </w:r>
          </w:p>
        </w:tc>
        <w:tc>
          <w:tcPr>
            <w:tcW w:w="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45,148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134,524</w:t>
            </w:r>
          </w:p>
        </w:tc>
        <w:tc>
          <w:tcPr>
            <w:tcW w:w="0" w:type="dxa"/>
            <w:vAlign w:val="bottom"/>
          </w:tcPr>
          <w:p>
            <w:pPr>
              <w:spacing w:after="0"/>
              <w:rPr>
                <w:sz w:val="1"/>
                <w:szCs w:val="1"/>
                <w:color w:val="auto"/>
              </w:rPr>
            </w:pPr>
          </w:p>
        </w:tc>
      </w:tr>
      <w:tr>
        <w:trPr>
          <w:trHeight w:val="21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March 1, 2025 - March 31, 2025</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264,170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70.59</w:t>
            </w:r>
          </w:p>
        </w:tc>
        <w:tc>
          <w:tcPr>
            <w:tcW w:w="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264,170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115,877</w:t>
            </w:r>
          </w:p>
        </w:tc>
        <w:tc>
          <w:tcPr>
            <w:tcW w:w="0" w:type="dxa"/>
            <w:vAlign w:val="bottom"/>
          </w:tcPr>
          <w:p>
            <w:pPr>
              <w:spacing w:after="0"/>
              <w:rPr>
                <w:sz w:val="1"/>
                <w:szCs w:val="1"/>
                <w:color w:val="auto"/>
              </w:rPr>
            </w:pPr>
          </w:p>
        </w:tc>
      </w:tr>
      <w:tr>
        <w:trPr>
          <w:trHeight w:val="21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 2025 - April 30, 2025</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166,760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67.43</w:t>
            </w:r>
          </w:p>
        </w:tc>
        <w:tc>
          <w:tcPr>
            <w:tcW w:w="8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166,760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104,633</w:t>
            </w:r>
          </w:p>
        </w:tc>
        <w:tc>
          <w:tcPr>
            <w:tcW w:w="0" w:type="dxa"/>
            <w:vAlign w:val="bottom"/>
          </w:tcPr>
          <w:p>
            <w:pPr>
              <w:spacing w:after="0"/>
              <w:rPr>
                <w:sz w:val="1"/>
                <w:szCs w:val="1"/>
                <w:color w:val="auto"/>
              </w:rPr>
            </w:pPr>
          </w:p>
        </w:tc>
      </w:tr>
      <w:tr>
        <w:trPr>
          <w:trHeight w:val="207"/>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476,078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69.64</w:t>
            </w:r>
          </w:p>
        </w:tc>
        <w:tc>
          <w:tcPr>
            <w:tcW w:w="80" w:type="dxa"/>
            <w:vAlign w:val="bottom"/>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476,078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104,633</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30, 2025, no director or Section 16 officer of the Company adopted or terminated a “Rule 10b5-1 trading arrangement” or “non-Rule 10b5-1 trading arrangement,” as each term is identified in Item 408(a) of Regulation S-K.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 EXHIBITS</w:t>
            </w:r>
          </w:p>
        </w:tc>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50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439"/>
        </w:trPr>
        <w:tc>
          <w:tcPr>
            <w:tcW w:w="2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340" w:type="dxa"/>
            <w:vAlign w:val="bottom"/>
            <w:tcBorders>
              <w:top w:val="single" w:sz="8" w:color="auto"/>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Russell R. Shaller</w:t>
            </w:r>
          </w:p>
        </w:tc>
        <w:tc>
          <w:tcPr>
            <w:tcW w:w="4620" w:type="dxa"/>
            <w:vAlign w:val="bottom"/>
            <w:tcBorders>
              <w:top w:val="single" w:sz="8" w:color="auto"/>
            </w:tcBorders>
          </w:tcPr>
          <w:p>
            <w:pPr>
              <w:spacing w:after="0"/>
              <w:rPr>
                <w:sz w:val="24"/>
                <w:szCs w:val="24"/>
                <w:color w:val="auto"/>
              </w:rPr>
            </w:pPr>
          </w:p>
        </w:tc>
      </w:tr>
      <w:tr>
        <w:trPr>
          <w:trHeight w:val="47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Rule 13a-14(a)/15d-14(a) Certification of Ann E. Thornton</w:t>
            </w:r>
          </w:p>
        </w:tc>
      </w:tr>
      <w:tr>
        <w:trPr>
          <w:trHeight w:val="48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Russell R. Shaller</w:t>
            </w:r>
          </w:p>
        </w:tc>
        <w:tc>
          <w:tcPr>
            <w:tcW w:w="820" w:type="dxa"/>
            <w:vAlign w:val="bottom"/>
            <w:tcBorders>
              <w:top w:val="single" w:sz="8" w:color="0000FF"/>
            </w:tcBorders>
          </w:tcPr>
          <w:p>
            <w:pPr>
              <w:spacing w:after="0"/>
              <w:rPr>
                <w:sz w:val="24"/>
                <w:szCs w:val="24"/>
                <w:color w:val="auto"/>
              </w:rPr>
            </w:pPr>
          </w:p>
        </w:tc>
        <w:tc>
          <w:tcPr>
            <w:tcW w:w="4700" w:type="dxa"/>
            <w:vAlign w:val="bottom"/>
            <w:gridSpan w:val="2"/>
          </w:tcPr>
          <w:p>
            <w:pPr>
              <w:spacing w:after="0"/>
              <w:rPr>
                <w:sz w:val="24"/>
                <w:szCs w:val="24"/>
                <w:color w:val="auto"/>
              </w:rPr>
            </w:pPr>
          </w:p>
        </w:tc>
      </w:tr>
      <w:tr>
        <w:trPr>
          <w:trHeight w:val="47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Ann E. Thornton</w:t>
            </w:r>
          </w:p>
        </w:tc>
        <w:tc>
          <w:tcPr>
            <w:tcW w:w="5580" w:type="dxa"/>
            <w:vAlign w:val="bottom"/>
            <w:gridSpan w:val="4"/>
          </w:tcPr>
          <w:p>
            <w:pPr>
              <w:spacing w:after="0"/>
              <w:rPr>
                <w:sz w:val="24"/>
                <w:szCs w:val="24"/>
                <w:color w:val="auto"/>
              </w:rPr>
            </w:pPr>
          </w:p>
        </w:tc>
      </w:tr>
      <w:tr>
        <w:trPr>
          <w:trHeight w:val="47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w:t>
            </w:r>
          </w:p>
        </w:tc>
      </w:tr>
      <w:tr>
        <w:trPr>
          <w:trHeight w:val="234"/>
        </w:trPr>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r>
        <w:trPr>
          <w:trHeight w:val="50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9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9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50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9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Label Linkbase Document</w:t>
            </w:r>
          </w:p>
        </w:tc>
      </w:tr>
      <w:tr>
        <w:trPr>
          <w:trHeight w:val="50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SIGNATURES</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BRADY CORPORATION</w:t>
            </w:r>
          </w:p>
        </w:tc>
      </w:tr>
      <w:tr>
        <w:trPr>
          <w:trHeight w:val="499"/>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Date: May 16, 2025</w:t>
            </w:r>
          </w:p>
        </w:tc>
        <w:tc>
          <w:tcPr>
            <w:tcW w:w="4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 RUSSELL R. SHALLER</w:t>
            </w:r>
          </w:p>
        </w:tc>
      </w:tr>
      <w:tr>
        <w:trPr>
          <w:trHeight w:val="218"/>
        </w:trPr>
        <w:tc>
          <w:tcPr>
            <w:tcW w:w="7160" w:type="dxa"/>
            <w:vAlign w:val="bottom"/>
          </w:tcPr>
          <w:p>
            <w:pPr>
              <w:spacing w:after="0"/>
              <w:rPr>
                <w:sz w:val="18"/>
                <w:szCs w:val="18"/>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Russell R. Shaller</w:t>
            </w:r>
          </w:p>
        </w:tc>
      </w:tr>
      <w:tr>
        <w:trPr>
          <w:trHeight w:val="230"/>
        </w:trPr>
        <w:tc>
          <w:tcPr>
            <w:tcW w:w="71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43"/>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Date: May 16, 2025</w:t>
            </w:r>
          </w:p>
        </w:tc>
        <w:tc>
          <w:tcPr>
            <w:tcW w:w="4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 ANN E. THORNTON</w:t>
            </w:r>
          </w:p>
        </w:tc>
      </w:tr>
      <w:tr>
        <w:trPr>
          <w:trHeight w:val="218"/>
        </w:trPr>
        <w:tc>
          <w:tcPr>
            <w:tcW w:w="7160" w:type="dxa"/>
            <w:vAlign w:val="bottom"/>
          </w:tcPr>
          <w:p>
            <w:pPr>
              <w:spacing w:after="0"/>
              <w:rPr>
                <w:sz w:val="18"/>
                <w:szCs w:val="18"/>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Ann E. Thornton</w:t>
            </w:r>
          </w:p>
        </w:tc>
      </w:tr>
      <w:tr>
        <w:trPr>
          <w:trHeight w:val="189"/>
        </w:trPr>
        <w:tc>
          <w:tcPr>
            <w:tcW w:w="7160" w:type="dxa"/>
            <w:vAlign w:val="bottom"/>
          </w:tcPr>
          <w:p>
            <w:pPr>
              <w:spacing w:after="0"/>
              <w:rPr>
                <w:sz w:val="16"/>
                <w:szCs w:val="16"/>
                <w:color w:val="auto"/>
              </w:rPr>
            </w:pPr>
          </w:p>
        </w:tc>
        <w:tc>
          <w:tcPr>
            <w:tcW w:w="406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rPr>
              <w:t>Chief Financial Officer, Chief Accounting Officer</w:t>
            </w:r>
          </w:p>
        </w:tc>
      </w:tr>
      <w:tr>
        <w:trPr>
          <w:trHeight w:val="230"/>
        </w:trPr>
        <w:tc>
          <w:tcPr>
            <w:tcW w:w="71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Treasurer</w:t>
            </w:r>
          </w:p>
        </w:tc>
      </w:tr>
      <w:tr>
        <w:trPr>
          <w:trHeight w:val="189"/>
        </w:trPr>
        <w:tc>
          <w:tcPr>
            <w:tcW w:w="7160" w:type="dxa"/>
            <w:vAlign w:val="bottom"/>
          </w:tcPr>
          <w:p>
            <w:pPr>
              <w:spacing w:after="0"/>
              <w:rPr>
                <w:sz w:val="16"/>
                <w:szCs w:val="16"/>
                <w:color w:val="auto"/>
              </w:rPr>
            </w:pPr>
          </w:p>
        </w:tc>
        <w:tc>
          <w:tcPr>
            <w:tcW w:w="406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rPr>
              <w:t>(Principal Financial Officer and Principal</w:t>
            </w:r>
          </w:p>
        </w:tc>
      </w:tr>
      <w:tr>
        <w:trPr>
          <w:trHeight w:val="234"/>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18"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Russell R. Shaller, certify that:</w:t>
      </w:r>
    </w:p>
    <w:p>
      <w:pPr>
        <w:spacing w:after="0" w:line="104" w:lineRule="exact"/>
        <w:rPr>
          <w:sz w:val="20"/>
          <w:szCs w:val="20"/>
          <w:color w:val="auto"/>
        </w:rPr>
      </w:pPr>
    </w:p>
    <w:p>
      <w:pPr>
        <w:ind w:left="700" w:hanging="247"/>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Brady Corporation;</w:t>
      </w:r>
    </w:p>
    <w:p>
      <w:pPr>
        <w:spacing w:after="0" w:line="171" w:lineRule="exact"/>
        <w:rPr>
          <w:rFonts w:ascii="Times New Roman" w:cs="Times New Roman" w:eastAsia="Times New Roman" w:hAnsi="Times New Roman"/>
          <w:sz w:val="18"/>
          <w:szCs w:val="18"/>
          <w:color w:val="auto"/>
        </w:rPr>
      </w:pPr>
    </w:p>
    <w:p>
      <w:pPr>
        <w:ind w:firstLine="453"/>
        <w:spacing w:after="0" w:line="282" w:lineRule="auto"/>
        <w:tabs>
          <w:tab w:leader="none" w:pos="70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sz w:val="20"/>
          <w:szCs w:val="20"/>
          <w:color w:val="auto"/>
        </w:rPr>
      </w:pPr>
    </w:p>
    <w:p>
      <w:pPr>
        <w:jc w:val="both"/>
        <w:ind w:firstLine="453"/>
        <w:spacing w:after="0" w:line="266" w:lineRule="auto"/>
        <w:tabs>
          <w:tab w:leader="none" w:pos="65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453"/>
        <w:spacing w:after="0" w:line="266" w:lineRule="auto"/>
        <w:tabs>
          <w:tab w:leader="none" w:pos="67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 w:firstLine="453"/>
        <w:spacing w:after="0" w:line="282" w:lineRule="auto"/>
        <w:tabs>
          <w:tab w:leader="none" w:pos="67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6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53"/>
        <w:spacing w:after="0" w:line="282" w:lineRule="auto"/>
        <w:tabs>
          <w:tab w:leader="none" w:pos="7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20" w:firstLine="453"/>
        <w:spacing w:after="0" w:line="282" w:lineRule="auto"/>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65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16, 2025</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Ann E. Thornton, certify that:</w:t>
      </w:r>
    </w:p>
    <w:p>
      <w:pPr>
        <w:spacing w:after="0" w:line="104" w:lineRule="exact"/>
        <w:rPr>
          <w:sz w:val="20"/>
          <w:szCs w:val="20"/>
          <w:color w:val="auto"/>
        </w:rPr>
      </w:pPr>
    </w:p>
    <w:p>
      <w:pPr>
        <w:ind w:left="700" w:hanging="247"/>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Brady Corporation;</w:t>
      </w:r>
    </w:p>
    <w:p>
      <w:pPr>
        <w:spacing w:after="0" w:line="171" w:lineRule="exact"/>
        <w:rPr>
          <w:rFonts w:ascii="Times New Roman" w:cs="Times New Roman" w:eastAsia="Times New Roman" w:hAnsi="Times New Roman"/>
          <w:sz w:val="18"/>
          <w:szCs w:val="18"/>
          <w:color w:val="auto"/>
        </w:rPr>
      </w:pPr>
    </w:p>
    <w:p>
      <w:pPr>
        <w:ind w:firstLine="453"/>
        <w:spacing w:after="0" w:line="282" w:lineRule="auto"/>
        <w:tabs>
          <w:tab w:leader="none" w:pos="70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sz w:val="20"/>
          <w:szCs w:val="20"/>
          <w:color w:val="auto"/>
        </w:rPr>
      </w:pPr>
    </w:p>
    <w:p>
      <w:pPr>
        <w:jc w:val="both"/>
        <w:ind w:firstLine="453"/>
        <w:spacing w:after="0" w:line="266" w:lineRule="auto"/>
        <w:tabs>
          <w:tab w:leader="none" w:pos="65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453"/>
        <w:spacing w:after="0" w:line="266" w:lineRule="auto"/>
        <w:tabs>
          <w:tab w:leader="none" w:pos="67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 w:firstLine="453"/>
        <w:spacing w:after="0" w:line="282" w:lineRule="auto"/>
        <w:tabs>
          <w:tab w:leader="none" w:pos="67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6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53"/>
        <w:spacing w:after="0" w:line="282" w:lineRule="auto"/>
        <w:tabs>
          <w:tab w:leader="none" w:pos="73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20" w:firstLine="453"/>
        <w:spacing w:after="0" w:line="282" w:lineRule="auto"/>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65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16, 2025</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Chief Accounting Officer and Treasurer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88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his knowledge that:</w:t>
      </w:r>
    </w:p>
    <w:p>
      <w:pPr>
        <w:spacing w:after="0" w:line="40" w:lineRule="exact"/>
        <w:rPr>
          <w:sz w:val="20"/>
          <w:szCs w:val="20"/>
          <w:color w:val="auto"/>
        </w:rPr>
      </w:pPr>
    </w:p>
    <w:p>
      <w:pPr>
        <w:ind w:firstLine="453"/>
        <w:spacing w:after="0" w:line="282" w:lineRule="auto"/>
        <w:tabs>
          <w:tab w:leader="none" w:pos="72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April 30, 2025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16, 2025</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88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her knowledge that:</w:t>
      </w:r>
    </w:p>
    <w:p>
      <w:pPr>
        <w:spacing w:after="0" w:line="40" w:lineRule="exact"/>
        <w:rPr>
          <w:sz w:val="20"/>
          <w:szCs w:val="20"/>
          <w:color w:val="auto"/>
        </w:rPr>
      </w:pPr>
    </w:p>
    <w:p>
      <w:pPr>
        <w:ind w:firstLine="453"/>
        <w:spacing w:after="0" w:line="282" w:lineRule="auto"/>
        <w:tabs>
          <w:tab w:leader="none" w:pos="72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April 30, 2025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16, 2025</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Chief Accounting Officer and Treasurer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decimal"/>
      <w:start w:val="5"/>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5"/>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2025-05-16T06:24:00Z</dcterms:created>
  <dcterms:modified xsi:type="dcterms:W3CDTF">2025-05-16T06:24:00Z</dcterms:modified>
</cp:coreProperties>
</file>