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6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-633095</wp:posOffset>
            </wp:positionV>
            <wp:extent cx="58420" cy="6464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4094480</wp:posOffset>
            </wp:positionH>
            <wp:positionV relativeFrom="paragraph">
              <wp:posOffset>-633095</wp:posOffset>
            </wp:positionV>
            <wp:extent cx="58420" cy="6464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17145</wp:posOffset>
            </wp:positionV>
            <wp:extent cx="7325360" cy="4537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537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GOODKIND CONRAD 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411 EAST WISCONSIN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09/30/2008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" w:right="740" w:hanging="6"/>
        <w:spacing w:after="0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53202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2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2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8"/>
              </w:rPr>
              <w:t>1. Title of Security (Instr. 3)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Class A 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46,520.676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74.9718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3,118.3803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Compensation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09/30/2008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74.9718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34.92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40" w:right="640" w:firstLine="3"/>
        <w:spacing w:after="0" w:line="294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ectPr>
          <w:pgSz w:w="11900" w:h="16838" w:orient="portrait"/>
          <w:cols w:equalWidth="0" w:num="1">
            <w:col w:w="11520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2. Includes .0762 shares acquired on October 1, 2008 under the company's director dividend reinvestment plan.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Barbara Bolens, as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3810</wp:posOffset>
            </wp:positionV>
            <wp:extent cx="13804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-14605</wp:posOffset>
            </wp:positionV>
            <wp:extent cx="1854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1480" w:firstLine="3"/>
        <w:spacing w:after="0" w:line="312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10/01/2008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3810</wp:posOffset>
            </wp:positionV>
            <wp:extent cx="4902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2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284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2019-12-18T13:02:49Z</dcterms:created>
  <dcterms:modified xsi:type="dcterms:W3CDTF">2019-12-18T13:02:49Z</dcterms:modified>
</cp:coreProperties>
</file>