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51435</wp:posOffset>
            </wp:positionV>
            <wp:extent cx="1500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53340</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22" w:lineRule="exact"/>
        <w:rPr>
          <w:sz w:val="24"/>
          <w:szCs w:val="24"/>
          <w:color w:val="auto"/>
        </w:rPr>
      </w:pPr>
    </w:p>
    <w:p>
      <w:pPr>
        <w:ind w:left="980" w:right="100" w:hanging="630"/>
        <w:spacing w:after="0" w:line="233" w:lineRule="auto"/>
        <w:tabs>
          <w:tab w:leader="none" w:pos="9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980" w:right="100" w:hanging="630"/>
        <w:spacing w:after="0" w:line="238" w:lineRule="auto"/>
        <w:tabs>
          <w:tab w:leader="none" w:pos="9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4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8"/>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9"/>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gridSpan w:val="4"/>
          </w:tcPr>
          <w:p>
            <w:pPr>
              <w:jc w:val="right"/>
              <w:ind w:right="216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40" w:type="dxa"/>
            <w:vAlign w:val="bottom"/>
            <w:gridSpan w:val="5"/>
          </w:tcPr>
          <w:p>
            <w:pPr>
              <w:jc w:val="center"/>
              <w:ind w:right="13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12"/>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880" w:type="dxa"/>
            <w:vAlign w:val="bottom"/>
            <w:gridSpan w:val="4"/>
          </w:tcPr>
          <w:p>
            <w:pPr>
              <w:jc w:val="center"/>
              <w:ind w:left="56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2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95" w:lineRule="exact"/>
        <w:rPr>
          <w:sz w:val="24"/>
          <w:szCs w:val="24"/>
          <w:color w:val="auto"/>
        </w:rPr>
      </w:pPr>
    </w:p>
    <w:p>
      <w:pPr>
        <w:sectPr>
          <w:pgSz w:w="11900" w:h="16838" w:orient="portrait"/>
          <w:cols w:equalWidth="0" w:num="4">
            <w:col w:w="1880" w:space="720"/>
            <w:col w:w="400" w:space="720"/>
            <w:col w:w="3040" w:space="720"/>
            <w:col w:w="3780"/>
          </w:cols>
          <w:pgMar w:left="320" w:top="225" w:right="319" w:bottom="1440" w:gutter="0" w:footer="0" w:header="0"/>
          <w:type w:val="continuous"/>
        </w:sectPr>
      </w:pPr>
    </w:p>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5" w:lineRule="exact"/>
        <w:rPr>
          <w:sz w:val="24"/>
          <w:szCs w:val="24"/>
          <w:color w:val="auto"/>
        </w:rPr>
      </w:pPr>
    </w:p>
    <w:p>
      <w:pPr>
        <w:sectPr>
          <w:pgSz w:w="11900" w:h="16838" w:orient="portrait"/>
          <w:cols w:equalWidth="0" w:num="4">
            <w:col w:w="1880" w:space="720"/>
            <w:col w:w="400" w:space="720"/>
            <w:col w:w="1920" w:space="720"/>
            <w:col w:w="4900"/>
          </w:cols>
          <w:pgMar w:left="320" w:top="225" w:right="319" w:bottom="1440" w:gutter="0" w:footer="0" w:header="0"/>
          <w:type w:val="continuous"/>
        </w:sectPr>
      </w:pPr>
    </w:p>
    <w:p>
      <w:pPr>
        <w:spacing w:after="0" w:line="4"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As of November 13, 2025, there were 43,638,096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1"/>
        </w:trPr>
        <w:tc>
          <w:tcPr>
            <w:tcW w:w="1020" w:type="dxa"/>
            <w:vAlign w:val="bottom"/>
            <w:tcBorders>
              <w:top w:val="single" w:sz="8" w:color="0000FF"/>
            </w:tcBorders>
          </w:tcPr>
          <w:p>
            <w:pPr>
              <w:spacing w:after="0"/>
              <w:rPr>
                <w:sz w:val="24"/>
                <w:szCs w:val="24"/>
                <w:color w:val="auto"/>
              </w:rPr>
            </w:pPr>
          </w:p>
        </w:tc>
        <w:tc>
          <w:tcPr>
            <w:tcW w:w="87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gridSpan w:val="2"/>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0" w:type="dxa"/>
            <w:vAlign w:val="bottom"/>
          </w:tcPr>
          <w:p>
            <w:pPr>
              <w:spacing w:after="0"/>
              <w:rPr>
                <w:sz w:val="1"/>
                <w:szCs w:val="1"/>
                <w:color w:val="auto"/>
              </w:rPr>
            </w:pPr>
          </w:p>
        </w:tc>
      </w:tr>
      <w:tr>
        <w:trPr>
          <w:trHeight w:val="240"/>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$7,253 and $7,876,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200,881</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621,835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225,572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676,945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1,794,674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105,028</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330,332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542,042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43,666,121 and 43,530,012 shares,</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stock—7,595,366 and 7,731,475 shares, respectively, of Class A nonvoting common stock, at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1,794,674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187,376</w:t>
            </w:r>
          </w:p>
        </w:tc>
      </w:tr>
      <w:tr>
        <w:trPr>
          <w:trHeight w:val="212"/>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189,689</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18,921</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111,846</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130,767</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58,922</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12,017</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r>
      <w:tr>
        <w:trPr>
          <w:trHeight w:val="219"/>
        </w:trPr>
        <w:tc>
          <w:tcPr>
            <w:tcW w:w="8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16"/>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October 31, 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(393,186)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(92,159)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6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6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(4,054)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 $0.2450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(10,711)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Class B — $0.2284 per share</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2025</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359,690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1,360,156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(388,847)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(86,727)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1,244,820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 $0.2400 per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Class B — $0.2234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 at October 31, 2024</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1,209,406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(344,012)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w:t>
            </w: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(33,960)</w:t>
            </w: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(140,625)</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(147,901)</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135,149</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(109,439)</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8"/>
              </w:rPr>
              <w:t>(104,457)</w:t>
            </w:r>
          </w:p>
        </w:tc>
      </w:tr>
      <w:tr>
        <w:trPr>
          <w:trHeight w:val="219"/>
        </w:trPr>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w w:val="99"/>
              </w:rPr>
              <w:t>250,118</w:t>
            </w:r>
          </w:p>
        </w:tc>
      </w:tr>
      <w:tr>
        <w:trPr>
          <w:trHeight w:val="210"/>
        </w:trPr>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182,684</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w w:val="99"/>
              </w:rPr>
              <w:t>145,661</w:t>
            </w:r>
          </w:p>
        </w:tc>
      </w:tr>
      <w:tr>
        <w:trPr>
          <w:trHeight w:val="23"/>
        </w:trPr>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40"/>
          </w:cols>
          <w:pgMar w:left="320" w:top="118"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October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2025 and July 31, 2025, its results of operations, cash flows and comprehensive income for the three months ended October 31, 2025 and 2024. The condensed consolidated balance sheet as of July 31, 2025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Company adopted ASU 2023-07 for the year ended July 31, 2025, with retrospective application of the expanded segment information for the years ended July 31, 2024 and 2023. Additional information regarding the Company’s reportable segments, including the application of the provisions of ASU 2023-07 for the three months ended October 31, 2025 and 2024, is included in Note H to the condensed consolidated financial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the impact this guidance will have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October 31, 2025 and July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4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58,368</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200,881</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of $316,274 and $313,778 as of October 31, 2025 and July 31, 2025,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October 31, 2025 and July 31, 2025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2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95,516</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87,070</w:t>
            </w:r>
          </w:p>
        </w:tc>
        <w:tc>
          <w:tcPr>
            <w:tcW w:w="0" w:type="dxa"/>
            <w:vAlign w:val="bottom"/>
          </w:tcPr>
          <w:p>
            <w:pPr>
              <w:spacing w:after="0"/>
              <w:rPr>
                <w:sz w:val="1"/>
                <w:szCs w:val="1"/>
                <w:color w:val="auto"/>
              </w:rPr>
            </w:pPr>
          </w:p>
        </w:tc>
      </w:tr>
      <w:tr>
        <w:trPr>
          <w:trHeight w:val="195"/>
        </w:trPr>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11,395</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October 31, 2025 compared to July 31, 2025 was primarily due to the acquisition of MECCO Partners LLC (“Mecco”) completed during the three months ended October 31, 2025, partially offset by the removal of a fully amortized technology asset. Refer to Note O, “Acquisitions,” for additional information on intangible assets acquired.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was $5,341 and $4,713 for the three months ended October 31, 2025 and 2024,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October 31, 2025,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$5,222 and $4,735 for the three months ended October 31, 2025 and 2024,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months ended October 31, 2025 and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three months ended October 31, 2025 and 2024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4,619</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7,630</w:t>
            </w:r>
          </w:p>
        </w:tc>
      </w:tr>
    </w:tbl>
    <w:p>
      <w:pPr>
        <w:ind w:left="500" w:hanging="168"/>
        <w:spacing w:after="0" w:line="224" w:lineRule="auto"/>
        <w:tabs>
          <w:tab w:leader="none" w:pos="50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new leases, acquired leases and remeasurements or modifications of existing leases.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or losses from cash flow hedges and the unamortized gain or loss on post-retirement plans, net of their related tax effects.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three months ended October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 (loss)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gain on cash flow</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 post-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retirement 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9"/>
              </w:rPr>
              <w:t>618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9"/>
              </w:rPr>
              <w:t>446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accumulated other comprehensive loss as of October 31, 2025 compared to July 31, 2025 was primarily due to depreciation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against certain other currencies during the three-month period.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three months ended October 31, 2024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(110,014)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accumulated other comprehensive loss as of October 31, 2024 compared to July 31, 2024 was primarily due to unrealized losses on cash flow hedges during the three-month period.</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three months ended October 31, 2025 and 2024, unrealized gains or losses on cash flow hedges were reclassified to “Cost of goods sold” and unamortized gains or losses on post-retirement plans were reclassified into “Investment and other income” on the condensed consolidated statements of income.</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loss for the three months ended October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and direct part marking solutions, high-performance materials and workplace safety products that are shipped and billed to customers. All revenue is from contracts with customers and is included in “Net sales”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months ended October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214,033</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31,395</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245,428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116,153</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$3,271 and $3,060 as of October 31, 2025 and July 31, 2025, respectively. The current portion and non-current portion of contract liabilities are included in “Other current liabilities” and “Other liabilities,” respectively, on the condensed consolidated balance sheets. The Company recognized revenue of $374 and $337 during the three months ended October 31, 2025 and 2024, respectively, that was included in the contract liability balance at the beginning of the respective period from the amortization of extended service warranties. Of the contract liability balance outstanding at October 31, 2025, the Company expects to recognize 32% by the end of fiscal 2026, an additional 31% by the end of fiscal 2027, and the remaining balance thereafter.</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 for payments received in advance for certain software and services. These amounts are classified as contract liabilities and recognized as revenue over the service period. The balance of contract liabilities related to software and services was $10,178 and $9,246 as of October 31, 2025 and July 31, 2025, respectively. During the three months ended October 31, 2025 and 2024, the Company recognized $2,764 and $2,066 in revenue, respectively, which was previously included in the beginning balance of deferred revenue as of July 31, 2025 and July 31, 2024.</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Company’s Chief Executive Officer (“CEO”), who is also the Company’s Chief Operating Decision Maker (“CODM”), uses segment profit in measuring segment performance, allocating resources, evaluating performance in periodic reviews, and during the development of the annual budget and the regular forecasting process. The CODM considers budget-to-actual variances on a quarterly basis, as well as segment-specific forecasting, when making decisions about the allocation of operating and capital resources to each segment. The CODM also uses the segment’s net sales in measuring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as of and for the three months ended October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Americas &amp; Asia</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245,428</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119,178</w:t>
            </w:r>
          </w:p>
        </w:tc>
      </w:tr>
      <w:tr>
        <w:trPr>
          <w:trHeight w:val="207"/>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126,250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58,134</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71,350</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Europe &amp; Australia</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131,637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68,198</w:t>
            </w:r>
          </w:p>
        </w:tc>
      </w:tr>
      <w:tr>
        <w:trPr>
          <w:trHeight w:val="207"/>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44,620</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income before income taxes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58,800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7,286</w:t>
            </w: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Stock-Based Compensation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during the three months ended October 31, 2025 and 2024 was $6,746 and $5,813, respectively. The total income tax benefit recognized in the condensed consolidated statements of income was $1,411 and $632 during the three months ended October 31, 2025 and 2024,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market price of the Company’s stock at the date of the grant and generally vest ratably over three years, with one-third becoming exercisable one year after the grant date and one-third additional in each of the succeeding two years. Options issued under the plan, referred to herein as “time-based” options, generally expire ten years from the date of grant. The Company did not issue stock options in its annual grant of share-based awards to employees in the current fiscal year.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October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gridSpan w:val="2"/>
            <w:vMerge w:val="continue"/>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54.80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October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928,992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October 31, 2025</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915,638</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additional stock option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62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during the period (in thousands)</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options vested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from the exercise of stock options during the period (in thousands)</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 on options exercised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bl>
    <w:p>
      <w:pPr>
        <w:spacing w:after="0" w:line="2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total unrecognized compensation cost related to stock options was $152 pre-tax, net of estimated forfeitures, which the Company expects to recognize over a weighted-average period of 0.9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market price of the Company’s stock at the date of grant and generally vest ratably over three years, with one-third vesting one year after the grant date and an additional one-third in each of the succeeding two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RSU activity for the three months ended October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July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October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granted during the three months ended October 31, 2024 had a weighted-average grant date fair value of $74.63. The total fair value of RSUs vested during the three months ended October 31, 2025 and 2024 was $5,305 and $4,201,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total unrecognized compensation cost related to RSUs was $7,524 pre-tax, net of estimated forfeitures, which the Company expects to recognize over a weighted-average period of 2.3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PRSUs are contingent on the achievement of predetermined market and performance targets. The PRSUs granted under the plan vest at the end of a three-year performance period provided the service period and specified performance targets are met. PRSUs granted during the three months ended October 31, 2025, 2024 and 2023 will vest based on achievement of performance conditions relating to Company revenue and diluted EPS targets.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three months ended October 31, 2025 had a fair value determined by the average of the high and low stock price on the date of the grant.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PRSU activity for the three months ended October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July 31,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October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three months ended October 31, 2024 had a weighted-average grant date fair value of $71.24. The total fair value of PRSUs vested during the three months ended October 31, 2025 and 2024 was $1,934 and $595,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total unrecognized compensation cost related to PRSUs was $8,855 pre-tax, net of estimated forfeitures, which the Company expects to recognize over a weighted-average period of 2.1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0"/>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18,468 and 17,278 for the three months ended October 31, 2025 and 2024,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July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53,542</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2025 and July 31, 2025, unrealized gains of $423 and unrealized losses of $493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October 31, 2025 and July 31, 2025, the cumulative balance recognized in accumulated other comprehensive income were losses of $3,023 and $2,753, respectively, on any outstanding foreign currency denominated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reclassified from OCI into cost of goods sold: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40" w:right="56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4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Prepaid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-864870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-591185</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-316865</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Income Taxes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rate for the three months ended October 31, 2025 and 2024 was 21.2% and 20.4%,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Acquisitions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4, 2025, the Company acquired all of the membership interest of Mecco for $19,166, net of cash acquired. The purchase price includes a cash payment of $17,416 and a holdback liability of $1,750. Based in Pittsburgh, Pennsylvania, Mecco specializes in industrial product marking and identification systems designed for a variety of applications and industries. The acquisition of Mecco complements the Company’s existing offering of direct part marking solutions and advances the Company’s strategy to provide customers with a variety of end-to-end direct part marking and specialty identification products. The acquisition was funded through cash on hand. The Company recorded its preliminary purchase price allocation during the first quarter of fiscal year 2026 based on its estimates of the fair value of the acquired assets and assumed liabilities at that time. The preliminary purchase price allocation included goodwill of $3,412, intangible assets of $14,040, and net tangible assets of $1,714. The goodwill for this acquisition is assigned to the Americas &amp; Asia segment and is deductible for tax purposes. The final purchase price allocation is subject to post-closing adjustments and the finalization of certain intangible asset valuations and deferred tax adjustments. The accompanying condensed consolidated financial statements include the results of Mecco from the date of acquisition through October 31, 2025. Pro forma and other financial information are not presented for the Mecco acquisition because its impact on the Company’s results of operation and financial position is immaterial.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and direct part marking solutions, high-performance materials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direct part marking,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intensifying efforts to leverage our diverse product portfolio and synergies across our business, improving the overall customer experience, developing technologically advanced, innovative, and proprietary products,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2026:</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high-quality customer experience by aligning with customers’ preferred communications channels and leveraging technology to strengthen engagement.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remain competitive.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operational excellence by executing sustainable efficiency gains within our selling, general and administrative structures and within our global operations, including cost reduction initiatives, insourcing of critical products and manufacturing activities, and reducing the Company’s environmental footprint.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high-performance culture, which rewards execution, fosters inclusion, and strengthens employee engagement, recruitment, and retention.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trade environment remains complex and is rapidly evolving, driven by the imposition of tariffs on goods entering the U.S. and countermeasures from other nations. Our business has incurred, and expects to continue to incur, additional costs as it relates to these incremental tariffs and countermeasures for the foreseeable future. The Company has taken and will continue to take action to mitigate inflationary pressures caused by the incremental tariffs through a combination of targeted price increases and surcharges, strategic sourcing adjustments, product portfolio optimization, as well as our ongoing efforts to drive sustainable efficiency gains in our operations and administrative structures.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uncertain situation relating to tariffs, 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share repurchases. At October 31, 2025, we had cash of $182.7 million, as well as a credit agreement with $182.0 million available for future borrowing, which can be increased to $1,077.0 million at the Company’s option and subject to certain conditions, for total available liquidity of $1,259.7 million.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our Annual Report on Form 10-K for the year ended July 31, 2025, for further discussion of the possible impact of global economic or geopolitical events on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the operating results for the three months ended October 31, 2025, compared to the three months ended October 31, 2024, has been impacted by acquisitions of American Barcode and RFID Incorporated (“AB&amp;R”) on October 1, 2024, the Microfluidic Solutions business unit of Funai Electric Co., Ltd. (“Microfluidic Solutions”) on April 1, 2025 and MECCO Partners LLC (“Mecco”) on August 4, 2025. The operating results for each of the acquired companies has been included in the Americas &amp; Asia reportable segment since their acquisition date.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months ended October 31, 2025 and 2024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62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405,287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208,832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140,860</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130,767</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Quarterly Report on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October 31, 2025 increased 7.5% to $405.3 million compared to $377.1 million in the same period in the prior year. The increase consisted of organic sales growth of 2.8%, sales growth from acquisitions of 3.2%, and a 1.5% increase from foreign translation. Organic sales grew 4.7% in the Americas &amp; Asia segment, while organic sales declined 0.8% in the Europe &amp; Australia segment compared to the same period in the prior year.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10.1% to $208.8 million in the three months ended October 31, 2025 compared to $189.7 million in the same period in the prior year. As a percentage of net sales, gross margin increased to 51.5% in the three months ended October 31, 2025 compared to 50.3% in the same period in the prior year. The increase in gross margin as a percentage of net sales is primarily driven by the absence of a $4.1 million non-recurring fair value adjustment related to acquisition inventory recorded in the prior-year period, as well as by organic sales growth in higher gross margin product lines. These benefits were partially offset by incremental tariffs in the current three-month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R&amp;D expenses increased 23.1% to $23.3 million in the three months ended October 31, 2025 compared to $18.9 million in the same period in the prior year. As a percentage of net sales, R&amp;D expenses increased to 5.7% in the three months ended October 31, 2025 compared to 5.0% in the same period in the prior year. The increase in R&amp;D spending was primarily due to investments in microfluidic technologies and engraving systems associated with the acquisitions of Microfluidic Solutions and Mecco, and, to a lesser extent, an increase in R&amp;D headcount within the Company’s organic business. The Company remains committed to investing in innovative product development to drive long-term organic sales growth. Investments in new printing systems, pressure sensitive materials, engraving systems, microfluidic technologies, scanners and software remain the primary focus of R&amp;D expenditures in fiscal 2026.</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5.1% to $117.6 million in the three months ended October 31, 2025 compared to $111.8 million in the same period in the prior year. As a percentage of net sales, SG&amp;A decreased to 29.0% in the three months ended October 31, 2025, compared to 29.7% in the same period in the prior year. The decrease in SG&amp;A as a percentage of net sales is primarily due to cost reductions from reorganization activities completed in the prior fiscal year.</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15.4% to $68.0 million in the three months ended October 31, 2025, compared to $58.9 million in the same period in the prior year. The increase in operating income was due to organic sales growth in the Americas &amp; Asia reportable segment, gross margin improvement across both reportable segments, and SG&amp;A cost efficiencies in the Europe &amp; Asia segment. Additionally, operating income for three months ended October 31, 2024 included non-recurring acquisition-related and other costs of $5.1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was $1.7 million in the three months ended October 31, 2025 compared to $1.2 million in the same period in the prior year. The change was primarily due to an increase in the market value of securities held in deferred compensation plans.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to $1.2 million in the three months ended October 31, 2025 compared to $1.4 million in the same period in the prior year. The decrease in interest expense was primarily due to a decrease in the weighted average interest rate on outstanding borrowings on the Company’s credit agreement during the three months ended October 31, 2025 compared to the same period in the prior year.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tax rate was 21.2% and 20.4% for the three months ended October 31, 2025 and 2024, respectively.</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months ended October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4"/>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5"/>
              </w:rPr>
              <w:t>59,863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54,900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18,732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13,114</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5"/>
              </w:rPr>
              <w:t>78,595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68,014</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Americas &amp; Asia net sales increased 9.6% to $268.9 million in the three months ended October 31, 2025 compared to $245.4 million in the same period in the prior year. The increase consisted of organic sales growth of 4.7% and sales growth from acquisitions of 4.9%.</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mid-single digits in the three months ended October 31, 2025. Organic sales growth was driven by growth in the wire identification and product identification product lines, which was partially offset by an organic sales decline in the safety and facility identification product line.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increased approximately 12% in the three months ended October 31, 2025. The organic sales increase in the three-month period was realized throughout Asia with continued growth from electronics manufacturing services providers, technology companies, and industrial suppliers across Japan, India, Malaysia and Singapore. Organic sales growth was primarily driven by growth in the product identification and safety and facility identification product lines.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increased 9.0% to $59.9 million in the three months ended October 31, 2025 compared to $54.9 million in the same period in the prior year. As a percentage of net sales, segment profit was essentially flat at 22.3% compared to 22.4% in the same period in the prior year. The increase in segment profit was primarily due to organic sales growth across the segment. Additionally, segment profit for the three months ended October 31, 2024 included acquisition-related costs and other purchase accounting adjustments. The decrease in segment profit as a percentage of sales was primarily driven by increased investments in R&amp;D, and to a lesser extent, incremental tariffs in the current three-month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Europe &amp; Australia net sales increased 3.6% to $136.4 million in the three months ended October 31, 2025 compared to $131.6 million in the same period in the prior year. The increase reflected a 4.4% benefit from foreign currency translation, which was partially offset by an organic sales decline of 0.8%.</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declined in the low-single digits in the three months ended October 31, 2025. The organic sales decline during the three-month period was primarily driven by a decrease in the people identification and safety and facility identification product lines, which was partially offset by organic sales growth in the wire identification product line. The decline was driven by the Middle East, the United Kingdom and Germany, which was partially offset by growth in France.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increased in the low-single digits in the three months ended October 31, 2025. Organic sales growth was primarily driven by growth in the wire identification product line.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to $18.7 million in the three months ended October 31, 2025 compared to $13.1 million in the same period of the prior year. As a percentage of net sales, segment profit increased to 13.7% from 10.0% in the same period of the prior year. The increase in segment profit was primarily driven by a more efficient cost structure following reorganization activities completed in the prior fiscal year. Additionally, segment profit for the three months ended October 31, 2024 included acquisition-related costs and other purchase accounting adjustments.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October 31, 2025, approximately 99%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$182.7 million at October 31, 2025, a decrease of $8.3 million from July 31, 2025.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(147,901)</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(104,457)</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$33.4 million in the three months ended October 31, 2025, compared to $23.4 million in the same period of the prior year. The increase in cash provided by operating activities was primarily due to improved profitability from both reportable segments.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$28.4 million in the three months ended October 31, 2025, primarily reflecting the acquisition of a business for $17.4 million and capital expenditures of $11.0 million. Net cash used in investing activities was $147.9 million in the three months ended October 31, 2024, primarily reflecting acquisition of businesses totaling $140.6 million and capital expenditures of $7.3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$2.6 million in the three months ended October 31, 2025, compared to $18.3 million of net cash used in financing activities in the same period of the prior year. The change was primarily driven by lower net borrowings and, to a lesser extent, increased share repurchases during the three months ended October 31, 2025 compared to the same period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repayment of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order quantities. In addition, we may have liabilities for uncertain tax positions, but we do not believe that the cash requirements to meet any of these liabilities will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the credit agreement to, among other items, change the applicable benchmark rate for borrowings denominated in Canadian Dollars under the credit agreement.</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2025, the outstanding balance on the Company’s credit agreement was $115.9 million. The maximum amount outstanding on the credit agreement during the three months ended October 31, 2025 was $119.6 million. As of October 31, 2025, the U.S. dollar-denominated borrowings of $54.5 million bear interest at 5.0%; the Euro-denominated borrowings of €44.0 million bear interest at 2.8%; and the British Pound-denominated borrowings of £8.0 million bear interest at 4.8%. The Company had letters of credit outstanding under the credit agreement of $2.1 million as of October 31, 2025 and there was $182.0 million available for future borrowing, which can be increased to $1,077.0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2025, the Company was in compliance with these financial covenants, with a ratio of debt to EBITDA, as defined by the agreements, equal to 0.4 to 1.0 and the interest expense coverage ratio equal to 70.8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material shortages and supply chain disruptions, including as a result of tariffs or other impacts of the global trade environment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66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Brady’s Form 10-K for the year ended July 31, 2025.</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2025. There has been no material change in this information since the 2025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N, “Contingencies” included in this Quarterly Report on Form 10-Q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2025. There have been no material changes from the risk factors set forth in the 2025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October 31, 2025, there were $82.9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October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2025 - August 31, 2025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86,951</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2025 - September 30, 2025</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86,951</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82,897</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73.69</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82,897</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6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20" w:type="dxa"/>
            <w:vAlign w:val="bottom"/>
            <w:tcBorders>
              <w:top w:val="single" w:sz="8" w:color="auto"/>
            </w:tcBorders>
            <w:gridSpan w:val="7"/>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Change of Control Agreement between Brady Corporation and Andrew T. Gorman dated as of September 16, 2025</w:t>
              </w:r>
            </w:hyperlink>
          </w:p>
        </w:tc>
      </w:tr>
      <w:tr>
        <w:trPr>
          <w:trHeight w:val="155"/>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(incorporated by reference to Exhibit 10.1 in Registrant’s Current Report on Form 8-K dated September 16, 2025)*</w:t>
              </w:r>
            </w:hyperlink>
          </w:p>
        </w:tc>
        <w:tc>
          <w:tcPr>
            <w:tcW w:w="40" w:type="dxa"/>
            <w:vAlign w:val="bottom"/>
            <w:tcBorders>
              <w:bottom w:val="single" w:sz="8" w:color="0000FF"/>
            </w:tcBorders>
          </w:tcPr>
          <w:p>
            <w:pPr>
              <w:spacing w:after="0"/>
              <w:rPr>
                <w:sz w:val="13"/>
                <w:szCs w:val="13"/>
                <w:color w:val="auto"/>
              </w:rPr>
            </w:pPr>
          </w:p>
        </w:tc>
        <w:tc>
          <w:tcPr>
            <w:tcW w:w="300" w:type="dxa"/>
            <w:vAlign w:val="bottom"/>
          </w:tcPr>
          <w:p>
            <w:pPr>
              <w:spacing w:after="0"/>
              <w:rPr>
                <w:sz w:val="13"/>
                <w:szCs w:val="13"/>
                <w:color w:val="auto"/>
              </w:rPr>
            </w:pPr>
          </w:p>
        </w:tc>
      </w:tr>
      <w:tr>
        <w:trPr>
          <w:trHeight w:val="49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Russell R. Shaller</w:t>
            </w: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Ann E. Thornton</w:t>
            </w:r>
          </w:p>
        </w:tc>
        <w:tc>
          <w:tcPr>
            <w:tcW w:w="60" w:type="dxa"/>
            <w:vAlign w:val="bottom"/>
            <w:tcBorders>
              <w:top w:val="single" w:sz="8" w:color="0000FF"/>
            </w:tcBorders>
          </w:tcPr>
          <w:p>
            <w:pPr>
              <w:spacing w:after="0"/>
              <w:rPr>
                <w:sz w:val="24"/>
                <w:szCs w:val="24"/>
                <w:color w:val="auto"/>
              </w:rPr>
            </w:pPr>
          </w:p>
        </w:tc>
        <w:tc>
          <w:tcPr>
            <w:tcW w:w="4300" w:type="dxa"/>
            <w:vAlign w:val="bottom"/>
            <w:gridSpan w:val="3"/>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5180" w:type="dxa"/>
            <w:vAlign w:val="bottom"/>
            <w:gridSpan w:val="5"/>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of Ann E. Thornton</w:t>
            </w:r>
          </w:p>
        </w:tc>
      </w:tr>
      <w:tr>
        <w:trPr>
          <w:trHeight w:val="20"/>
        </w:trPr>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r>
      <w:tr>
        <w:trPr>
          <w:trHeight w:val="46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34"/>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50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Extension Taxonomy Schema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9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50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03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s://www.sec.gov/Archives/edgar/data/746598/000074659825000052/exhibit101changeofcontro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2025-11-17T06:22:50Z</dcterms:created>
  <dcterms:modified xsi:type="dcterms:W3CDTF">2025-11-17T06:22:50Z</dcterms:modified>
</cp:coreProperties>
</file>