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7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Pursuant to Section 13 or 15(d) of the Securities Exchange Act of 1934</w:t>
      </w:r>
    </w:p>
    <w:p>
      <w:pPr>
        <w:spacing w:after="0" w:line="20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February 20, 2009</w:t>
      </w:r>
    </w:p>
    <w:p>
      <w:pPr>
        <w:spacing w:after="0" w:line="18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BRADY CORPORATION</w:t>
      </w:r>
    </w:p>
    <w:p>
      <w:pPr>
        <w:spacing w:after="0" w:line="5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1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Commission File Number 1-14959</w:t>
      </w:r>
    </w:p>
    <w:p>
      <w:pPr>
        <w:sectPr>
          <w:pgSz w:w="11900" w:h="16838" w:orient="portrait"/>
          <w:cols w:equalWidth="0" w:num="1">
            <w:col w:w="11420"/>
          </w:cols>
          <w:pgMar w:left="240" w:top="514" w:right="239" w:bottom="1440" w:gutter="0" w:footer="0" w:header="0"/>
        </w:sectPr>
      </w:pPr>
    </w:p>
    <w:p>
      <w:pPr>
        <w:spacing w:after="0" w:line="194" w:lineRule="exact"/>
        <w:rPr>
          <w:sz w:val="24"/>
          <w:szCs w:val="24"/>
          <w:color w:val="auto"/>
        </w:rPr>
      </w:pPr>
    </w:p>
    <w:p>
      <w:pPr>
        <w:jc w:val="center"/>
        <w:ind w:right="1240"/>
        <w:spacing w:after="0"/>
        <w:rPr>
          <w:sz w:val="20"/>
          <w:szCs w:val="20"/>
          <w:color w:val="auto"/>
        </w:rPr>
      </w:pPr>
      <w:r>
        <w:rPr>
          <w:rFonts w:ascii="Arial" w:cs="Arial" w:eastAsia="Arial" w:hAnsi="Arial"/>
          <w:sz w:val="18"/>
          <w:szCs w:val="18"/>
          <w:color w:val="auto"/>
        </w:rPr>
        <w:t>Wisconsin</w:t>
      </w:r>
    </w:p>
    <w:p>
      <w:pPr>
        <w:jc w:val="center"/>
        <w:ind w:right="1240"/>
        <w:spacing w:after="0"/>
        <w:rPr>
          <w:sz w:val="20"/>
          <w:szCs w:val="20"/>
          <w:color w:val="auto"/>
        </w:rPr>
      </w:pPr>
      <w:r>
        <w:rPr>
          <w:rFonts w:ascii="Arial" w:cs="Arial" w:eastAsia="Arial" w:hAnsi="Arial"/>
          <w:sz w:val="17"/>
          <w:szCs w:val="17"/>
          <w:color w:val="auto"/>
        </w:rPr>
        <w:t>(State of Incorporation)</w:t>
      </w:r>
    </w:p>
    <w:p>
      <w:pPr>
        <w:spacing w:after="0" w:line="20" w:lineRule="exact"/>
        <w:rPr>
          <w:sz w:val="24"/>
          <w:szCs w:val="24"/>
          <w:color w:val="auto"/>
        </w:rPr>
      </w:pPr>
      <w:r>
        <w:rPr>
          <w:sz w:val="24"/>
          <w:szCs w:val="24"/>
          <w:color w:val="auto"/>
        </w:rPr>
        <w:br w:type="column"/>
      </w:r>
    </w:p>
    <w:p>
      <w:pPr>
        <w:spacing w:after="0" w:line="174" w:lineRule="exact"/>
        <w:rPr>
          <w:sz w:val="24"/>
          <w:szCs w:val="24"/>
          <w:color w:val="auto"/>
        </w:rPr>
      </w:pPr>
    </w:p>
    <w:p>
      <w:pPr>
        <w:jc w:val="center"/>
        <w:ind w:right="1400"/>
        <w:spacing w:after="0"/>
        <w:rPr>
          <w:sz w:val="20"/>
          <w:szCs w:val="20"/>
          <w:color w:val="auto"/>
        </w:rPr>
      </w:pPr>
      <w:r>
        <w:rPr>
          <w:rFonts w:ascii="Arial" w:cs="Arial" w:eastAsia="Arial" w:hAnsi="Arial"/>
          <w:sz w:val="18"/>
          <w:szCs w:val="18"/>
          <w:color w:val="auto"/>
        </w:rPr>
        <w:t>39-0971239</w:t>
      </w:r>
    </w:p>
    <w:p>
      <w:pPr>
        <w:jc w:val="center"/>
        <w:ind w:right="1400"/>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2">
            <w:col w:w="6680" w:space="720"/>
            <w:col w:w="4020"/>
          </w:cols>
          <w:pgMar w:left="240" w:top="514" w:right="239" w:bottom="1440" w:gutter="0" w:footer="0" w:header="0"/>
          <w:type w:val="continuous"/>
        </w:sectPr>
      </w:pP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6555 West Good Hope Road</w:t>
      </w:r>
    </w:p>
    <w:p>
      <w:pPr>
        <w:jc w:val="center"/>
        <w:ind w:right="-19"/>
        <w:spacing w:after="0" w:line="234" w:lineRule="auto"/>
        <w:rPr>
          <w:sz w:val="20"/>
          <w:szCs w:val="20"/>
          <w:color w:val="auto"/>
        </w:rPr>
      </w:pPr>
      <w:r>
        <w:rPr>
          <w:rFonts w:ascii="Arial" w:cs="Arial" w:eastAsia="Arial" w:hAnsi="Arial"/>
          <w:sz w:val="18"/>
          <w:szCs w:val="18"/>
          <w:color w:val="auto"/>
        </w:rPr>
        <w:t>Milwaukee, Wisconsin 53223</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Offices and Zip Code)</w:t>
      </w:r>
    </w:p>
    <w:p>
      <w:pPr>
        <w:spacing w:after="0" w:line="207" w:lineRule="exact"/>
        <w:rPr>
          <w:sz w:val="24"/>
          <w:szCs w:val="24"/>
          <w:color w:val="auto"/>
        </w:rPr>
      </w:pPr>
    </w:p>
    <w:p>
      <w:pPr>
        <w:ind w:left="5560" w:hanging="462"/>
        <w:spacing w:after="0"/>
        <w:tabs>
          <w:tab w:leader="none" w:pos="5560" w:val="left"/>
        </w:tabs>
        <w:numPr>
          <w:ilvl w:val="0"/>
          <w:numId w:val="1"/>
        </w:numPr>
        <w:rPr>
          <w:rFonts w:ascii="Arial" w:cs="Arial" w:eastAsia="Arial" w:hAnsi="Arial"/>
          <w:sz w:val="18"/>
          <w:szCs w:val="18"/>
          <w:color w:val="auto"/>
        </w:rPr>
      </w:pPr>
      <w:r>
        <w:rPr>
          <w:rFonts w:ascii="Arial" w:cs="Arial" w:eastAsia="Arial" w:hAnsi="Arial"/>
          <w:sz w:val="18"/>
          <w:szCs w:val="18"/>
          <w:color w:val="auto"/>
        </w:rPr>
        <w:t>358-6600</w:t>
      </w:r>
    </w:p>
    <w:p>
      <w:pPr>
        <w:ind w:left="4400"/>
        <w:spacing w:after="0"/>
        <w:rPr>
          <w:rFonts w:ascii="Arial" w:cs="Arial" w:eastAsia="Arial" w:hAnsi="Arial"/>
          <w:sz w:val="18"/>
          <w:szCs w:val="18"/>
          <w:color w:val="auto"/>
        </w:rPr>
      </w:pPr>
      <w:r>
        <w:rPr>
          <w:rFonts w:ascii="Arial" w:cs="Arial" w:eastAsia="Arial" w:hAnsi="Arial"/>
          <w:sz w:val="18"/>
          <w:szCs w:val="18"/>
          <w:color w:val="auto"/>
        </w:rPr>
        <w:t>(Registrant’s Telephone Number)</w:t>
      </w:r>
    </w:p>
    <w:p>
      <w:pPr>
        <w:spacing w:after="0" w:line="171" w:lineRule="exact"/>
        <w:rPr>
          <w:sz w:val="24"/>
          <w:szCs w:val="24"/>
          <w:color w:val="auto"/>
        </w:rPr>
      </w:pPr>
    </w:p>
    <w:p>
      <w:pPr>
        <w:spacing w:after="0" w:line="246"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89" w:lineRule="exact"/>
        <w:rPr>
          <w:sz w:val="24"/>
          <w:szCs w:val="24"/>
          <w:color w:val="auto"/>
        </w:rPr>
      </w:pPr>
    </w:p>
    <w:p>
      <w:pPr>
        <w:ind w:left="220" w:hanging="212"/>
        <w:spacing w:after="0"/>
        <w:tabs>
          <w:tab w:leader="none" w:pos="220" w:val="left"/>
        </w:tabs>
        <w:numPr>
          <w:ilvl w:val="0"/>
          <w:numId w:val="2"/>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Arial" w:cs="Arial" w:eastAsia="Arial" w:hAnsi="Arial"/>
          <w:sz w:val="18"/>
          <w:szCs w:val="18"/>
          <w:color w:val="auto"/>
        </w:rPr>
      </w:pPr>
    </w:p>
    <w:p>
      <w:pPr>
        <w:ind w:left="220" w:hanging="212"/>
        <w:spacing w:after="0"/>
        <w:tabs>
          <w:tab w:leader="none" w:pos="220" w:val="left"/>
        </w:tabs>
        <w:numPr>
          <w:ilvl w:val="0"/>
          <w:numId w:val="2"/>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Arial" w:cs="Arial" w:eastAsia="Arial" w:hAnsi="Arial"/>
          <w:sz w:val="18"/>
          <w:szCs w:val="18"/>
          <w:color w:val="auto"/>
        </w:rPr>
      </w:pPr>
    </w:p>
    <w:p>
      <w:pPr>
        <w:ind w:left="220" w:hanging="212"/>
        <w:spacing w:after="0"/>
        <w:tabs>
          <w:tab w:leader="none" w:pos="22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Arial" w:cs="Arial" w:eastAsia="Arial" w:hAnsi="Arial"/>
          <w:sz w:val="18"/>
          <w:szCs w:val="18"/>
          <w:color w:val="auto"/>
        </w:rPr>
      </w:pPr>
    </w:p>
    <w:p>
      <w:pPr>
        <w:ind w:left="220" w:hanging="212"/>
        <w:spacing w:after="0"/>
        <w:tabs>
          <w:tab w:leader="none" w:pos="22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621665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4"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t>Item 2.02 RESULTS OF OPERATIONS AND FINANCIAL CONDITION</w:t>
      </w:r>
    </w:p>
    <w:p>
      <w:pPr>
        <w:spacing w:after="0" w:line="104" w:lineRule="exact"/>
        <w:rPr>
          <w:sz w:val="20"/>
          <w:szCs w:val="20"/>
          <w:color w:val="auto"/>
        </w:rPr>
      </w:pPr>
    </w:p>
    <w:p>
      <w:pPr>
        <w:jc w:val="both"/>
        <w:ind w:firstLine="250"/>
        <w:spacing w:after="0"/>
        <w:rPr>
          <w:sz w:val="20"/>
          <w:szCs w:val="20"/>
          <w:color w:val="auto"/>
        </w:rPr>
      </w:pPr>
      <w:r>
        <w:rPr>
          <w:rFonts w:ascii="Arial" w:cs="Arial" w:eastAsia="Arial" w:hAnsi="Arial"/>
          <w:sz w:val="18"/>
          <w:szCs w:val="18"/>
          <w:color w:val="auto"/>
        </w:rPr>
        <w:t>On February 20, 2009, Brady Corporation (the “Corporation”) issued a press release announcing its fiscal 2009 second quarter financial results. A copy of the press release is being furnished to the Securities and Exchange Commission as Exhibit 99.1 attached herewith and is incorporated herein by reference.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Item 9.01 FINANCIAL STATEMENTS AND EXHIBITS.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filed as an Exhibit to this Report.</w:t>
      </w:r>
    </w:p>
    <w:p>
      <w:pPr>
        <w:spacing w:after="0" w:line="204" w:lineRule="exact"/>
        <w:rPr>
          <w:sz w:val="20"/>
          <w:szCs w:val="20"/>
          <w:color w:val="auto"/>
        </w:rPr>
      </w:pPr>
    </w:p>
    <w:p>
      <w:pPr>
        <w:spacing w:after="0"/>
        <w:tabs>
          <w:tab w:leader="none" w:pos="5480" w:val="left"/>
        </w:tabs>
        <w:rPr>
          <w:sz w:val="20"/>
          <w:szCs w:val="20"/>
          <w:color w:val="auto"/>
        </w:rPr>
      </w:pPr>
      <w:r>
        <w:rPr>
          <w:rFonts w:ascii="Arial" w:cs="Arial" w:eastAsia="Arial" w:hAnsi="Arial"/>
          <w:sz w:val="14"/>
          <w:szCs w:val="14"/>
          <w:u w:val="single" w:color="auto"/>
          <w:color w:val="auto"/>
        </w:rPr>
        <w:t>Exhibit No.</w:t>
      </w:r>
      <w:r>
        <w:rPr>
          <w:sz w:val="20"/>
          <w:szCs w:val="20"/>
          <w:color w:val="auto"/>
        </w:rPr>
        <w:tab/>
      </w:r>
      <w:r>
        <w:rPr>
          <w:rFonts w:ascii="Arial" w:cs="Arial" w:eastAsia="Arial" w:hAnsi="Arial"/>
          <w:sz w:val="14"/>
          <w:szCs w:val="14"/>
          <w:color w:val="auto"/>
        </w:rPr>
        <w:t>Description of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-1905</wp:posOffset>
            </wp:positionV>
            <wp:extent cx="6663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pacing w:after="0" w:line="110" w:lineRule="exact"/>
        <w:rPr>
          <w:sz w:val="20"/>
          <w:szCs w:val="20"/>
          <w:color w:val="auto"/>
        </w:rPr>
      </w:pPr>
    </w:p>
    <w:p>
      <w:pPr>
        <w:ind w:left="920" w:right="40" w:hanging="741"/>
        <w:spacing w:after="0" w:line="246" w:lineRule="auto"/>
        <w:tabs>
          <w:tab w:leader="none" w:pos="9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8"/>
          <w:szCs w:val="18"/>
          <w:color w:val="auto"/>
        </w:rPr>
        <w:t>Press Release of Brady Corporation, dated February 20, 2009, relating to the Corporation’s fiscal 2009 second quarter financial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372110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00"/>
          </w:cols>
          <w:pgMar w:left="240" w:top="1057" w:right="559" w:bottom="1440" w:gutter="0" w:footer="0" w:header="0"/>
        </w:sectPr>
      </w:pPr>
    </w:p>
    <w:bookmarkStart w:id="2" w:name="page3"/>
    <w:bookmarkEnd w:id="2"/>
    <w:p>
      <w:pPr>
        <w:jc w:val="center"/>
        <w:ind w:right="-239"/>
        <w:spacing w:after="0"/>
        <w:rPr>
          <w:sz w:val="20"/>
          <w:szCs w:val="20"/>
          <w:color w:val="auto"/>
        </w:rPr>
      </w:pPr>
      <w:r>
        <w:rPr>
          <w:rFonts w:ascii="Arial" w:cs="Arial" w:eastAsia="Arial" w:hAnsi="Arial"/>
          <w:sz w:val="18"/>
          <w:szCs w:val="18"/>
          <w:color w:val="auto"/>
        </w:rPr>
        <w:t>SIGNATURE</w:t>
      </w:r>
    </w:p>
    <w:p>
      <w:pPr>
        <w:spacing w:after="0" w:line="185"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BRADY CORPORATION</w:t>
      </w:r>
    </w:p>
    <w:p>
      <w:pPr>
        <w:spacing w:after="0" w:line="198"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February 24, 2009</w:t>
      </w:r>
      <w:r>
        <w:rPr>
          <w:sz w:val="20"/>
          <w:szCs w:val="20"/>
          <w:color w:val="auto"/>
        </w:rPr>
        <w:tab/>
      </w:r>
      <w:r>
        <w:rPr>
          <w:rFonts w:ascii="Arial" w:cs="Arial" w:eastAsia="Arial" w:hAnsi="Arial"/>
          <w:sz w:val="17"/>
          <w:szCs w:val="17"/>
          <w:color w:val="auto"/>
        </w:rPr>
        <w:t>/s/ Thomas J.Felmer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-1905</wp:posOffset>
            </wp:positionV>
            <wp:extent cx="268414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ind w:left="5720"/>
        <w:spacing w:after="0"/>
        <w:rPr>
          <w:sz w:val="20"/>
          <w:szCs w:val="20"/>
          <w:color w:val="auto"/>
        </w:rPr>
      </w:pPr>
      <w:r>
        <w:rPr>
          <w:rFonts w:ascii="Arial" w:cs="Arial" w:eastAsia="Arial" w:hAnsi="Arial"/>
          <w:sz w:val="18"/>
          <w:szCs w:val="18"/>
          <w:color w:val="auto"/>
        </w:rPr>
        <w:t>Thomas J. Felmer</w:t>
      </w:r>
    </w:p>
    <w:p>
      <w:pPr>
        <w:ind w:left="5720"/>
        <w:spacing w:after="0" w:line="234" w:lineRule="auto"/>
        <w:rPr>
          <w:sz w:val="20"/>
          <w:szCs w:val="20"/>
          <w:color w:val="auto"/>
        </w:rPr>
      </w:pPr>
      <w:r>
        <w:rPr>
          <w:rFonts w:ascii="Arial" w:cs="Arial" w:eastAsia="Arial" w:hAnsi="Arial"/>
          <w:sz w:val="18"/>
          <w:szCs w:val="18"/>
          <w:color w:val="auto"/>
        </w:rPr>
        <w:t>Senior Vice President &amp;</w:t>
      </w:r>
    </w:p>
    <w:p>
      <w:pPr>
        <w:spacing w:after="0" w:line="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00"/>
          </w:cols>
          <w:pgMar w:left="240" w:top="949" w:right="459" w:bottom="1440" w:gutter="0" w:footer="0" w:header="0"/>
        </w:sectPr>
      </w:pPr>
    </w:p>
    <w:bookmarkStart w:id="3" w:name="page4"/>
    <w:bookmarkEnd w:id="3"/>
    <w:p>
      <w:pPr>
        <w:jc w:val="center"/>
        <w:ind w:right="-359"/>
        <w:spacing w:after="0"/>
        <w:rPr>
          <w:sz w:val="20"/>
          <w:szCs w:val="20"/>
          <w:color w:val="auto"/>
        </w:rPr>
      </w:pPr>
      <w:r>
        <w:rPr>
          <w:rFonts w:ascii="Arial" w:cs="Arial" w:eastAsia="Arial" w:hAnsi="Arial"/>
          <w:sz w:val="18"/>
          <w:szCs w:val="18"/>
          <w:color w:val="auto"/>
        </w:rPr>
        <w:t>EXHIBIT INDEX</w:t>
      </w:r>
    </w:p>
    <w:p>
      <w:pPr>
        <w:spacing w:after="0" w:line="204" w:lineRule="exact"/>
        <w:rPr>
          <w:sz w:val="20"/>
          <w:szCs w:val="20"/>
          <w:color w:val="auto"/>
        </w:rPr>
      </w:pPr>
    </w:p>
    <w:p>
      <w:pPr>
        <w:spacing w:after="0"/>
        <w:tabs>
          <w:tab w:leader="none" w:pos="5480" w:val="left"/>
        </w:tabs>
        <w:rPr>
          <w:sz w:val="20"/>
          <w:szCs w:val="20"/>
          <w:color w:val="auto"/>
        </w:rPr>
      </w:pPr>
      <w:r>
        <w:rPr>
          <w:rFonts w:ascii="Arial" w:cs="Arial" w:eastAsia="Arial" w:hAnsi="Arial"/>
          <w:sz w:val="14"/>
          <w:szCs w:val="14"/>
          <w:u w:val="single" w:color="auto"/>
          <w:color w:val="auto"/>
        </w:rPr>
        <w:t>Exhibit No.</w:t>
      </w:r>
      <w:r>
        <w:rPr>
          <w:sz w:val="20"/>
          <w:szCs w:val="20"/>
          <w:color w:val="auto"/>
        </w:rPr>
        <w:tab/>
      </w:r>
      <w:r>
        <w:rPr>
          <w:rFonts w:ascii="Arial" w:cs="Arial" w:eastAsia="Arial" w:hAnsi="Arial"/>
          <w:sz w:val="14"/>
          <w:szCs w:val="14"/>
          <w:color w:val="auto"/>
        </w:rPr>
        <w:t>Description of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-1905</wp:posOffset>
            </wp:positionV>
            <wp:extent cx="66636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pacing w:after="0" w:line="110" w:lineRule="exact"/>
        <w:rPr>
          <w:sz w:val="20"/>
          <w:szCs w:val="20"/>
          <w:color w:val="auto"/>
        </w:rPr>
      </w:pPr>
    </w:p>
    <w:p>
      <w:pPr>
        <w:ind w:left="920" w:hanging="741"/>
        <w:spacing w:after="0" w:line="246" w:lineRule="auto"/>
        <w:tabs>
          <w:tab w:leader="none" w:pos="9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8"/>
          <w:szCs w:val="18"/>
          <w:color w:val="auto"/>
        </w:rPr>
        <w:t>Press Release of Brady Corporation, dated February 20, 2009, relating to the Corporation’s fiscal 2009 second quarter financial results</w:t>
      </w:r>
    </w:p>
    <w:p>
      <w:pPr>
        <w:sectPr>
          <w:pgSz w:w="11900" w:h="16838" w:orient="portrait"/>
          <w:cols w:equalWidth="0" w:num="1">
            <w:col w:w="11060"/>
          </w:cols>
          <w:pgMar w:left="240" w:top="1341" w:right="59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 More Information:</w:t>
      </w:r>
    </w:p>
    <w:p>
      <w:pPr>
        <w:spacing w:after="0" w:line="234" w:lineRule="auto"/>
        <w:rPr>
          <w:sz w:val="20"/>
          <w:szCs w:val="20"/>
          <w:color w:val="auto"/>
        </w:rPr>
      </w:pPr>
      <w:r>
        <w:rPr>
          <w:rFonts w:ascii="Arial" w:cs="Arial" w:eastAsia="Arial" w:hAnsi="Arial"/>
          <w:sz w:val="18"/>
          <w:szCs w:val="18"/>
          <w:color w:val="auto"/>
        </w:rPr>
        <w:t>Investor contact: Barbara Bolens 414-438-6940</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Media contact: Carole Herbstreit 414-438-6882</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Brady Corporation reports fiscal 2009 second quarter results</w:t>
      </w:r>
    </w:p>
    <w:p>
      <w:pPr>
        <w:spacing w:after="0" w:line="193" w:lineRule="exact"/>
        <w:rPr>
          <w:sz w:val="20"/>
          <w:szCs w:val="20"/>
          <w:color w:val="auto"/>
        </w:rPr>
      </w:pPr>
    </w:p>
    <w:p>
      <w:pPr>
        <w:ind w:right="220"/>
        <w:spacing w:after="0" w:line="246" w:lineRule="auto"/>
        <w:rPr>
          <w:sz w:val="20"/>
          <w:szCs w:val="20"/>
          <w:color w:val="auto"/>
        </w:rPr>
      </w:pPr>
      <w:r>
        <w:rPr>
          <w:rFonts w:ascii="Arial" w:cs="Arial" w:eastAsia="Arial" w:hAnsi="Arial"/>
          <w:sz w:val="18"/>
          <w:szCs w:val="18"/>
          <w:color w:val="auto"/>
        </w:rPr>
        <w:t>MILWAUKEE (February 20, 2009)—Brady Corporation (NYSE: BRC), a world leader in identification solutions, reports sales and earnings for its fiscal 2009 second quarter ended January 31, 2009.</w:t>
      </w:r>
    </w:p>
    <w:p>
      <w:pPr>
        <w:spacing w:after="0" w:line="89" w:lineRule="exact"/>
        <w:rPr>
          <w:sz w:val="20"/>
          <w:szCs w:val="20"/>
          <w:color w:val="auto"/>
        </w:rPr>
      </w:pPr>
    </w:p>
    <w:p>
      <w:pPr>
        <w:ind w:right="240" w:firstLine="250"/>
        <w:spacing w:after="0"/>
        <w:rPr>
          <w:sz w:val="20"/>
          <w:szCs w:val="20"/>
          <w:color w:val="auto"/>
        </w:rPr>
      </w:pPr>
      <w:r>
        <w:rPr>
          <w:rFonts w:ascii="Arial" w:cs="Arial" w:eastAsia="Arial" w:hAnsi="Arial"/>
          <w:sz w:val="18"/>
          <w:szCs w:val="18"/>
          <w:color w:val="auto"/>
        </w:rPr>
        <w:t>Sales for the quarter were down 26.8 percent to $266.4 million compared to $ 364.1 million in the second quarter of fiscal 2008. Organic sales were down 20.8 percent, acquisitions contributed 0.2 percent to sales, and currency exchange had a negative impact of 6.2 percent on sales. By segment, total sales declined 21.5 percent in the Americas, 28.9 percent in Europe, and 33.7 percent in the Asia/Pacific region.</w:t>
      </w:r>
    </w:p>
    <w:p>
      <w:pPr>
        <w:spacing w:after="0" w:line="95" w:lineRule="exact"/>
        <w:rPr>
          <w:sz w:val="20"/>
          <w:szCs w:val="20"/>
          <w:color w:val="auto"/>
        </w:rPr>
      </w:pPr>
    </w:p>
    <w:p>
      <w:pPr>
        <w:jc w:val="both"/>
        <w:ind w:right="480" w:firstLine="250"/>
        <w:spacing w:after="0"/>
        <w:rPr>
          <w:sz w:val="20"/>
          <w:szCs w:val="20"/>
          <w:color w:val="auto"/>
        </w:rPr>
      </w:pPr>
      <w:r>
        <w:rPr>
          <w:rFonts w:ascii="Arial" w:cs="Arial" w:eastAsia="Arial" w:hAnsi="Arial"/>
          <w:sz w:val="18"/>
          <w:szCs w:val="18"/>
          <w:color w:val="auto"/>
        </w:rPr>
        <w:t>Net loss for the quarter was $4.2 million compared to net income of $26.7 million in the fiscal 2008 second quarter. Net loss per diluted Class A Common share was $0.08 in the quarter compared to earnings of $0.48 per share in the fiscal 2008 second quarter. 2009 results include after-tax restructuring charges of $14.0 million, or $0.27 per share.</w:t>
      </w:r>
    </w:p>
    <w:p>
      <w:pPr>
        <w:spacing w:after="0" w:line="95" w:lineRule="exact"/>
        <w:rPr>
          <w:sz w:val="20"/>
          <w:szCs w:val="20"/>
          <w:color w:val="auto"/>
        </w:rPr>
      </w:pPr>
    </w:p>
    <w:p>
      <w:pPr>
        <w:jc w:val="both"/>
        <w:ind w:right="40" w:firstLine="250"/>
        <w:spacing w:after="0" w:line="239" w:lineRule="auto"/>
        <w:rPr>
          <w:sz w:val="20"/>
          <w:szCs w:val="20"/>
          <w:color w:val="auto"/>
        </w:rPr>
      </w:pPr>
      <w:r>
        <w:rPr>
          <w:rFonts w:ascii="Arial" w:cs="Arial" w:eastAsia="Arial" w:hAnsi="Arial"/>
          <w:sz w:val="18"/>
          <w:szCs w:val="18"/>
          <w:color w:val="auto"/>
        </w:rPr>
        <w:t>Sales for the six months ended January 31, 2009 declined 13.4 percent to $644.8 million compared to $ 744.3 million in the same period last year. Net income for the first six months of fiscal 2009 was down 47.7 percent to $33.0 million compared to $63.1 million for the same period in fiscal 2008. Six-month earnings per diluted Class A Common share were down 45.6 percent to $0.62 compared to $1.14 in fiscal 2008. Results include after-tax restructuring charges of $15.2 million or $0.28 per share for the six-month period.</w:t>
      </w:r>
    </w:p>
    <w:p>
      <w:pPr>
        <w:spacing w:after="0" w:line="94" w:lineRule="exact"/>
        <w:rPr>
          <w:sz w:val="20"/>
          <w:szCs w:val="20"/>
          <w:color w:val="auto"/>
        </w:rPr>
      </w:pPr>
    </w:p>
    <w:p>
      <w:pPr>
        <w:ind w:right="20" w:firstLine="250"/>
        <w:spacing w:after="0" w:line="234" w:lineRule="auto"/>
        <w:rPr>
          <w:sz w:val="20"/>
          <w:szCs w:val="20"/>
          <w:color w:val="auto"/>
        </w:rPr>
      </w:pPr>
      <w:r>
        <w:rPr>
          <w:rFonts w:ascii="Arial" w:cs="Arial" w:eastAsia="Arial" w:hAnsi="Arial"/>
          <w:sz w:val="18"/>
          <w:szCs w:val="18"/>
          <w:color w:val="auto"/>
        </w:rPr>
        <w:t>“The rapidly weakening economy and a strengthening dollar, coupled with many customers taking extended shut-downs during the various global holidays, as well as inventory reduction efforts by both our customers and our channel partners, made this a very tough quarter for us,” said Brady President and CEO Frank M. Jaehnert. “As previously announced, we implemented cost-control measures in December, including a 10 percent workforce reduction and significant reduction of discretionary spending. We further reduced costs by eliminating an additional</w:t>
      </w:r>
    </w:p>
    <w:p>
      <w:pPr>
        <w:spacing w:after="0" w:line="3" w:lineRule="exact"/>
        <w:rPr>
          <w:sz w:val="20"/>
          <w:szCs w:val="20"/>
          <w:color w:val="auto"/>
        </w:rPr>
      </w:pPr>
    </w:p>
    <w:p>
      <w:pPr>
        <w:ind w:right="500"/>
        <w:spacing w:after="0"/>
        <w:rPr>
          <w:sz w:val="20"/>
          <w:szCs w:val="20"/>
          <w:color w:val="auto"/>
        </w:rPr>
      </w:pPr>
      <w:r>
        <w:rPr>
          <w:rFonts w:ascii="Arial" w:cs="Arial" w:eastAsia="Arial" w:hAnsi="Arial"/>
          <w:sz w:val="18"/>
          <w:szCs w:val="18"/>
          <w:color w:val="auto"/>
        </w:rPr>
        <w:t>10 percent of our workforce through a reduction in contract labor. These early and swift actions allowed us to significantly reduce our cost structure, albeit not at the same rate as the rapid decline in sales. We are closely monitoring business conditions and are ready to take additional action if needed.”</w:t>
      </w:r>
    </w:p>
    <w:p>
      <w:pPr>
        <w:spacing w:after="0" w:line="95" w:lineRule="exact"/>
        <w:rPr>
          <w:sz w:val="20"/>
          <w:szCs w:val="20"/>
          <w:color w:val="auto"/>
        </w:rPr>
      </w:pPr>
    </w:p>
    <w:p>
      <w:pPr>
        <w:ind w:right="20" w:firstLine="250"/>
        <w:spacing w:after="0" w:line="237" w:lineRule="auto"/>
        <w:rPr>
          <w:sz w:val="20"/>
          <w:szCs w:val="20"/>
          <w:color w:val="auto"/>
        </w:rPr>
      </w:pPr>
      <w:r>
        <w:rPr>
          <w:rFonts w:ascii="Arial" w:cs="Arial" w:eastAsia="Arial" w:hAnsi="Arial"/>
          <w:sz w:val="18"/>
          <w:szCs w:val="18"/>
          <w:color w:val="auto"/>
        </w:rPr>
        <w:t>“We continue to aggressively manage our expenses and working capital, and our financial position remains strong. In the quarter we saw an increase in cash bringing our total cash balance to $185 million,” said Brady Chief Financial Officer Thomas J. Felmer. “Based on current economic conditions and currency exchange rates, we are reducing our net income guidance to between $65 and $75 million, from $75 to $85 million, including after-tax restructuring charges of approximately $ 20 million. We are reducing earnings per diluted share guidance to between $1.23 and $1.42, from $1.40 to $1.59. Excluding restructuring charges, we expect net income of between $85 and $95 million, down from $95 to $105 million; and earnings per diluted share of between $1.61 and $1.80, down from $1.78 to $1.97.”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377190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 w:name="page6"/>
    <w:bookmarkEnd w:id="5"/>
    <w:p>
      <w:pPr>
        <w:ind w:right="460" w:firstLine="240"/>
        <w:spacing w:after="0" w:line="246" w:lineRule="auto"/>
        <w:rPr>
          <w:sz w:val="20"/>
          <w:szCs w:val="20"/>
          <w:color w:val="auto"/>
        </w:rPr>
      </w:pPr>
      <w:r>
        <w:rPr>
          <w:rFonts w:ascii="Arial" w:cs="Arial" w:eastAsia="Arial" w:hAnsi="Arial"/>
          <w:sz w:val="18"/>
          <w:szCs w:val="18"/>
          <w:color w:val="auto"/>
        </w:rPr>
        <w:t>A webcast regarding fiscal 2009 second quarter results will be available at www.investor.bradycorp.com beginning at 9:30 a.m. Central Standard Time today.</w:t>
      </w:r>
    </w:p>
    <w:p>
      <w:pPr>
        <w:spacing w:after="0" w:line="89" w:lineRule="exact"/>
        <w:rPr>
          <w:sz w:val="20"/>
          <w:szCs w:val="20"/>
          <w:color w:val="auto"/>
        </w:rPr>
      </w:pPr>
    </w:p>
    <w:p>
      <w:pPr>
        <w:ind w:right="360" w:firstLine="250"/>
        <w:spacing w:after="0" w:line="238" w:lineRule="auto"/>
        <w:rPr>
          <w:sz w:val="20"/>
          <w:szCs w:val="20"/>
          <w:color w:val="auto"/>
        </w:rPr>
      </w:pPr>
      <w:r>
        <w:rPr>
          <w:rFonts w:ascii="Arial" w:cs="Arial" w:eastAsia="Arial" w:hAnsi="Arial"/>
          <w:sz w:val="18"/>
          <w:szCs w:val="18"/>
          <w:color w:val="auto"/>
        </w:rPr>
        <w:t>Brady Corporation is an international manufacturer and marketer of complete solutions that identify and protect premises, products and people. Its products help customers increase safety, security, productivity and performance and include high-performance labels and signs, safety devices, printing systems and software, and precision die-cut materials. Founded in 1914, the company has more than 500,000 customers in electronics, telecommunications, manufacturing, electrical, construction, education, medical and a variety of other industries. Brady is headquartered in Milwaukee and employs about 7,000 people at operations in the Americas, Europe and Asia/Pacific.</w:t>
      </w:r>
    </w:p>
    <w:p>
      <w:pPr>
        <w:spacing w:after="0" w:line="9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 xml:space="preserve">More information is available on the Internet at </w:t>
      </w:r>
      <w:r>
        <w:rPr>
          <w:rFonts w:ascii="Arial" w:cs="Arial" w:eastAsia="Arial" w:hAnsi="Arial"/>
          <w:sz w:val="18"/>
          <w:szCs w:val="18"/>
          <w:u w:val="single" w:color="auto"/>
          <w:color w:val="auto"/>
        </w:rPr>
        <w:t>www.bradycorp.com</w:t>
      </w:r>
      <w:r>
        <w:rPr>
          <w:rFonts w:ascii="Arial" w:cs="Arial" w:eastAsia="Arial" w:hAnsi="Arial"/>
          <w:sz w:val="18"/>
          <w:szCs w:val="18"/>
          <w:color w:val="auto"/>
        </w:rPr>
        <w:t>.</w:t>
      </w: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pacing w:after="0" w:line="185" w:lineRule="exact"/>
        <w:rPr>
          <w:sz w:val="20"/>
          <w:szCs w:val="20"/>
          <w:color w:val="auto"/>
        </w:rPr>
      </w:pPr>
    </w:p>
    <w:p>
      <w:pPr>
        <w:spacing w:after="0" w:line="250" w:lineRule="auto"/>
        <w:rPr>
          <w:sz w:val="20"/>
          <w:szCs w:val="20"/>
          <w:color w:val="auto"/>
        </w:rPr>
      </w:pPr>
      <w:r>
        <w:rPr>
          <w:rFonts w:ascii="Arial" w:cs="Arial" w:eastAsia="Arial" w:hAnsi="Arial"/>
          <w:sz w:val="17"/>
          <w:szCs w:val="17"/>
          <w:color w:val="auto"/>
        </w:rPr>
        <w:t>Brady believes that certain statements in this news release are “forward-looking statements” within the meaning of the Private Securities Litigation Reform Act of 1995. All statements related to future, not past, events included in this news release, including, without limitation, statements regarding Brady’s future financial position, business strategy, targets, projected sales, costs, earnings, capital expenditures, debt levels and cash flows, and plans and objectives of management for future operations are forward-looking statements. When used in this news release, words such as “may,” “will,” “expect,” “intend,” “estimate,” “anticipate,” “believe,” “should,” “project” or “plan” or similar terminology are generally intended to identify forward-looking statements. These forward-looking statements by their nature address matters that are, to different degrees, uncertain and are subject to risks, assumptions and other factors, some of which are beyond Brady’s control, that could cause actual results to differ materially from those expressed or implied by such forward-looking statements. For Brady, uncertainties arise from future financial performance of major markets Brady serves, which include, without limitation, telecommunications, manufacturing, electrical, construction, laboratory, education, governmental, public utility, computer, transportation; difficulties in making and integrating acquisitions; risks associated with newly acquired businesses; Brady’s ability to retain significant contracts and customers; future competition; Brady’s ability to develop and successfully market new products; changes in the supply of, or price for, parts and components; increased price pressure from suppliers and customers; interruptions to sources of supply; environmental, health and safety compliance costs and liabilities; Brady’s ability to realize cost savings from operating initiatives; Brady’s ability to attract and retain key talent; difficulties associated with exports; risks associated with international operations; fluctuations in currency rates versus the US dollar; technology changes; potential write-offs of Brady’s substantial intangible assets; risks associated with obtaining governmental approvals and maintaining regulatory compliance for new and existing products; business interruptions due to implementing business systems; and numerous other matters of national, regional and global scale, including those of a political, economic, business, competitive and regulatory nature contained from time to time in Brady’s U.S. Securities and Exchange Commission filings, including, but not limited to, those factors listed in the “Risk Factors” section located in Item 1A of Part II of Brady’s Annual Report on Form 10-K for the period ended July 31, 2008. These uncertainties may cause Brady’s actual future results to be materially different than those expressed in its forward-looking statements. Brady does not undertake to update its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491490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49" w:right="25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BRADY CORPORATION AND SUBSIDIARIES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(Unaudited)</w:t>
            </w:r>
          </w:p>
        </w:tc>
        <w:tc>
          <w:tcPr>
            <w:tcW w:w="6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3380" w:type="dxa"/>
            <w:vAlign w:val="bottom"/>
            <w:tcBorders>
              <w:bottom w:val="single" w:sz="8" w:color="auto"/>
            </w:tcBorders>
            <w:gridSpan w:val="6"/>
          </w:tcPr>
          <w:p>
            <w:pPr>
              <w:jc w:val="right"/>
              <w:ind w:right="592"/>
              <w:spacing w:after="0" w:line="155" w:lineRule="exact"/>
              <w:rPr>
                <w:sz w:val="20"/>
                <w:szCs w:val="20"/>
                <w:color w:val="auto"/>
              </w:rPr>
            </w:pPr>
            <w:r>
              <w:rPr>
                <w:rFonts w:ascii="Arial" w:cs="Arial" w:eastAsia="Arial" w:hAnsi="Arial"/>
                <w:sz w:val="14"/>
                <w:szCs w:val="14"/>
                <w:color w:val="auto"/>
              </w:rPr>
              <w:t>Three Months Ended January 31,</w:t>
            </w:r>
          </w:p>
        </w:tc>
        <w:tc>
          <w:tcPr>
            <w:tcW w:w="6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640" w:type="dxa"/>
            <w:vAlign w:val="bottom"/>
            <w:tcBorders>
              <w:bottom w:val="single" w:sz="8" w:color="auto"/>
            </w:tcBorders>
            <w:gridSpan w:val="6"/>
          </w:tcPr>
          <w:p>
            <w:pPr>
              <w:jc w:val="center"/>
              <w:ind w:left="551"/>
              <w:spacing w:after="0" w:line="155" w:lineRule="exact"/>
              <w:rPr>
                <w:sz w:val="20"/>
                <w:szCs w:val="20"/>
                <w:color w:val="auto"/>
              </w:rPr>
            </w:pPr>
            <w:r>
              <w:rPr>
                <w:rFonts w:ascii="Arial" w:cs="Arial" w:eastAsia="Arial" w:hAnsi="Arial"/>
                <w:sz w:val="14"/>
                <w:szCs w:val="14"/>
                <w:color w:val="auto"/>
              </w:rPr>
              <w:t>Six Months Ended January 31,</w:t>
            </w:r>
          </w:p>
        </w:tc>
        <w:tc>
          <w:tcPr>
            <w:tcW w:w="74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4"/>
                <w:szCs w:val="14"/>
                <w:color w:val="auto"/>
              </w:rPr>
              <w:t>Percentage</w:t>
            </w: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Percentage</w:t>
            </w:r>
          </w:p>
        </w:tc>
        <w:tc>
          <w:tcPr>
            <w:tcW w:w="0" w:type="dxa"/>
            <w:vAlign w:val="bottom"/>
          </w:tcPr>
          <w:p>
            <w:pPr>
              <w:spacing w:after="0"/>
              <w:rPr>
                <w:sz w:val="1"/>
                <w:szCs w:val="1"/>
                <w:color w:val="auto"/>
              </w:rPr>
            </w:pPr>
          </w:p>
        </w:tc>
      </w:tr>
      <w:tr>
        <w:trPr>
          <w:trHeight w:val="157"/>
        </w:trPr>
        <w:tc>
          <w:tcPr>
            <w:tcW w:w="3300" w:type="dxa"/>
            <w:vAlign w:val="bottom"/>
            <w:gridSpan w:val="2"/>
          </w:tcPr>
          <w:p>
            <w:pPr>
              <w:spacing w:after="0" w:line="157" w:lineRule="exact"/>
              <w:rPr>
                <w:sz w:val="20"/>
                <w:szCs w:val="20"/>
                <w:color w:val="auto"/>
              </w:rPr>
            </w:pPr>
            <w:r>
              <w:rPr>
                <w:rFonts w:ascii="Arial" w:cs="Arial" w:eastAsia="Arial" w:hAnsi="Arial"/>
                <w:sz w:val="14"/>
                <w:szCs w:val="14"/>
                <w:color w:val="auto"/>
              </w:rPr>
              <w:t>(Dollars in Thousands)</w:t>
            </w:r>
          </w:p>
        </w:tc>
        <w:tc>
          <w:tcPr>
            <w:tcW w:w="3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31"/>
              <w:spacing w:after="0" w:line="157" w:lineRule="exact"/>
              <w:rPr>
                <w:sz w:val="20"/>
                <w:szCs w:val="20"/>
                <w:color w:val="auto"/>
              </w:rPr>
            </w:pPr>
            <w:r>
              <w:rPr>
                <w:rFonts w:ascii="Arial" w:cs="Arial" w:eastAsia="Arial" w:hAnsi="Arial"/>
                <w:sz w:val="14"/>
                <w:szCs w:val="14"/>
                <w:color w:val="auto"/>
              </w:rPr>
              <w:t>2009</w:t>
            </w:r>
          </w:p>
        </w:tc>
        <w:tc>
          <w:tcPr>
            <w:tcW w:w="6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51"/>
              <w:spacing w:after="0" w:line="157" w:lineRule="exact"/>
              <w:rPr>
                <w:sz w:val="20"/>
                <w:szCs w:val="20"/>
                <w:color w:val="auto"/>
              </w:rPr>
            </w:pPr>
            <w:r>
              <w:rPr>
                <w:rFonts w:ascii="Arial" w:cs="Arial" w:eastAsia="Arial" w:hAnsi="Arial"/>
                <w:sz w:val="14"/>
                <w:szCs w:val="14"/>
                <w:color w:val="auto"/>
              </w:rPr>
              <w:t>2008</w:t>
            </w:r>
          </w:p>
        </w:tc>
        <w:tc>
          <w:tcPr>
            <w:tcW w:w="600" w:type="dxa"/>
            <w:vAlign w:val="bottom"/>
          </w:tcPr>
          <w:p>
            <w:pPr>
              <w:spacing w:after="0"/>
              <w:rPr>
                <w:sz w:val="13"/>
                <w:szCs w:val="13"/>
                <w:color w:val="auto"/>
              </w:rPr>
            </w:pPr>
          </w:p>
        </w:tc>
        <w:tc>
          <w:tcPr>
            <w:tcW w:w="740" w:type="dxa"/>
            <w:vAlign w:val="bottom"/>
            <w:tcBorders>
              <w:bottom w:val="single" w:sz="8" w:color="auto"/>
            </w:tcBorders>
          </w:tcPr>
          <w:p>
            <w:pPr>
              <w:jc w:val="right"/>
              <w:ind w:right="32"/>
              <w:spacing w:after="0" w:line="157" w:lineRule="exact"/>
              <w:rPr>
                <w:sz w:val="20"/>
                <w:szCs w:val="20"/>
                <w:color w:val="auto"/>
              </w:rPr>
            </w:pPr>
            <w:r>
              <w:rPr>
                <w:rFonts w:ascii="Arial" w:cs="Arial" w:eastAsia="Arial" w:hAnsi="Arial"/>
                <w:sz w:val="14"/>
                <w:szCs w:val="14"/>
                <w:color w:val="auto"/>
              </w:rPr>
              <w:t>Change</w:t>
            </w:r>
          </w:p>
        </w:tc>
        <w:tc>
          <w:tcPr>
            <w:tcW w:w="6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31"/>
              <w:spacing w:after="0" w:line="157" w:lineRule="exact"/>
              <w:rPr>
                <w:sz w:val="20"/>
                <w:szCs w:val="20"/>
                <w:color w:val="auto"/>
              </w:rPr>
            </w:pPr>
            <w:r>
              <w:rPr>
                <w:rFonts w:ascii="Arial" w:cs="Arial" w:eastAsia="Arial" w:hAnsi="Arial"/>
                <w:sz w:val="14"/>
                <w:szCs w:val="14"/>
                <w:color w:val="auto"/>
              </w:rPr>
              <w:t>2009</w:t>
            </w: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31"/>
              <w:spacing w:after="0" w:line="157" w:lineRule="exact"/>
              <w:rPr>
                <w:sz w:val="20"/>
                <w:szCs w:val="20"/>
                <w:color w:val="auto"/>
              </w:rPr>
            </w:pPr>
            <w:r>
              <w:rPr>
                <w:rFonts w:ascii="Arial" w:cs="Arial" w:eastAsia="Arial" w:hAnsi="Arial"/>
                <w:sz w:val="14"/>
                <w:szCs w:val="14"/>
                <w:color w:val="auto"/>
              </w:rPr>
              <w:t>2008</w:t>
            </w:r>
          </w:p>
        </w:tc>
        <w:tc>
          <w:tcPr>
            <w:tcW w:w="600" w:type="dxa"/>
            <w:vAlign w:val="bottom"/>
          </w:tcPr>
          <w:p>
            <w:pPr>
              <w:spacing w:after="0"/>
              <w:rPr>
                <w:sz w:val="13"/>
                <w:szCs w:val="13"/>
                <w:color w:val="auto"/>
              </w:rPr>
            </w:pPr>
          </w:p>
        </w:tc>
        <w:tc>
          <w:tcPr>
            <w:tcW w:w="740" w:type="dxa"/>
            <w:vAlign w:val="bottom"/>
            <w:tcBorders>
              <w:bottom w:val="single" w:sz="8" w:color="auto"/>
            </w:tcBorders>
          </w:tcPr>
          <w:p>
            <w:pPr>
              <w:jc w:val="right"/>
              <w:ind w:right="32"/>
              <w:spacing w:after="0" w:line="157" w:lineRule="exact"/>
              <w:rPr>
                <w:sz w:val="20"/>
                <w:szCs w:val="20"/>
                <w:color w:val="auto"/>
              </w:rPr>
            </w:pPr>
            <w:r>
              <w:rPr>
                <w:rFonts w:ascii="Arial" w:cs="Arial" w:eastAsia="Arial" w:hAnsi="Arial"/>
                <w:sz w:val="14"/>
                <w:szCs w:val="14"/>
                <w:color w:val="auto"/>
              </w:rPr>
              <w:t>Change</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sales</w:t>
            </w:r>
          </w:p>
        </w:tc>
        <w:tc>
          <w:tcPr>
            <w:tcW w:w="44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00"/>
              <w:spacing w:after="0" w:line="196" w:lineRule="exact"/>
              <w:rPr>
                <w:sz w:val="20"/>
                <w:szCs w:val="20"/>
                <w:color w:val="auto"/>
              </w:rPr>
            </w:pPr>
            <w:r>
              <w:rPr>
                <w:rFonts w:ascii="Arial" w:cs="Arial" w:eastAsia="Arial" w:hAnsi="Arial"/>
                <w:sz w:val="18"/>
                <w:szCs w:val="18"/>
                <w:color w:val="auto"/>
                <w:w w:val="98"/>
              </w:rPr>
              <w:t>266,449</w:t>
            </w:r>
          </w:p>
        </w:tc>
        <w:tc>
          <w:tcPr>
            <w:tcW w:w="1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600"/>
              <w:spacing w:after="0" w:line="196" w:lineRule="exact"/>
              <w:rPr>
                <w:sz w:val="20"/>
                <w:szCs w:val="20"/>
                <w:color w:val="auto"/>
              </w:rPr>
            </w:pPr>
            <w:r>
              <w:rPr>
                <w:rFonts w:ascii="Arial" w:cs="Arial" w:eastAsia="Arial" w:hAnsi="Arial"/>
                <w:sz w:val="18"/>
                <w:szCs w:val="18"/>
                <w:color w:val="auto"/>
                <w:w w:val="98"/>
              </w:rPr>
              <w:t>364,124</w:t>
            </w:r>
          </w:p>
        </w:tc>
        <w:tc>
          <w:tcPr>
            <w:tcW w:w="1400" w:type="dxa"/>
            <w:vAlign w:val="bottom"/>
            <w:gridSpan w:val="2"/>
            <w:shd w:val="clear" w:color="auto" w:fill="CCEEFF"/>
          </w:tcPr>
          <w:p>
            <w:pPr>
              <w:jc w:val="right"/>
              <w:ind w:right="500"/>
              <w:spacing w:after="0" w:line="196" w:lineRule="exact"/>
              <w:rPr>
                <w:sz w:val="20"/>
                <w:szCs w:val="20"/>
                <w:color w:val="auto"/>
              </w:rPr>
            </w:pPr>
            <w:r>
              <w:rPr>
                <w:rFonts w:ascii="Arial" w:cs="Arial" w:eastAsia="Arial" w:hAnsi="Arial"/>
                <w:sz w:val="18"/>
                <w:szCs w:val="18"/>
                <w:color w:val="auto"/>
              </w:rPr>
              <w:t>-26.8%</w:t>
            </w: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340"/>
              <w:spacing w:after="0" w:line="196" w:lineRule="exact"/>
              <w:rPr>
                <w:sz w:val="20"/>
                <w:szCs w:val="20"/>
                <w:color w:val="auto"/>
              </w:rPr>
            </w:pPr>
            <w:r>
              <w:rPr>
                <w:rFonts w:ascii="Arial" w:cs="Arial" w:eastAsia="Arial" w:hAnsi="Arial"/>
                <w:sz w:val="18"/>
                <w:szCs w:val="18"/>
                <w:color w:val="auto"/>
                <w:w w:val="98"/>
              </w:rPr>
              <w:t>644,766</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600"/>
              <w:spacing w:after="0" w:line="196" w:lineRule="exact"/>
              <w:rPr>
                <w:sz w:val="20"/>
                <w:szCs w:val="20"/>
                <w:color w:val="auto"/>
              </w:rPr>
            </w:pPr>
            <w:r>
              <w:rPr>
                <w:rFonts w:ascii="Arial" w:cs="Arial" w:eastAsia="Arial" w:hAnsi="Arial"/>
                <w:sz w:val="18"/>
                <w:szCs w:val="18"/>
                <w:color w:val="auto"/>
                <w:w w:val="98"/>
              </w:rPr>
              <w:t>744,258</w:t>
            </w:r>
          </w:p>
        </w:tc>
        <w:tc>
          <w:tcPr>
            <w:tcW w:w="9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80" w:type="dxa"/>
            <w:vAlign w:val="bottom"/>
          </w:tcPr>
          <w:p>
            <w:pPr>
              <w:spacing w:after="0" w:line="202" w:lineRule="exact"/>
              <w:rPr>
                <w:sz w:val="20"/>
                <w:szCs w:val="20"/>
                <w:color w:val="auto"/>
              </w:rPr>
            </w:pPr>
            <w:r>
              <w:rPr>
                <w:rFonts w:ascii="Arial" w:cs="Arial" w:eastAsia="Arial" w:hAnsi="Arial"/>
                <w:sz w:val="18"/>
                <w:szCs w:val="18"/>
                <w:color w:val="auto"/>
              </w:rPr>
              <w:t>Cost of products sold</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w w:val="98"/>
              </w:rPr>
              <w:t>140,307</w:t>
            </w: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w w:val="98"/>
              </w:rPr>
              <w:t>189,101</w:t>
            </w:r>
          </w:p>
        </w:tc>
        <w:tc>
          <w:tcPr>
            <w:tcW w:w="600" w:type="dxa"/>
            <w:vAlign w:val="bottom"/>
          </w:tcPr>
          <w:p>
            <w:pPr>
              <w:spacing w:after="0"/>
              <w:rPr>
                <w:sz w:val="17"/>
                <w:szCs w:val="17"/>
                <w:color w:val="auto"/>
              </w:rPr>
            </w:pPr>
          </w:p>
        </w:tc>
        <w:tc>
          <w:tcPr>
            <w:tcW w:w="140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rPr>
              <w:t>-25.8%</w:t>
            </w:r>
          </w:p>
        </w:tc>
        <w:tc>
          <w:tcPr>
            <w:tcW w:w="100" w:type="dxa"/>
            <w:vAlign w:val="bottom"/>
          </w:tcPr>
          <w:p>
            <w:pPr>
              <w:spacing w:after="0"/>
              <w:rPr>
                <w:sz w:val="17"/>
                <w:szCs w:val="17"/>
                <w:color w:val="auto"/>
              </w:rPr>
            </w:pPr>
          </w:p>
        </w:tc>
        <w:tc>
          <w:tcPr>
            <w:tcW w:w="100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w w:val="98"/>
              </w:rPr>
              <w:t>337,478</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right"/>
              <w:ind w:right="600"/>
              <w:spacing w:after="0" w:line="202" w:lineRule="exact"/>
              <w:rPr>
                <w:sz w:val="20"/>
                <w:szCs w:val="20"/>
                <w:color w:val="auto"/>
              </w:rPr>
            </w:pPr>
            <w:r>
              <w:rPr>
                <w:rFonts w:ascii="Arial" w:cs="Arial" w:eastAsia="Arial" w:hAnsi="Arial"/>
                <w:sz w:val="18"/>
                <w:szCs w:val="18"/>
                <w:color w:val="auto"/>
                <w:w w:val="98"/>
              </w:rPr>
              <w:t>381,567</w:t>
            </w:r>
          </w:p>
        </w:tc>
        <w:tc>
          <w:tcPr>
            <w:tcW w:w="9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7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2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Gross margin</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126,142</w:t>
            </w: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175,023</w:t>
            </w:r>
          </w:p>
        </w:tc>
        <w:tc>
          <w:tcPr>
            <w:tcW w:w="60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-27.9%</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w w:val="98"/>
              </w:rPr>
              <w:t>307,288</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w w:val="98"/>
              </w:rPr>
              <w:t>362,691</w:t>
            </w:r>
          </w:p>
        </w:tc>
        <w:tc>
          <w:tcPr>
            <w:tcW w:w="9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405"/>
        </w:trPr>
        <w:tc>
          <w:tcPr>
            <w:tcW w:w="330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Research and development</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8,503</w:t>
            </w:r>
          </w:p>
        </w:tc>
        <w:tc>
          <w:tcPr>
            <w:tcW w:w="1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10,071</w:t>
            </w:r>
          </w:p>
        </w:tc>
        <w:tc>
          <w:tcPr>
            <w:tcW w:w="140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-15.6%</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17,559</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19,050</w:t>
            </w:r>
          </w:p>
        </w:tc>
        <w:tc>
          <w:tcPr>
            <w:tcW w:w="9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80" w:type="dxa"/>
            <w:vAlign w:val="bottom"/>
          </w:tcPr>
          <w:p>
            <w:pPr>
              <w:ind w:left="200"/>
              <w:spacing w:after="0" w:line="202" w:lineRule="exact"/>
              <w:rPr>
                <w:sz w:val="20"/>
                <w:szCs w:val="20"/>
                <w:color w:val="auto"/>
              </w:rPr>
            </w:pPr>
            <w:r>
              <w:rPr>
                <w:rFonts w:ascii="Arial" w:cs="Arial" w:eastAsia="Arial" w:hAnsi="Arial"/>
                <w:sz w:val="18"/>
                <w:szCs w:val="18"/>
                <w:color w:val="auto"/>
              </w:rPr>
              <w:t>Selling, general and administrative</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right"/>
              <w:ind w:right="600"/>
              <w:spacing w:after="0" w:line="202" w:lineRule="exact"/>
              <w:rPr>
                <w:sz w:val="20"/>
                <w:szCs w:val="20"/>
                <w:color w:val="auto"/>
              </w:rPr>
            </w:pPr>
            <w:r>
              <w:rPr>
                <w:rFonts w:ascii="Arial" w:cs="Arial" w:eastAsia="Arial" w:hAnsi="Arial"/>
                <w:sz w:val="18"/>
                <w:szCs w:val="18"/>
                <w:color w:val="auto"/>
              </w:rPr>
              <w:t>93,613</w:t>
            </w:r>
          </w:p>
        </w:tc>
        <w:tc>
          <w:tcPr>
            <w:tcW w:w="120" w:type="dxa"/>
            <w:vAlign w:val="bottom"/>
          </w:tcPr>
          <w:p>
            <w:pPr>
              <w:spacing w:after="0"/>
              <w:rPr>
                <w:sz w:val="17"/>
                <w:szCs w:val="17"/>
                <w:color w:val="auto"/>
              </w:rPr>
            </w:pPr>
          </w:p>
        </w:tc>
        <w:tc>
          <w:tcPr>
            <w:tcW w:w="1260" w:type="dxa"/>
            <w:vAlign w:val="bottom"/>
            <w:gridSpan w:val="2"/>
          </w:tcPr>
          <w:p>
            <w:pPr>
              <w:jc w:val="right"/>
              <w:ind w:right="600"/>
              <w:spacing w:after="0" w:line="202" w:lineRule="exact"/>
              <w:rPr>
                <w:sz w:val="20"/>
                <w:szCs w:val="20"/>
                <w:color w:val="auto"/>
              </w:rPr>
            </w:pPr>
            <w:r>
              <w:rPr>
                <w:rFonts w:ascii="Arial" w:cs="Arial" w:eastAsia="Arial" w:hAnsi="Arial"/>
                <w:sz w:val="18"/>
                <w:szCs w:val="18"/>
                <w:color w:val="auto"/>
                <w:w w:val="98"/>
              </w:rPr>
              <w:t>122,508</w:t>
            </w:r>
          </w:p>
        </w:tc>
        <w:tc>
          <w:tcPr>
            <w:tcW w:w="140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rPr>
              <w:t>-23.6%</w:t>
            </w:r>
          </w:p>
        </w:tc>
        <w:tc>
          <w:tcPr>
            <w:tcW w:w="100" w:type="dxa"/>
            <w:vAlign w:val="bottom"/>
          </w:tcPr>
          <w:p>
            <w:pPr>
              <w:spacing w:after="0"/>
              <w:rPr>
                <w:sz w:val="17"/>
                <w:szCs w:val="17"/>
                <w:color w:val="auto"/>
              </w:rPr>
            </w:pPr>
          </w:p>
        </w:tc>
        <w:tc>
          <w:tcPr>
            <w:tcW w:w="100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w w:val="98"/>
              </w:rPr>
              <w:t>207,870</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right"/>
              <w:ind w:right="600"/>
              <w:spacing w:after="0" w:line="202" w:lineRule="exact"/>
              <w:rPr>
                <w:sz w:val="20"/>
                <w:szCs w:val="20"/>
                <w:color w:val="auto"/>
              </w:rPr>
            </w:pPr>
            <w:r>
              <w:rPr>
                <w:rFonts w:ascii="Arial" w:cs="Arial" w:eastAsia="Arial" w:hAnsi="Arial"/>
                <w:sz w:val="18"/>
                <w:szCs w:val="18"/>
                <w:color w:val="auto"/>
                <w:w w:val="98"/>
              </w:rPr>
              <w:t>242,859</w:t>
            </w:r>
          </w:p>
        </w:tc>
        <w:tc>
          <w:tcPr>
            <w:tcW w:w="9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Restructuring charge</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19,408</w:t>
            </w: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66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21,047</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3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30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121,524</w:t>
            </w: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132,579</w:t>
            </w:r>
          </w:p>
        </w:tc>
        <w:tc>
          <w:tcPr>
            <w:tcW w:w="600" w:type="dxa"/>
            <w:vAlign w:val="bottom"/>
          </w:tcPr>
          <w:p>
            <w:pPr>
              <w:spacing w:after="0"/>
              <w:rPr>
                <w:sz w:val="19"/>
                <w:szCs w:val="19"/>
                <w:color w:val="auto"/>
              </w:rPr>
            </w:pPr>
          </w:p>
        </w:tc>
        <w:tc>
          <w:tcPr>
            <w:tcW w:w="1400" w:type="dxa"/>
            <w:vAlign w:val="bottom"/>
            <w:gridSpan w:val="2"/>
          </w:tcPr>
          <w:p>
            <w:pPr>
              <w:jc w:val="right"/>
              <w:ind w:right="500"/>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19"/>
                <w:szCs w:val="19"/>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w w:val="98"/>
              </w:rPr>
              <w:t>246,476</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600"/>
              <w:spacing w:after="0"/>
              <w:rPr>
                <w:sz w:val="20"/>
                <w:szCs w:val="20"/>
                <w:color w:val="auto"/>
              </w:rPr>
            </w:pPr>
            <w:r>
              <w:rPr>
                <w:rFonts w:ascii="Arial" w:cs="Arial" w:eastAsia="Arial" w:hAnsi="Arial"/>
                <w:sz w:val="18"/>
                <w:szCs w:val="18"/>
                <w:color w:val="auto"/>
                <w:w w:val="98"/>
              </w:rPr>
              <w:t>261,909</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3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income</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4,618</w:t>
            </w:r>
          </w:p>
        </w:tc>
        <w:tc>
          <w:tcPr>
            <w:tcW w:w="1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42,444</w:t>
            </w:r>
          </w:p>
        </w:tc>
        <w:tc>
          <w:tcPr>
            <w:tcW w:w="140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-89.1%</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60,812</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w w:val="98"/>
              </w:rPr>
              <w:t>100,782</w:t>
            </w:r>
          </w:p>
        </w:tc>
        <w:tc>
          <w:tcPr>
            <w:tcW w:w="9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-39.7%</w:t>
            </w:r>
          </w:p>
        </w:tc>
        <w:tc>
          <w:tcPr>
            <w:tcW w:w="0" w:type="dxa"/>
            <w:vAlign w:val="bottom"/>
          </w:tcPr>
          <w:p>
            <w:pPr>
              <w:spacing w:after="0"/>
              <w:rPr>
                <w:sz w:val="1"/>
                <w:szCs w:val="1"/>
                <w:color w:val="auto"/>
              </w:rPr>
            </w:pPr>
          </w:p>
        </w:tc>
      </w:tr>
      <w:tr>
        <w:trPr>
          <w:trHeight w:val="405"/>
        </w:trPr>
        <w:tc>
          <w:tcPr>
            <w:tcW w:w="3300" w:type="dxa"/>
            <w:vAlign w:val="bottom"/>
            <w:gridSpan w:val="2"/>
          </w:tcPr>
          <w:p>
            <w:pPr>
              <w:spacing w:after="0"/>
              <w:rPr>
                <w:sz w:val="20"/>
                <w:szCs w:val="20"/>
                <w:color w:val="auto"/>
              </w:rPr>
            </w:pPr>
            <w:r>
              <w:rPr>
                <w:rFonts w:ascii="Arial" w:cs="Arial" w:eastAsia="Arial" w:hAnsi="Arial"/>
                <w:sz w:val="18"/>
                <w:szCs w:val="18"/>
                <w:color w:val="auto"/>
              </w:rPr>
              <w:t>Other income and (expense):</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8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Investment and other</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80" w:type="dxa"/>
            <w:vAlign w:val="bottom"/>
            <w:shd w:val="clear" w:color="auto" w:fill="CCEEFF"/>
          </w:tcPr>
          <w:p>
            <w:pPr>
              <w:ind w:left="400"/>
              <w:spacing w:after="0" w:line="203" w:lineRule="exact"/>
              <w:rPr>
                <w:sz w:val="20"/>
                <w:szCs w:val="20"/>
                <w:color w:val="auto"/>
              </w:rPr>
            </w:pPr>
            <w:r>
              <w:rPr>
                <w:rFonts w:ascii="Arial" w:cs="Arial" w:eastAsia="Arial" w:hAnsi="Arial"/>
                <w:sz w:val="18"/>
                <w:szCs w:val="18"/>
                <w:color w:val="auto"/>
              </w:rPr>
              <w:t>(expense) income</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540"/>
              <w:spacing w:after="0" w:line="203" w:lineRule="exact"/>
              <w:rPr>
                <w:sz w:val="20"/>
                <w:szCs w:val="20"/>
                <w:color w:val="auto"/>
              </w:rPr>
            </w:pPr>
            <w:r>
              <w:rPr>
                <w:rFonts w:ascii="Arial" w:cs="Arial" w:eastAsia="Arial" w:hAnsi="Arial"/>
                <w:sz w:val="18"/>
                <w:szCs w:val="18"/>
                <w:color w:val="auto"/>
              </w:rPr>
              <w:t>(1,698)</w:t>
            </w:r>
          </w:p>
        </w:tc>
        <w:tc>
          <w:tcPr>
            <w:tcW w:w="1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600"/>
              <w:spacing w:after="0" w:line="203" w:lineRule="exact"/>
              <w:rPr>
                <w:sz w:val="20"/>
                <w:szCs w:val="20"/>
                <w:color w:val="auto"/>
              </w:rPr>
            </w:pPr>
            <w:r>
              <w:rPr>
                <w:rFonts w:ascii="Arial" w:cs="Arial" w:eastAsia="Arial" w:hAnsi="Arial"/>
                <w:sz w:val="18"/>
                <w:szCs w:val="18"/>
                <w:color w:val="auto"/>
              </w:rPr>
              <w:t>2,269</w:t>
            </w:r>
          </w:p>
        </w:tc>
        <w:tc>
          <w:tcPr>
            <w:tcW w:w="1400" w:type="dxa"/>
            <w:vAlign w:val="bottom"/>
            <w:gridSpan w:val="2"/>
            <w:shd w:val="clear" w:color="auto" w:fill="CCEEFF"/>
          </w:tcPr>
          <w:p>
            <w:pPr>
              <w:jc w:val="right"/>
              <w:ind w:right="500"/>
              <w:spacing w:after="0" w:line="203" w:lineRule="exact"/>
              <w:rPr>
                <w:sz w:val="20"/>
                <w:szCs w:val="20"/>
                <w:color w:val="auto"/>
              </w:rPr>
            </w:pPr>
            <w:r>
              <w:rPr>
                <w:rFonts w:ascii="Arial" w:cs="Arial" w:eastAsia="Arial" w:hAnsi="Arial"/>
                <w:sz w:val="18"/>
                <w:szCs w:val="18"/>
                <w:color w:val="auto"/>
              </w:rPr>
              <w:t>-174.8%</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40"/>
              <w:spacing w:after="0" w:line="203" w:lineRule="exact"/>
              <w:rPr>
                <w:sz w:val="20"/>
                <w:szCs w:val="20"/>
                <w:color w:val="auto"/>
              </w:rPr>
            </w:pPr>
            <w:r>
              <w:rPr>
                <w:rFonts w:ascii="Arial" w:cs="Arial" w:eastAsia="Arial" w:hAnsi="Arial"/>
                <w:sz w:val="18"/>
                <w:szCs w:val="18"/>
                <w:color w:val="auto"/>
              </w:rPr>
              <w:t>154</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600"/>
              <w:spacing w:after="0" w:line="203" w:lineRule="exact"/>
              <w:rPr>
                <w:sz w:val="20"/>
                <w:szCs w:val="20"/>
                <w:color w:val="auto"/>
              </w:rPr>
            </w:pPr>
            <w:r>
              <w:rPr>
                <w:rFonts w:ascii="Arial" w:cs="Arial" w:eastAsia="Arial" w:hAnsi="Arial"/>
                <w:sz w:val="18"/>
                <w:szCs w:val="18"/>
                <w:color w:val="auto"/>
              </w:rPr>
              <w:t>2,387</w:t>
            </w:r>
          </w:p>
        </w:tc>
        <w:tc>
          <w:tcPr>
            <w:tcW w:w="90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-93.5%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80" w:type="dxa"/>
            <w:vAlign w:val="bottom"/>
          </w:tcPr>
          <w:p>
            <w:pPr>
              <w:ind w:left="200"/>
              <w:spacing w:after="0" w:line="202" w:lineRule="exact"/>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(6,314)</w:t>
            </w:r>
          </w:p>
        </w:tc>
        <w:tc>
          <w:tcPr>
            <w:tcW w:w="120" w:type="dxa"/>
            <w:vAlign w:val="bottom"/>
          </w:tcPr>
          <w:p>
            <w:pPr>
              <w:spacing w:after="0"/>
              <w:rPr>
                <w:sz w:val="17"/>
                <w:szCs w:val="17"/>
                <w:color w:val="auto"/>
              </w:rPr>
            </w:pPr>
          </w:p>
        </w:tc>
        <w:tc>
          <w:tcPr>
            <w:tcW w:w="126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(6,747)</w:t>
            </w:r>
          </w:p>
        </w:tc>
        <w:tc>
          <w:tcPr>
            <w:tcW w:w="140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rPr>
              <w:t>-6.4%</w:t>
            </w:r>
          </w:p>
        </w:tc>
        <w:tc>
          <w:tcPr>
            <w:tcW w:w="100" w:type="dxa"/>
            <w:vAlign w:val="bottom"/>
          </w:tcPr>
          <w:p>
            <w:pPr>
              <w:spacing w:after="0"/>
              <w:rPr>
                <w:sz w:val="17"/>
                <w:szCs w:val="17"/>
                <w:color w:val="auto"/>
              </w:rPr>
            </w:pPr>
          </w:p>
        </w:tc>
        <w:tc>
          <w:tcPr>
            <w:tcW w:w="100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(12,675)</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(13,467)</w:t>
            </w:r>
          </w:p>
        </w:tc>
        <w:tc>
          <w:tcPr>
            <w:tcW w:w="9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6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6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(Loss) income before income taxes</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(3,394)</w:t>
            </w:r>
          </w:p>
        </w:tc>
        <w:tc>
          <w:tcPr>
            <w:tcW w:w="1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37,966</w:t>
            </w:r>
          </w:p>
        </w:tc>
        <w:tc>
          <w:tcPr>
            <w:tcW w:w="140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-108.9%</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48,291</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89,702</w:t>
            </w:r>
          </w:p>
        </w:tc>
        <w:tc>
          <w:tcPr>
            <w:tcW w:w="9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-46.2%</w:t>
            </w:r>
          </w:p>
        </w:tc>
        <w:tc>
          <w:tcPr>
            <w:tcW w:w="0" w:type="dxa"/>
            <w:vAlign w:val="bottom"/>
          </w:tcPr>
          <w:p>
            <w:pPr>
              <w:spacing w:after="0"/>
              <w:rPr>
                <w:sz w:val="1"/>
                <w:szCs w:val="1"/>
                <w:color w:val="auto"/>
              </w:rPr>
            </w:pPr>
          </w:p>
        </w:tc>
      </w:tr>
      <w:tr>
        <w:trPr>
          <w:trHeight w:val="405"/>
        </w:trPr>
        <w:tc>
          <w:tcPr>
            <w:tcW w:w="3300" w:type="dxa"/>
            <w:vAlign w:val="bottom"/>
            <w:gridSpan w:val="2"/>
          </w:tcPr>
          <w:p>
            <w:pPr>
              <w:spacing w:after="0"/>
              <w:rPr>
                <w:sz w:val="20"/>
                <w:szCs w:val="20"/>
                <w:color w:val="auto"/>
              </w:rPr>
            </w:pPr>
            <w:r>
              <w:rPr>
                <w:rFonts w:ascii="Arial" w:cs="Arial" w:eastAsia="Arial" w:hAnsi="Arial"/>
                <w:sz w:val="18"/>
                <w:szCs w:val="18"/>
                <w:color w:val="auto"/>
              </w:rPr>
              <w:t>Income taxes</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756</w:t>
            </w: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2"/>
          </w:tcPr>
          <w:p>
            <w:pPr>
              <w:jc w:val="right"/>
              <w:ind w:right="600"/>
              <w:spacing w:after="0"/>
              <w:rPr>
                <w:sz w:val="20"/>
                <w:szCs w:val="20"/>
                <w:color w:val="auto"/>
              </w:rPr>
            </w:pPr>
            <w:r>
              <w:rPr>
                <w:rFonts w:ascii="Arial" w:cs="Arial" w:eastAsia="Arial" w:hAnsi="Arial"/>
                <w:sz w:val="18"/>
                <w:szCs w:val="18"/>
                <w:color w:val="auto"/>
              </w:rPr>
              <w:t>11,276</w:t>
            </w:r>
          </w:p>
        </w:tc>
        <w:tc>
          <w:tcPr>
            <w:tcW w:w="1400" w:type="dxa"/>
            <w:vAlign w:val="bottom"/>
            <w:gridSpan w:val="2"/>
          </w:tcPr>
          <w:p>
            <w:pPr>
              <w:jc w:val="right"/>
              <w:ind w:right="500"/>
              <w:spacing w:after="0"/>
              <w:rPr>
                <w:sz w:val="20"/>
                <w:szCs w:val="20"/>
                <w:color w:val="auto"/>
              </w:rPr>
            </w:pPr>
            <w:r>
              <w:rPr>
                <w:rFonts w:ascii="Arial" w:cs="Arial" w:eastAsia="Arial" w:hAnsi="Arial"/>
                <w:sz w:val="18"/>
                <w:szCs w:val="18"/>
                <w:color w:val="auto"/>
              </w:rPr>
              <w:t>-93.3%</w:t>
            </w:r>
          </w:p>
        </w:tc>
        <w:tc>
          <w:tcPr>
            <w:tcW w:w="100" w:type="dxa"/>
            <w:vAlign w:val="bottom"/>
          </w:tcPr>
          <w:p>
            <w:pPr>
              <w:spacing w:after="0"/>
              <w:rPr>
                <w:sz w:val="24"/>
                <w:szCs w:val="24"/>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15,331</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2"/>
          </w:tcPr>
          <w:p>
            <w:pPr>
              <w:jc w:val="right"/>
              <w:ind w:right="600"/>
              <w:spacing w:after="0"/>
              <w:rPr>
                <w:sz w:val="20"/>
                <w:szCs w:val="20"/>
                <w:color w:val="auto"/>
              </w:rPr>
            </w:pPr>
            <w:r>
              <w:rPr>
                <w:rFonts w:ascii="Arial" w:cs="Arial" w:eastAsia="Arial" w:hAnsi="Arial"/>
                <w:sz w:val="18"/>
                <w:szCs w:val="18"/>
                <w:color w:val="auto"/>
              </w:rPr>
              <w:t>26,642</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6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6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(loss) income</w:t>
            </w:r>
          </w:p>
        </w:tc>
        <w:tc>
          <w:tcPr>
            <w:tcW w:w="4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(4,150)</w:t>
            </w:r>
          </w:p>
        </w:tc>
        <w:tc>
          <w:tcPr>
            <w:tcW w:w="1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26,690</w:t>
            </w:r>
          </w:p>
        </w:tc>
        <w:tc>
          <w:tcPr>
            <w:tcW w:w="140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-115.5%</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32,960</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63,060</w:t>
            </w:r>
          </w:p>
        </w:tc>
        <w:tc>
          <w:tcPr>
            <w:tcW w:w="9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-47.7%</w:t>
            </w:r>
          </w:p>
        </w:tc>
        <w:tc>
          <w:tcPr>
            <w:tcW w:w="0" w:type="dxa"/>
            <w:vAlign w:val="bottom"/>
          </w:tcPr>
          <w:p>
            <w:pPr>
              <w:spacing w:after="0"/>
              <w:rPr>
                <w:sz w:val="1"/>
                <w:szCs w:val="1"/>
                <w:color w:val="auto"/>
              </w:rPr>
            </w:pPr>
          </w:p>
        </w:tc>
      </w:tr>
      <w:tr>
        <w:trPr>
          <w:trHeight w:val="20"/>
        </w:trPr>
        <w:tc>
          <w:tcPr>
            <w:tcW w:w="3300" w:type="dxa"/>
            <w:vAlign w:val="bottom"/>
            <w:gridSpan w:val="2"/>
            <w:vMerge w:val="restart"/>
          </w:tcPr>
          <w:p>
            <w:pPr>
              <w:spacing w:after="0"/>
              <w:rPr>
                <w:sz w:val="20"/>
                <w:szCs w:val="20"/>
                <w:color w:val="auto"/>
              </w:rPr>
            </w:pPr>
            <w:r>
              <w:rPr>
                <w:rFonts w:ascii="Arial" w:cs="Arial" w:eastAsia="Arial" w:hAnsi="Arial"/>
                <w:sz w:val="18"/>
                <w:szCs w:val="18"/>
                <w:color w:val="auto"/>
              </w:rPr>
              <w:t>Per Class A Nonvoting Common</w:t>
            </w: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330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2"/>
            <w:vMerge w:val="restart"/>
          </w:tcPr>
          <w:p>
            <w:pPr>
              <w:jc w:val="right"/>
              <w:ind w:right="600"/>
              <w:spacing w:after="0"/>
              <w:rPr>
                <w:sz w:val="20"/>
                <w:szCs w:val="20"/>
                <w:color w:val="auto"/>
              </w:rPr>
            </w:pPr>
            <w:r>
              <w:rPr>
                <w:rFonts w:ascii="Arial" w:cs="Arial" w:eastAsia="Arial" w:hAnsi="Arial"/>
                <w:sz w:val="18"/>
                <w:szCs w:val="18"/>
                <w:b w:val="1"/>
                <w:bCs w:val="1"/>
                <w:color w:val="auto"/>
              </w:rPr>
              <w:t>2009</w:t>
            </w:r>
          </w:p>
        </w:tc>
        <w:tc>
          <w:tcPr>
            <w:tcW w:w="120" w:type="dxa"/>
            <w:vAlign w:val="bottom"/>
          </w:tcPr>
          <w:p>
            <w:pPr>
              <w:spacing w:after="0"/>
              <w:rPr>
                <w:sz w:val="24"/>
                <w:szCs w:val="24"/>
                <w:color w:val="auto"/>
              </w:rPr>
            </w:pPr>
          </w:p>
        </w:tc>
        <w:tc>
          <w:tcPr>
            <w:tcW w:w="1260" w:type="dxa"/>
            <w:vAlign w:val="bottom"/>
            <w:gridSpan w:val="2"/>
            <w:vMerge w:val="restart"/>
          </w:tcPr>
          <w:p>
            <w:pPr>
              <w:jc w:val="right"/>
              <w:ind w:right="600"/>
              <w:spacing w:after="0"/>
              <w:rPr>
                <w:sz w:val="20"/>
                <w:szCs w:val="20"/>
                <w:color w:val="auto"/>
              </w:rPr>
            </w:pPr>
            <w:r>
              <w:rPr>
                <w:rFonts w:ascii="Arial" w:cs="Arial" w:eastAsia="Arial" w:hAnsi="Arial"/>
                <w:sz w:val="18"/>
                <w:szCs w:val="18"/>
                <w:b w:val="1"/>
                <w:bCs w:val="1"/>
                <w:color w:val="auto"/>
              </w:rPr>
              <w:t>2008</w:t>
            </w: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2"/>
            <w:vMerge w:val="restart"/>
          </w:tcPr>
          <w:p>
            <w:pPr>
              <w:jc w:val="right"/>
              <w:ind w:right="340"/>
              <w:spacing w:after="0"/>
              <w:rPr>
                <w:sz w:val="20"/>
                <w:szCs w:val="20"/>
                <w:color w:val="auto"/>
              </w:rPr>
            </w:pPr>
            <w:r>
              <w:rPr>
                <w:rFonts w:ascii="Arial" w:cs="Arial" w:eastAsia="Arial" w:hAnsi="Arial"/>
                <w:sz w:val="18"/>
                <w:szCs w:val="18"/>
                <w:b w:val="1"/>
                <w:bCs w:val="1"/>
                <w:color w:val="auto"/>
              </w:rPr>
              <w:t>2009</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2"/>
            <w:vMerge w:val="restart"/>
          </w:tcPr>
          <w:p>
            <w:pPr>
              <w:jc w:val="right"/>
              <w:ind w:right="600"/>
              <w:spacing w:after="0"/>
              <w:rPr>
                <w:sz w:val="20"/>
                <w:szCs w:val="20"/>
                <w:color w:val="auto"/>
              </w:rPr>
            </w:pPr>
            <w:r>
              <w:rPr>
                <w:rFonts w:ascii="Arial" w:cs="Arial" w:eastAsia="Arial" w:hAnsi="Arial"/>
                <w:sz w:val="18"/>
                <w:szCs w:val="18"/>
                <w:b w:val="1"/>
                <w:bCs w:val="1"/>
                <w:color w:val="auto"/>
              </w:rPr>
              <w:t>2008</w:t>
            </w: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80" w:type="dxa"/>
            <w:vAlign w:val="bottom"/>
          </w:tcPr>
          <w:p>
            <w:pPr>
              <w:ind w:left="200"/>
              <w:spacing w:after="0" w:line="203" w:lineRule="exact"/>
              <w:rPr>
                <w:sz w:val="20"/>
                <w:szCs w:val="20"/>
                <w:color w:val="auto"/>
              </w:rPr>
            </w:pPr>
            <w:r>
              <w:rPr>
                <w:rFonts w:ascii="Arial" w:cs="Arial" w:eastAsia="Arial" w:hAnsi="Arial"/>
                <w:sz w:val="18"/>
                <w:szCs w:val="18"/>
                <w:color w:val="auto"/>
              </w:rPr>
              <w:t>Share:</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vMerge w:val="continue"/>
          </w:tcPr>
          <w:p>
            <w:pPr>
              <w:spacing w:after="0"/>
              <w:rPr>
                <w:sz w:val="17"/>
                <w:szCs w:val="17"/>
                <w:color w:val="auto"/>
              </w:rPr>
            </w:pPr>
          </w:p>
        </w:tc>
        <w:tc>
          <w:tcPr>
            <w:tcW w:w="7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vMerge w:val="continue"/>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Basic net (loss) income</w:t>
            </w:r>
          </w:p>
        </w:tc>
        <w:tc>
          <w:tcPr>
            <w:tcW w:w="4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(0.08)</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0.49</w:t>
            </w:r>
          </w:p>
        </w:tc>
        <w:tc>
          <w:tcPr>
            <w:tcW w:w="140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-116.3%</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0.62</w:t>
            </w:r>
          </w:p>
        </w:tc>
        <w:tc>
          <w:tcPr>
            <w:tcW w:w="3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1.16</w:t>
            </w:r>
          </w:p>
        </w:tc>
        <w:tc>
          <w:tcPr>
            <w:tcW w:w="9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-46.6%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80" w:type="dxa"/>
            <w:vAlign w:val="bottom"/>
          </w:tcPr>
          <w:p>
            <w:pPr>
              <w:ind w:left="200"/>
              <w:spacing w:after="0" w:line="202" w:lineRule="exact"/>
              <w:rPr>
                <w:sz w:val="20"/>
                <w:szCs w:val="20"/>
                <w:color w:val="auto"/>
              </w:rPr>
            </w:pPr>
            <w:r>
              <w:rPr>
                <w:rFonts w:ascii="Arial" w:cs="Arial" w:eastAsia="Arial" w:hAnsi="Arial"/>
                <w:sz w:val="18"/>
                <w:szCs w:val="18"/>
                <w:color w:val="auto"/>
              </w:rPr>
              <w:t>Diluted net (loss) income</w:t>
            </w:r>
          </w:p>
        </w:tc>
        <w:tc>
          <w:tcPr>
            <w:tcW w:w="4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(0.08)</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600"/>
              <w:spacing w:after="0" w:line="202" w:lineRule="exact"/>
              <w:rPr>
                <w:sz w:val="20"/>
                <w:szCs w:val="20"/>
                <w:color w:val="auto"/>
              </w:rPr>
            </w:pPr>
            <w:r>
              <w:rPr>
                <w:rFonts w:ascii="Arial" w:cs="Arial" w:eastAsia="Arial" w:hAnsi="Arial"/>
                <w:sz w:val="18"/>
                <w:szCs w:val="18"/>
                <w:color w:val="auto"/>
              </w:rPr>
              <w:t>0.48</w:t>
            </w:r>
          </w:p>
        </w:tc>
        <w:tc>
          <w:tcPr>
            <w:tcW w:w="140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rPr>
              <w:t>-116.7%</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0.62</w:t>
            </w:r>
          </w:p>
        </w:tc>
        <w:tc>
          <w:tcPr>
            <w:tcW w:w="3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00"/>
              <w:spacing w:after="0" w:line="202" w:lineRule="exact"/>
              <w:rPr>
                <w:sz w:val="20"/>
                <w:szCs w:val="20"/>
                <w:color w:val="auto"/>
              </w:rPr>
            </w:pPr>
            <w:r>
              <w:rPr>
                <w:rFonts w:ascii="Arial" w:cs="Arial" w:eastAsia="Arial" w:hAnsi="Arial"/>
                <w:sz w:val="18"/>
                <w:szCs w:val="18"/>
                <w:color w:val="auto"/>
              </w:rPr>
              <w:t>1.14</w:t>
            </w:r>
          </w:p>
        </w:tc>
        <w:tc>
          <w:tcPr>
            <w:tcW w:w="9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-45.6%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Dividends</w:t>
            </w:r>
          </w:p>
        </w:tc>
        <w:tc>
          <w:tcPr>
            <w:tcW w:w="4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0.17</w:t>
            </w: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0.15</w:t>
            </w:r>
          </w:p>
        </w:tc>
        <w:tc>
          <w:tcPr>
            <w:tcW w:w="140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13.3%</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0.34</w:t>
            </w:r>
          </w:p>
        </w:tc>
        <w:tc>
          <w:tcPr>
            <w:tcW w:w="3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0.30</w:t>
            </w:r>
          </w:p>
        </w:tc>
        <w:tc>
          <w:tcPr>
            <w:tcW w:w="9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405"/>
        </w:trPr>
        <w:tc>
          <w:tcPr>
            <w:tcW w:w="3300" w:type="dxa"/>
            <w:vAlign w:val="bottom"/>
            <w:gridSpan w:val="2"/>
          </w:tcPr>
          <w:p>
            <w:pPr>
              <w:spacing w:after="0"/>
              <w:rPr>
                <w:sz w:val="20"/>
                <w:szCs w:val="20"/>
                <w:color w:val="auto"/>
              </w:rPr>
            </w:pPr>
            <w:r>
              <w:rPr>
                <w:rFonts w:ascii="Arial" w:cs="Arial" w:eastAsia="Arial" w:hAnsi="Arial"/>
                <w:sz w:val="18"/>
                <w:szCs w:val="18"/>
                <w:color w:val="auto"/>
              </w:rPr>
              <w:t>Per Class B Voting Common Share:</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Basic net (loss) income</w:t>
            </w:r>
          </w:p>
        </w:tc>
        <w:tc>
          <w:tcPr>
            <w:tcW w:w="4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(0.08)</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0.49</w:t>
            </w:r>
          </w:p>
        </w:tc>
        <w:tc>
          <w:tcPr>
            <w:tcW w:w="140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-116.3%</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0.61</w:t>
            </w:r>
          </w:p>
        </w:tc>
        <w:tc>
          <w:tcPr>
            <w:tcW w:w="3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1.14</w:t>
            </w:r>
          </w:p>
        </w:tc>
        <w:tc>
          <w:tcPr>
            <w:tcW w:w="9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-46.5%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80" w:type="dxa"/>
            <w:vAlign w:val="bottom"/>
          </w:tcPr>
          <w:p>
            <w:pPr>
              <w:ind w:left="200"/>
              <w:spacing w:after="0" w:line="202" w:lineRule="exact"/>
              <w:rPr>
                <w:sz w:val="20"/>
                <w:szCs w:val="20"/>
                <w:color w:val="auto"/>
              </w:rPr>
            </w:pPr>
            <w:r>
              <w:rPr>
                <w:rFonts w:ascii="Arial" w:cs="Arial" w:eastAsia="Arial" w:hAnsi="Arial"/>
                <w:sz w:val="18"/>
                <w:szCs w:val="18"/>
                <w:color w:val="auto"/>
              </w:rPr>
              <w:t>Diluted net (loss) income</w:t>
            </w:r>
          </w:p>
        </w:tc>
        <w:tc>
          <w:tcPr>
            <w:tcW w:w="4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(0.08)</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600"/>
              <w:spacing w:after="0" w:line="202" w:lineRule="exact"/>
              <w:rPr>
                <w:sz w:val="20"/>
                <w:szCs w:val="20"/>
                <w:color w:val="auto"/>
              </w:rPr>
            </w:pPr>
            <w:r>
              <w:rPr>
                <w:rFonts w:ascii="Arial" w:cs="Arial" w:eastAsia="Arial" w:hAnsi="Arial"/>
                <w:sz w:val="18"/>
                <w:szCs w:val="18"/>
                <w:color w:val="auto"/>
              </w:rPr>
              <w:t>0.48</w:t>
            </w:r>
          </w:p>
        </w:tc>
        <w:tc>
          <w:tcPr>
            <w:tcW w:w="140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rPr>
              <w:t>-116.7%</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0.60</w:t>
            </w:r>
          </w:p>
        </w:tc>
        <w:tc>
          <w:tcPr>
            <w:tcW w:w="3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00"/>
              <w:spacing w:after="0" w:line="202" w:lineRule="exact"/>
              <w:rPr>
                <w:sz w:val="20"/>
                <w:szCs w:val="20"/>
                <w:color w:val="auto"/>
              </w:rPr>
            </w:pPr>
            <w:r>
              <w:rPr>
                <w:rFonts w:ascii="Arial" w:cs="Arial" w:eastAsia="Arial" w:hAnsi="Arial"/>
                <w:sz w:val="18"/>
                <w:szCs w:val="18"/>
                <w:color w:val="auto"/>
              </w:rPr>
              <w:t>1.13</w:t>
            </w:r>
          </w:p>
        </w:tc>
        <w:tc>
          <w:tcPr>
            <w:tcW w:w="9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-46.9%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Dividends</w:t>
            </w:r>
          </w:p>
        </w:tc>
        <w:tc>
          <w:tcPr>
            <w:tcW w:w="4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0.17</w:t>
            </w: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0.15</w:t>
            </w:r>
          </w:p>
        </w:tc>
        <w:tc>
          <w:tcPr>
            <w:tcW w:w="140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13.3%</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0.32</w:t>
            </w:r>
          </w:p>
        </w:tc>
        <w:tc>
          <w:tcPr>
            <w:tcW w:w="3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0.28</w:t>
            </w:r>
          </w:p>
        </w:tc>
        <w:tc>
          <w:tcPr>
            <w:tcW w:w="9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404"/>
        </w:trPr>
        <w:tc>
          <w:tcPr>
            <w:tcW w:w="3300" w:type="dxa"/>
            <w:vAlign w:val="bottom"/>
            <w:gridSpan w:val="2"/>
          </w:tcPr>
          <w:p>
            <w:pPr>
              <w:spacing w:after="0"/>
              <w:rPr>
                <w:sz w:val="20"/>
                <w:szCs w:val="20"/>
                <w:color w:val="auto"/>
              </w:rPr>
            </w:pPr>
            <w:r>
              <w:rPr>
                <w:rFonts w:ascii="Arial" w:cs="Arial" w:eastAsia="Arial" w:hAnsi="Arial"/>
                <w:sz w:val="18"/>
                <w:szCs w:val="18"/>
                <w:color w:val="auto"/>
              </w:rPr>
              <w:t>Weighted average common shares</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80" w:type="dxa"/>
            <w:vAlign w:val="bottom"/>
          </w:tcPr>
          <w:p>
            <w:pPr>
              <w:ind w:left="200"/>
              <w:spacing w:after="0" w:line="203" w:lineRule="exact"/>
              <w:rPr>
                <w:sz w:val="20"/>
                <w:szCs w:val="20"/>
                <w:color w:val="auto"/>
              </w:rPr>
            </w:pPr>
            <w:r>
              <w:rPr>
                <w:rFonts w:ascii="Arial" w:cs="Arial" w:eastAsia="Arial" w:hAnsi="Arial"/>
                <w:sz w:val="18"/>
                <w:szCs w:val="18"/>
                <w:color w:val="auto"/>
              </w:rPr>
              <w:t>outstanding (in Thousands):</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Basic</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52,350</w:t>
            </w:r>
          </w:p>
        </w:tc>
        <w:tc>
          <w:tcPr>
            <w:tcW w:w="1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54,510</w:t>
            </w:r>
          </w:p>
        </w:tc>
        <w:tc>
          <w:tcPr>
            <w:tcW w:w="7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52,821</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54,430</w:t>
            </w: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280" w:type="dxa"/>
            <w:vAlign w:val="bottom"/>
          </w:tcPr>
          <w:p>
            <w:pPr>
              <w:ind w:left="200"/>
              <w:spacing w:after="0"/>
              <w:rPr>
                <w:sz w:val="20"/>
                <w:szCs w:val="20"/>
                <w:color w:val="auto"/>
              </w:rPr>
            </w:pPr>
            <w:r>
              <w:rPr>
                <w:rFonts w:ascii="Arial" w:cs="Arial" w:eastAsia="Arial" w:hAnsi="Arial"/>
                <w:sz w:val="18"/>
                <w:szCs w:val="18"/>
                <w:color w:val="auto"/>
              </w:rPr>
              <w:t>Diluted</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600"/>
              <w:spacing w:after="0"/>
              <w:rPr>
                <w:sz w:val="20"/>
                <w:szCs w:val="20"/>
                <w:color w:val="auto"/>
              </w:rPr>
            </w:pPr>
            <w:r>
              <w:rPr>
                <w:rFonts w:ascii="Arial" w:cs="Arial" w:eastAsia="Arial" w:hAnsi="Arial"/>
                <w:sz w:val="18"/>
                <w:szCs w:val="18"/>
                <w:color w:val="auto"/>
              </w:rPr>
              <w:t>52,350</w:t>
            </w:r>
          </w:p>
        </w:tc>
        <w:tc>
          <w:tcPr>
            <w:tcW w:w="120" w:type="dxa"/>
            <w:vAlign w:val="bottom"/>
          </w:tcPr>
          <w:p>
            <w:pPr>
              <w:spacing w:after="0"/>
              <w:rPr>
                <w:sz w:val="18"/>
                <w:szCs w:val="18"/>
                <w:color w:val="auto"/>
              </w:rPr>
            </w:pPr>
          </w:p>
        </w:tc>
        <w:tc>
          <w:tcPr>
            <w:tcW w:w="1260" w:type="dxa"/>
            <w:vAlign w:val="bottom"/>
            <w:gridSpan w:val="2"/>
          </w:tcPr>
          <w:p>
            <w:pPr>
              <w:jc w:val="right"/>
              <w:ind w:right="600"/>
              <w:spacing w:after="0"/>
              <w:rPr>
                <w:sz w:val="20"/>
                <w:szCs w:val="20"/>
                <w:color w:val="auto"/>
              </w:rPr>
            </w:pPr>
            <w:r>
              <w:rPr>
                <w:rFonts w:ascii="Arial" w:cs="Arial" w:eastAsia="Arial" w:hAnsi="Arial"/>
                <w:sz w:val="18"/>
                <w:szCs w:val="18"/>
                <w:color w:val="auto"/>
              </w:rPr>
              <w:t>55,228</w:t>
            </w: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53,144</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00"/>
              <w:spacing w:after="0"/>
              <w:rPr>
                <w:sz w:val="20"/>
                <w:szCs w:val="20"/>
                <w:color w:val="auto"/>
              </w:rPr>
            </w:pPr>
            <w:r>
              <w:rPr>
                <w:rFonts w:ascii="Arial" w:cs="Arial" w:eastAsia="Arial" w:hAnsi="Arial"/>
                <w:sz w:val="18"/>
                <w:szCs w:val="18"/>
                <w:color w:val="auto"/>
              </w:rPr>
              <w:t>55,175</w:t>
            </w: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04"/>
        </w:trPr>
        <w:tc>
          <w:tcPr>
            <w:tcW w:w="20" w:type="dxa"/>
            <w:vAlign w:val="bottom"/>
          </w:tcPr>
          <w:p>
            <w:pPr>
              <w:spacing w:after="0"/>
              <w:rPr>
                <w:sz w:val="24"/>
                <w:szCs w:val="24"/>
                <w:color w:val="auto"/>
              </w:rPr>
            </w:pPr>
          </w:p>
        </w:tc>
        <w:tc>
          <w:tcPr>
            <w:tcW w:w="328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60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600" w:type="dxa"/>
            <w:vAlign w:val="bottom"/>
            <w:tcBorders>
              <w:bottom w:val="single" w:sz="8" w:color="808080"/>
            </w:tcBorders>
          </w:tcPr>
          <w:p>
            <w:pPr>
              <w:spacing w:after="0"/>
              <w:rPr>
                <w:sz w:val="24"/>
                <w:szCs w:val="24"/>
                <w:color w:val="auto"/>
              </w:rPr>
            </w:pPr>
          </w:p>
        </w:tc>
        <w:tc>
          <w:tcPr>
            <w:tcW w:w="74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600" w:type="dxa"/>
            <w:vAlign w:val="bottom"/>
            <w:tcBorders>
              <w:bottom w:val="single" w:sz="8" w:color="808080"/>
            </w:tcBorders>
          </w:tcPr>
          <w:p>
            <w:pPr>
              <w:spacing w:after="0"/>
              <w:rPr>
                <w:sz w:val="24"/>
                <w:szCs w:val="24"/>
                <w:color w:val="auto"/>
              </w:rPr>
            </w:pPr>
          </w:p>
        </w:tc>
        <w:tc>
          <w:tcPr>
            <w:tcW w:w="74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BRADY CORPORATION AND SUBSIDIARIES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(Unaudited)</w:t>
            </w: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8620" w:type="dxa"/>
            <w:vAlign w:val="bottom"/>
            <w:gridSpan w:val="2"/>
          </w:tcPr>
          <w:p>
            <w:pPr>
              <w:spacing w:after="0" w:line="155" w:lineRule="exact"/>
              <w:rPr>
                <w:sz w:val="20"/>
                <w:szCs w:val="20"/>
                <w:color w:val="auto"/>
              </w:rPr>
            </w:pPr>
            <w:r>
              <w:rPr>
                <w:rFonts w:ascii="Arial" w:cs="Arial" w:eastAsia="Arial" w:hAnsi="Arial"/>
                <w:sz w:val="14"/>
                <w:szCs w:val="14"/>
                <w:color w:val="auto"/>
              </w:rPr>
              <w:t>(IN THOUSANDS)</w:t>
            </w:r>
          </w:p>
        </w:tc>
        <w:tc>
          <w:tcPr>
            <w:tcW w:w="20" w:type="dxa"/>
            <w:vAlign w:val="bottom"/>
          </w:tcPr>
          <w:p>
            <w:pPr>
              <w:spacing w:after="0"/>
              <w:rPr>
                <w:sz w:val="13"/>
                <w:szCs w:val="13"/>
                <w:color w:val="auto"/>
              </w:rPr>
            </w:pPr>
          </w:p>
        </w:tc>
        <w:tc>
          <w:tcPr>
            <w:tcW w:w="176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January 31, 2009</w:t>
            </w:r>
          </w:p>
        </w:tc>
        <w:tc>
          <w:tcPr>
            <w:tcW w:w="92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July 31, 2008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00" w:type="dxa"/>
            <w:vAlign w:val="bottom"/>
            <w:shd w:val="clear" w:color="auto" w:fill="CCEEFF"/>
          </w:tcPr>
          <w:p>
            <w:pPr>
              <w:ind w:left="5340"/>
              <w:spacing w:after="0" w:line="196" w:lineRule="exact"/>
              <w:rPr>
                <w:sz w:val="20"/>
                <w:szCs w:val="20"/>
                <w:color w:val="auto"/>
              </w:rPr>
            </w:pPr>
            <w:r>
              <w:rPr>
                <w:rFonts w:ascii="Arial" w:cs="Arial" w:eastAsia="Arial" w:hAnsi="Arial"/>
                <w:sz w:val="18"/>
                <w:szCs w:val="18"/>
                <w:b w:val="1"/>
                <w:bCs w:val="1"/>
                <w:color w:val="auto"/>
              </w:rPr>
              <w:t>ASSETS</w:t>
            </w:r>
          </w:p>
        </w:tc>
        <w:tc>
          <w:tcPr>
            <w:tcW w:w="2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00" w:type="dxa"/>
            <w:vAlign w:val="bottom"/>
          </w:tcPr>
          <w:p>
            <w:pPr>
              <w:spacing w:after="0" w:line="202" w:lineRule="exact"/>
              <w:rPr>
                <w:sz w:val="20"/>
                <w:szCs w:val="20"/>
                <w:color w:val="auto"/>
              </w:rPr>
            </w:pPr>
            <w:r>
              <w:rPr>
                <w:rFonts w:ascii="Arial" w:cs="Arial" w:eastAsia="Arial" w:hAnsi="Arial"/>
                <w:sz w:val="18"/>
                <w:szCs w:val="18"/>
                <w:b w:val="1"/>
                <w:bCs w:val="1"/>
                <w:color w:val="auto"/>
              </w:rPr>
              <w:t>Current assets:</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Cash and cash equivalents</w:t>
            </w:r>
          </w:p>
        </w:tc>
        <w:tc>
          <w:tcPr>
            <w:tcW w:w="2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185,091</w:t>
            </w: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w w:val="79"/>
              </w:rPr>
              <w:t>$</w:t>
            </w:r>
          </w:p>
        </w:tc>
        <w:tc>
          <w:tcPr>
            <w:tcW w:w="9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258,355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00" w:type="dxa"/>
            <w:vAlign w:val="bottom"/>
          </w:tcPr>
          <w:p>
            <w:pPr>
              <w:ind w:left="200"/>
              <w:spacing w:after="0" w:line="202" w:lineRule="exact"/>
              <w:rPr>
                <w:sz w:val="20"/>
                <w:szCs w:val="20"/>
                <w:color w:val="auto"/>
              </w:rPr>
            </w:pPr>
            <w:r>
              <w:rPr>
                <w:rFonts w:ascii="Arial" w:cs="Arial" w:eastAsia="Arial" w:hAnsi="Arial"/>
                <w:sz w:val="18"/>
                <w:szCs w:val="18"/>
                <w:color w:val="auto"/>
              </w:rPr>
              <w:t>Accounts receivable, less allowance for losses ($7,905 and $10,059, respectively)</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191,335</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262,461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Inventories:</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00" w:type="dxa"/>
            <w:vAlign w:val="bottom"/>
          </w:tcPr>
          <w:p>
            <w:pPr>
              <w:ind w:left="400"/>
              <w:spacing w:after="0" w:line="202" w:lineRule="exact"/>
              <w:rPr>
                <w:sz w:val="20"/>
                <w:szCs w:val="20"/>
                <w:color w:val="auto"/>
              </w:rPr>
            </w:pPr>
            <w:r>
              <w:rPr>
                <w:rFonts w:ascii="Arial" w:cs="Arial" w:eastAsia="Arial" w:hAnsi="Arial"/>
                <w:sz w:val="18"/>
                <w:szCs w:val="18"/>
                <w:color w:val="auto"/>
              </w:rPr>
              <w:t>Finished products</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65,646</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75,665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0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Work-in-process</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18,499</w:t>
            </w: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21,187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00" w:type="dxa"/>
            <w:vAlign w:val="bottom"/>
          </w:tcPr>
          <w:p>
            <w:pPr>
              <w:ind w:left="400"/>
              <w:spacing w:after="0" w:line="202" w:lineRule="exact"/>
              <w:rPr>
                <w:sz w:val="20"/>
                <w:szCs w:val="20"/>
                <w:color w:val="auto"/>
              </w:rPr>
            </w:pPr>
            <w:r>
              <w:rPr>
                <w:rFonts w:ascii="Arial" w:cs="Arial" w:eastAsia="Arial" w:hAnsi="Arial"/>
                <w:sz w:val="18"/>
                <w:szCs w:val="18"/>
                <w:color w:val="auto"/>
              </w:rPr>
              <w:t>Raw materials and supplies</w:t>
            </w:r>
          </w:p>
        </w:tc>
        <w:tc>
          <w:tcPr>
            <w:tcW w:w="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37,537</w:t>
            </w:r>
          </w:p>
        </w:tc>
        <w:tc>
          <w:tcPr>
            <w:tcW w:w="6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37,767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00" w:type="dxa"/>
            <w:vAlign w:val="bottom"/>
            <w:shd w:val="clear" w:color="auto" w:fill="CCEEFF"/>
          </w:tcPr>
          <w:p>
            <w:pPr>
              <w:ind w:left="600"/>
              <w:spacing w:after="0" w:line="202" w:lineRule="exact"/>
              <w:rPr>
                <w:sz w:val="20"/>
                <w:szCs w:val="20"/>
                <w:color w:val="auto"/>
              </w:rPr>
            </w:pPr>
            <w:r>
              <w:rPr>
                <w:rFonts w:ascii="Arial" w:cs="Arial" w:eastAsia="Arial" w:hAnsi="Arial"/>
                <w:sz w:val="18"/>
                <w:szCs w:val="18"/>
                <w:color w:val="auto"/>
              </w:rPr>
              <w:t>Total inventories</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121,682</w:t>
            </w: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134,619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00" w:type="dxa"/>
            <w:vAlign w:val="bottom"/>
          </w:tcPr>
          <w:p>
            <w:pPr>
              <w:ind w:left="20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43,577</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43,650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0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b w:val="1"/>
                <w:bCs w:val="1"/>
                <w:color w:val="auto"/>
              </w:rPr>
              <w:t>Total current assets</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541,685</w:t>
            </w: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699,085</w:t>
            </w:r>
          </w:p>
        </w:tc>
        <w:tc>
          <w:tcPr>
            <w:tcW w:w="0" w:type="dxa"/>
            <w:vAlign w:val="bottom"/>
          </w:tcPr>
          <w:p>
            <w:pPr>
              <w:spacing w:after="0"/>
              <w:rPr>
                <w:sz w:val="1"/>
                <w:szCs w:val="1"/>
                <w:color w:val="auto"/>
              </w:rPr>
            </w:pPr>
          </w:p>
        </w:tc>
      </w:tr>
      <w:tr>
        <w:trPr>
          <w:trHeight w:val="405"/>
        </w:trPr>
        <w:tc>
          <w:tcPr>
            <w:tcW w:w="8620" w:type="dxa"/>
            <w:vAlign w:val="bottom"/>
            <w:gridSpan w:val="2"/>
          </w:tcPr>
          <w:p>
            <w:pPr>
              <w:spacing w:after="0"/>
              <w:rPr>
                <w:sz w:val="20"/>
                <w:szCs w:val="20"/>
                <w:color w:val="auto"/>
              </w:rPr>
            </w:pPr>
            <w:r>
              <w:rPr>
                <w:rFonts w:ascii="Arial" w:cs="Arial" w:eastAsia="Arial" w:hAnsi="Arial"/>
                <w:sz w:val="18"/>
                <w:szCs w:val="18"/>
                <w:b w:val="1"/>
                <w:bCs w:val="1"/>
                <w:color w:val="auto"/>
              </w:rPr>
              <w:t>Other assets:</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Goodwill</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719,431</w:t>
            </w: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789,107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00" w:type="dxa"/>
            <w:vAlign w:val="bottom"/>
          </w:tcPr>
          <w:p>
            <w:pPr>
              <w:ind w:left="200"/>
              <w:spacing w:after="0" w:line="202" w:lineRule="exact"/>
              <w:rPr>
                <w:sz w:val="20"/>
                <w:szCs w:val="20"/>
                <w:color w:val="auto"/>
              </w:rPr>
            </w:pPr>
            <w:r>
              <w:rPr>
                <w:rFonts w:ascii="Arial" w:cs="Arial" w:eastAsia="Arial" w:hAnsi="Arial"/>
                <w:sz w:val="18"/>
                <w:szCs w:val="18"/>
                <w:color w:val="auto"/>
              </w:rPr>
              <w:t>Other intangible assets, net</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118,532</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144,791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Deferred income taxes</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27,196</w:t>
            </w: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25,943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00" w:type="dxa"/>
            <w:vAlign w:val="bottom"/>
          </w:tcPr>
          <w:p>
            <w:pPr>
              <w:ind w:left="200"/>
              <w:spacing w:after="0" w:line="202" w:lineRule="exact"/>
              <w:rPr>
                <w:sz w:val="20"/>
                <w:szCs w:val="20"/>
                <w:color w:val="auto"/>
              </w:rPr>
            </w:pPr>
            <w:r>
              <w:rPr>
                <w:rFonts w:ascii="Arial" w:cs="Arial" w:eastAsia="Arial" w:hAnsi="Arial"/>
                <w:sz w:val="18"/>
                <w:szCs w:val="18"/>
                <w:color w:val="auto"/>
              </w:rPr>
              <w:t>Other</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15,815</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21,381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0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b w:val="1"/>
                <w:bCs w:val="1"/>
                <w:color w:val="auto"/>
              </w:rPr>
              <w:t>Total other assets</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880,974</w:t>
            </w: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981,222</w:t>
            </w:r>
          </w:p>
        </w:tc>
        <w:tc>
          <w:tcPr>
            <w:tcW w:w="0" w:type="dxa"/>
            <w:vAlign w:val="bottom"/>
          </w:tcPr>
          <w:p>
            <w:pPr>
              <w:spacing w:after="0"/>
              <w:rPr>
                <w:sz w:val="1"/>
                <w:szCs w:val="1"/>
                <w:color w:val="auto"/>
              </w:rPr>
            </w:pPr>
          </w:p>
        </w:tc>
      </w:tr>
      <w:tr>
        <w:trPr>
          <w:trHeight w:val="405"/>
        </w:trPr>
        <w:tc>
          <w:tcPr>
            <w:tcW w:w="8620" w:type="dxa"/>
            <w:vAlign w:val="bottom"/>
            <w:gridSpan w:val="2"/>
          </w:tcPr>
          <w:p>
            <w:pPr>
              <w:spacing w:after="0"/>
              <w:rPr>
                <w:sz w:val="20"/>
                <w:szCs w:val="20"/>
                <w:color w:val="auto"/>
              </w:rPr>
            </w:pPr>
            <w:r>
              <w:rPr>
                <w:rFonts w:ascii="Arial" w:cs="Arial" w:eastAsia="Arial" w:hAnsi="Arial"/>
                <w:sz w:val="18"/>
                <w:szCs w:val="18"/>
                <w:b w:val="1"/>
                <w:bCs w:val="1"/>
                <w:color w:val="auto"/>
              </w:rPr>
              <w:t>Property, plant and equipment:</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Cost:</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00" w:type="dxa"/>
            <w:vAlign w:val="bottom"/>
          </w:tcPr>
          <w:p>
            <w:pPr>
              <w:ind w:left="400"/>
              <w:spacing w:after="0" w:line="202" w:lineRule="exact"/>
              <w:rPr>
                <w:sz w:val="20"/>
                <w:szCs w:val="20"/>
                <w:color w:val="auto"/>
              </w:rPr>
            </w:pPr>
            <w:r>
              <w:rPr>
                <w:rFonts w:ascii="Arial" w:cs="Arial" w:eastAsia="Arial" w:hAnsi="Arial"/>
                <w:sz w:val="18"/>
                <w:szCs w:val="18"/>
                <w:color w:val="auto"/>
              </w:rPr>
              <w:t>Land</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6,183</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6,490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0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Buildings and improvements</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92,579</w:t>
            </w: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98,646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00" w:type="dxa"/>
            <w:vAlign w:val="bottom"/>
          </w:tcPr>
          <w:p>
            <w:pPr>
              <w:ind w:left="400"/>
              <w:spacing w:after="0" w:line="202" w:lineRule="exact"/>
              <w:rPr>
                <w:sz w:val="20"/>
                <w:szCs w:val="20"/>
                <w:color w:val="auto"/>
              </w:rPr>
            </w:pPr>
            <w:r>
              <w:rPr>
                <w:rFonts w:ascii="Arial" w:cs="Arial" w:eastAsia="Arial" w:hAnsi="Arial"/>
                <w:sz w:val="18"/>
                <w:szCs w:val="18"/>
                <w:color w:val="auto"/>
              </w:rPr>
              <w:t>Machinery and equipment</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271,541</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282,232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0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Construction in progress</w:t>
            </w:r>
          </w:p>
        </w:tc>
        <w:tc>
          <w:tcPr>
            <w:tcW w:w="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7,248</w:t>
            </w:r>
          </w:p>
        </w:tc>
        <w:tc>
          <w:tcPr>
            <w:tcW w:w="6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6,040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8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377,551</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393,408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Less accumulated depreciation</w:t>
            </w:r>
          </w:p>
        </w:tc>
        <w:tc>
          <w:tcPr>
            <w:tcW w:w="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224,455</w:t>
            </w:r>
          </w:p>
        </w:tc>
        <w:tc>
          <w:tcPr>
            <w:tcW w:w="6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223,202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8600" w:type="dxa"/>
            <w:vAlign w:val="bottom"/>
          </w:tcPr>
          <w:p>
            <w:pPr>
              <w:ind w:left="400"/>
              <w:spacing w:after="0"/>
              <w:rPr>
                <w:sz w:val="20"/>
                <w:szCs w:val="20"/>
                <w:color w:val="auto"/>
              </w:rPr>
            </w:pPr>
            <w:r>
              <w:rPr>
                <w:rFonts w:ascii="Arial" w:cs="Arial" w:eastAsia="Arial" w:hAnsi="Arial"/>
                <w:sz w:val="18"/>
                <w:szCs w:val="18"/>
                <w:b w:val="1"/>
                <w:bCs w:val="1"/>
                <w:color w:val="auto"/>
              </w:rPr>
              <w:t>Net property, plant and equipment</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153,096</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170,206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6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Total</w:t>
            </w:r>
          </w:p>
        </w:tc>
        <w:tc>
          <w:tcPr>
            <w:tcW w:w="2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1,575,755</w:t>
            </w: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u w:val="single" w:color="auto"/>
                <w:color w:val="auto"/>
                <w:w w:val="79"/>
              </w:rPr>
              <w:t>$</w:t>
            </w:r>
          </w:p>
        </w:tc>
        <w:tc>
          <w:tcPr>
            <w:tcW w:w="9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w w:val="99"/>
              </w:rPr>
              <w:t>1,850,513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0" w:type="dxa"/>
            <w:vAlign w:val="bottom"/>
            <w:vMerge w:val="restart"/>
          </w:tcPr>
          <w:p>
            <w:pPr>
              <w:ind w:left="3560"/>
              <w:spacing w:after="0"/>
              <w:rPr>
                <w:sz w:val="20"/>
                <w:szCs w:val="20"/>
                <w:color w:val="auto"/>
              </w:rPr>
            </w:pPr>
            <w:r>
              <w:rPr>
                <w:rFonts w:ascii="Arial" w:cs="Arial" w:eastAsia="Arial" w:hAnsi="Arial"/>
                <w:sz w:val="18"/>
                <w:szCs w:val="18"/>
                <w:b w:val="1"/>
                <w:bCs w:val="1"/>
                <w:color w:val="auto"/>
              </w:rPr>
              <w:t>LIABILITIES AND STOCKHOLDERS’ INVESTMENT</w:t>
            </w: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860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Current liabilities:</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00" w:type="dxa"/>
            <w:vAlign w:val="bottom"/>
          </w:tcPr>
          <w:p>
            <w:pPr>
              <w:ind w:left="200"/>
              <w:spacing w:after="0" w:line="202" w:lineRule="exact"/>
              <w:rPr>
                <w:sz w:val="20"/>
                <w:szCs w:val="20"/>
                <w:color w:val="auto"/>
              </w:rPr>
            </w:pPr>
            <w:r>
              <w:rPr>
                <w:rFonts w:ascii="Arial" w:cs="Arial" w:eastAsia="Arial" w:hAnsi="Arial"/>
                <w:sz w:val="18"/>
                <w:szCs w:val="18"/>
                <w:color w:val="auto"/>
              </w:rPr>
              <w:t>Accounts payable</w:t>
            </w:r>
          </w:p>
        </w:tc>
        <w:tc>
          <w:tcPr>
            <w:tcW w:w="220" w:type="dxa"/>
            <w:vAlign w:val="bottom"/>
            <w:gridSpan w:val="2"/>
          </w:tcPr>
          <w:p>
            <w:pPr>
              <w:spacing w:after="0" w:line="202" w:lineRule="exact"/>
              <w:rPr>
                <w:sz w:val="20"/>
                <w:szCs w:val="20"/>
                <w:color w:val="auto"/>
              </w:rPr>
            </w:pPr>
            <w:r>
              <w:rPr>
                <w:rFonts w:ascii="Arial" w:cs="Arial" w:eastAsia="Arial" w:hAnsi="Arial"/>
                <w:sz w:val="18"/>
                <w:szCs w:val="18"/>
                <w:b w:val="1"/>
                <w:bCs w:val="1"/>
                <w:color w:val="auto"/>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71,327</w:t>
            </w:r>
          </w:p>
        </w:tc>
        <w:tc>
          <w:tcPr>
            <w:tcW w:w="640" w:type="dxa"/>
            <w:vAlign w:val="bottom"/>
          </w:tcPr>
          <w:p>
            <w:pPr>
              <w:spacing w:after="0"/>
              <w:rPr>
                <w:sz w:val="17"/>
                <w:szCs w:val="17"/>
                <w:color w:val="auto"/>
              </w:rPr>
            </w:pPr>
          </w:p>
        </w:tc>
        <w:tc>
          <w:tcPr>
            <w:tcW w:w="100" w:type="dxa"/>
            <w:vAlign w:val="bottom"/>
          </w:tcPr>
          <w:p>
            <w:pPr>
              <w:spacing w:after="0" w:line="202" w:lineRule="exact"/>
              <w:rPr>
                <w:sz w:val="20"/>
                <w:szCs w:val="20"/>
                <w:color w:val="auto"/>
              </w:rPr>
            </w:pPr>
            <w:r>
              <w:rPr>
                <w:rFonts w:ascii="Arial" w:cs="Arial" w:eastAsia="Arial" w:hAnsi="Arial"/>
                <w:sz w:val="18"/>
                <w:szCs w:val="18"/>
                <w:b w:val="1"/>
                <w:bCs w:val="1"/>
                <w:color w:val="auto"/>
                <w:w w:val="79"/>
              </w:rPr>
              <w:t>$</w:t>
            </w:r>
          </w:p>
        </w:tc>
        <w:tc>
          <w:tcPr>
            <w:tcW w:w="92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118,209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Wages and amounts withheld from employees</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50,339</w:t>
            </w: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82,354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00" w:type="dxa"/>
            <w:vAlign w:val="bottom"/>
          </w:tcPr>
          <w:p>
            <w:pPr>
              <w:ind w:left="200"/>
              <w:spacing w:after="0" w:line="202" w:lineRule="exact"/>
              <w:rPr>
                <w:sz w:val="20"/>
                <w:szCs w:val="20"/>
                <w:color w:val="auto"/>
              </w:rPr>
            </w:pPr>
            <w:r>
              <w:rPr>
                <w:rFonts w:ascii="Arial" w:cs="Arial" w:eastAsia="Arial" w:hAnsi="Arial"/>
                <w:sz w:val="18"/>
                <w:szCs w:val="18"/>
                <w:color w:val="auto"/>
              </w:rPr>
              <w:t>Taxes, other than income taxes</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6,487</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10,234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Accrued income taxes</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1,603</w:t>
            </w: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21,523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00" w:type="dxa"/>
            <w:vAlign w:val="bottom"/>
          </w:tcPr>
          <w:p>
            <w:pPr>
              <w:ind w:left="200"/>
              <w:spacing w:after="0" w:line="202" w:lineRule="exact"/>
              <w:rPr>
                <w:sz w:val="20"/>
                <w:szCs w:val="20"/>
                <w:color w:val="auto"/>
              </w:rPr>
            </w:pPr>
            <w:r>
              <w:rPr>
                <w:rFonts w:ascii="Arial" w:cs="Arial" w:eastAsia="Arial" w:hAnsi="Arial"/>
                <w:sz w:val="18"/>
                <w:szCs w:val="18"/>
                <w:color w:val="auto"/>
              </w:rPr>
              <w:t>Other current liabilities</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46,689</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54,810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Current maturities on long-term debt</w:t>
            </w:r>
          </w:p>
        </w:tc>
        <w:tc>
          <w:tcPr>
            <w:tcW w:w="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21,429</w:t>
            </w:r>
          </w:p>
        </w:tc>
        <w:tc>
          <w:tcPr>
            <w:tcW w:w="6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21,431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8600" w:type="dxa"/>
            <w:vAlign w:val="bottom"/>
          </w:tcPr>
          <w:p>
            <w:pPr>
              <w:ind w:left="400"/>
              <w:spacing w:after="0"/>
              <w:rPr>
                <w:sz w:val="20"/>
                <w:szCs w:val="20"/>
                <w:color w:val="auto"/>
              </w:rPr>
            </w:pPr>
            <w:r>
              <w:rPr>
                <w:rFonts w:ascii="Arial" w:cs="Arial" w:eastAsia="Arial" w:hAnsi="Arial"/>
                <w:sz w:val="18"/>
                <w:szCs w:val="18"/>
                <w:b w:val="1"/>
                <w:bCs w:val="1"/>
                <w:color w:val="auto"/>
              </w:rPr>
              <w:t>Total current liabilities</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197,874</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308,561</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8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6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Long-term obligations, less current maturities</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457,143</w:t>
            </w: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457,143</w:t>
            </w:r>
          </w:p>
        </w:tc>
        <w:tc>
          <w:tcPr>
            <w:tcW w:w="0" w:type="dxa"/>
            <w:vAlign w:val="bottom"/>
          </w:tcPr>
          <w:p>
            <w:pPr>
              <w:spacing w:after="0"/>
              <w:rPr>
                <w:sz w:val="1"/>
                <w:szCs w:val="1"/>
                <w:color w:val="auto"/>
              </w:rPr>
            </w:pPr>
          </w:p>
        </w:tc>
      </w:tr>
      <w:tr>
        <w:trPr>
          <w:trHeight w:val="405"/>
        </w:trPr>
        <w:tc>
          <w:tcPr>
            <w:tcW w:w="8620" w:type="dxa"/>
            <w:vAlign w:val="bottom"/>
            <w:gridSpan w:val="2"/>
          </w:tcPr>
          <w:p>
            <w:pPr>
              <w:spacing w:after="0"/>
              <w:rPr>
                <w:sz w:val="20"/>
                <w:szCs w:val="20"/>
                <w:color w:val="auto"/>
              </w:rPr>
            </w:pPr>
            <w:r>
              <w:rPr>
                <w:rFonts w:ascii="Arial" w:cs="Arial" w:eastAsia="Arial" w:hAnsi="Arial"/>
                <w:sz w:val="18"/>
                <w:szCs w:val="18"/>
                <w:b w:val="1"/>
                <w:bCs w:val="1"/>
                <w:color w:val="auto"/>
              </w:rPr>
              <w:t>Other liabilities</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55,066</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63,001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0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b w:val="1"/>
                <w:bCs w:val="1"/>
                <w:color w:val="auto"/>
              </w:rPr>
              <w:t>Total liabilities</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710,083</w:t>
            </w: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828,705</w:t>
            </w:r>
          </w:p>
        </w:tc>
        <w:tc>
          <w:tcPr>
            <w:tcW w:w="0" w:type="dxa"/>
            <w:vAlign w:val="bottom"/>
          </w:tcPr>
          <w:p>
            <w:pPr>
              <w:spacing w:after="0"/>
              <w:rPr>
                <w:sz w:val="1"/>
                <w:szCs w:val="1"/>
                <w:color w:val="auto"/>
              </w:rPr>
            </w:pPr>
          </w:p>
        </w:tc>
      </w:tr>
      <w:tr>
        <w:trPr>
          <w:trHeight w:val="405"/>
        </w:trPr>
        <w:tc>
          <w:tcPr>
            <w:tcW w:w="8620" w:type="dxa"/>
            <w:vAlign w:val="bottom"/>
            <w:gridSpan w:val="2"/>
          </w:tcPr>
          <w:p>
            <w:pPr>
              <w:spacing w:after="0"/>
              <w:rPr>
                <w:sz w:val="20"/>
                <w:szCs w:val="20"/>
                <w:color w:val="auto"/>
              </w:rPr>
            </w:pPr>
            <w:r>
              <w:rPr>
                <w:rFonts w:ascii="Arial" w:cs="Arial" w:eastAsia="Arial" w:hAnsi="Arial"/>
                <w:sz w:val="18"/>
                <w:szCs w:val="18"/>
                <w:b w:val="1"/>
                <w:bCs w:val="1"/>
                <w:color w:val="auto"/>
              </w:rPr>
              <w:t>Stockholders’ investment:</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Common stock:</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00" w:type="dxa"/>
            <w:vAlign w:val="bottom"/>
          </w:tcPr>
          <w:p>
            <w:pPr>
              <w:ind w:left="400"/>
              <w:spacing w:after="0" w:line="201" w:lineRule="exact"/>
              <w:rPr>
                <w:sz w:val="20"/>
                <w:szCs w:val="20"/>
                <w:color w:val="auto"/>
              </w:rPr>
            </w:pPr>
            <w:r>
              <w:rPr>
                <w:rFonts w:ascii="Arial" w:cs="Arial" w:eastAsia="Arial" w:hAnsi="Arial"/>
                <w:sz w:val="18"/>
                <w:szCs w:val="18"/>
                <w:color w:val="auto"/>
              </w:rPr>
              <w:t>Class A nonvoting common stock — Issued 51,261,487 and 51,261,487 shares and outstanding</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513</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vMerge w:val="restart"/>
          </w:tcPr>
          <w:p>
            <w:pPr>
              <w:jc w:val="right"/>
              <w:ind w:right="100"/>
              <w:spacing w:after="0"/>
              <w:rPr>
                <w:sz w:val="20"/>
                <w:szCs w:val="20"/>
                <w:color w:val="auto"/>
              </w:rPr>
            </w:pPr>
            <w:r>
              <w:rPr>
                <w:rFonts w:ascii="Arial" w:cs="Arial" w:eastAsia="Arial" w:hAnsi="Arial"/>
                <w:sz w:val="18"/>
                <w:szCs w:val="18"/>
                <w:b w:val="1"/>
                <w:bCs w:val="1"/>
                <w:color w:val="auto"/>
              </w:rPr>
              <w:t>513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00" w:type="dxa"/>
            <w:vAlign w:val="bottom"/>
          </w:tcPr>
          <w:p>
            <w:pPr>
              <w:ind w:left="600"/>
              <w:spacing w:after="0" w:line="203" w:lineRule="exact"/>
              <w:rPr>
                <w:sz w:val="20"/>
                <w:szCs w:val="20"/>
                <w:color w:val="auto"/>
              </w:rPr>
            </w:pPr>
            <w:r>
              <w:rPr>
                <w:rFonts w:ascii="Arial" w:cs="Arial" w:eastAsia="Arial" w:hAnsi="Arial"/>
                <w:sz w:val="18"/>
                <w:szCs w:val="18"/>
                <w:color w:val="auto"/>
              </w:rPr>
              <w:t>48,745,180 and 50,005,296 shares, respectively</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0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Class B voting common stock — Issued and outstanding, 3,538,628 shares</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35</w:t>
            </w: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35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00" w:type="dxa"/>
            <w:vAlign w:val="bottom"/>
          </w:tcPr>
          <w:p>
            <w:pPr>
              <w:ind w:left="200"/>
              <w:spacing w:after="0" w:line="202" w:lineRule="exact"/>
              <w:rPr>
                <w:sz w:val="20"/>
                <w:szCs w:val="20"/>
                <w:color w:val="auto"/>
              </w:rPr>
            </w:pPr>
            <w:r>
              <w:rPr>
                <w:rFonts w:ascii="Arial" w:cs="Arial" w:eastAsia="Arial" w:hAnsi="Arial"/>
                <w:sz w:val="18"/>
                <w:szCs w:val="18"/>
                <w:color w:val="auto"/>
              </w:rPr>
              <w:t>Additional paid-in capital</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296,342</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292,769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Earnings retained in the business</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654,034</w:t>
            </w: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639,059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00" w:type="dxa"/>
            <w:vAlign w:val="bottom"/>
          </w:tcPr>
          <w:p>
            <w:pPr>
              <w:ind w:left="200"/>
              <w:spacing w:after="0" w:line="201" w:lineRule="exact"/>
              <w:rPr>
                <w:sz w:val="20"/>
                <w:szCs w:val="20"/>
                <w:color w:val="auto"/>
              </w:rPr>
            </w:pPr>
            <w:r>
              <w:rPr>
                <w:rFonts w:ascii="Arial" w:cs="Arial" w:eastAsia="Arial" w:hAnsi="Arial"/>
                <w:sz w:val="18"/>
                <w:szCs w:val="18"/>
                <w:color w:val="auto"/>
              </w:rPr>
              <w:t>Treasury stock — 2,306,307 and 1,046,191 shares, respectively of Class A nonvoting common</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60" w:type="dxa"/>
            <w:vAlign w:val="bottom"/>
            <w:gridSpan w:val="2"/>
            <w:vMerge w:val="restart"/>
          </w:tcPr>
          <w:p>
            <w:pPr>
              <w:jc w:val="right"/>
              <w:ind w:right="580"/>
              <w:spacing w:after="0"/>
              <w:rPr>
                <w:sz w:val="20"/>
                <w:szCs w:val="20"/>
                <w:color w:val="auto"/>
              </w:rPr>
            </w:pPr>
            <w:r>
              <w:rPr>
                <w:rFonts w:ascii="Arial" w:cs="Arial" w:eastAsia="Arial" w:hAnsi="Arial"/>
                <w:sz w:val="18"/>
                <w:szCs w:val="18"/>
                <w:b w:val="1"/>
                <w:bCs w:val="1"/>
                <w:color w:val="auto"/>
              </w:rPr>
              <w:t>(70,917)</w:t>
            </w:r>
          </w:p>
        </w:tc>
        <w:tc>
          <w:tcPr>
            <w:tcW w:w="100" w:type="dxa"/>
            <w:vAlign w:val="bottom"/>
          </w:tcPr>
          <w:p>
            <w:pPr>
              <w:spacing w:after="0"/>
              <w:rPr>
                <w:sz w:val="17"/>
                <w:szCs w:val="17"/>
                <w:color w:val="auto"/>
              </w:rPr>
            </w:pPr>
          </w:p>
        </w:tc>
        <w:tc>
          <w:tcPr>
            <w:tcW w:w="920" w:type="dxa"/>
            <w:vAlign w:val="bottom"/>
            <w:gridSpan w:val="2"/>
            <w:vMerge w:val="restart"/>
          </w:tcPr>
          <w:p>
            <w:pPr>
              <w:jc w:val="right"/>
              <w:ind w:right="40"/>
              <w:spacing w:after="0"/>
              <w:rPr>
                <w:sz w:val="20"/>
                <w:szCs w:val="20"/>
                <w:color w:val="auto"/>
              </w:rPr>
            </w:pPr>
            <w:r>
              <w:rPr>
                <w:rFonts w:ascii="Arial" w:cs="Arial" w:eastAsia="Arial" w:hAnsi="Arial"/>
                <w:sz w:val="18"/>
                <w:szCs w:val="18"/>
                <w:b w:val="1"/>
                <w:bCs w:val="1"/>
                <w:color w:val="auto"/>
              </w:rPr>
              <w:t>(33,234)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00" w:type="dxa"/>
            <w:vAlign w:val="bottom"/>
          </w:tcPr>
          <w:p>
            <w:pPr>
              <w:ind w:left="400"/>
              <w:spacing w:after="0" w:line="203" w:lineRule="exact"/>
              <w:rPr>
                <w:sz w:val="20"/>
                <w:szCs w:val="20"/>
                <w:color w:val="auto"/>
              </w:rPr>
            </w:pPr>
            <w:r>
              <w:rPr>
                <w:rFonts w:ascii="Arial" w:cs="Arial" w:eastAsia="Arial" w:hAnsi="Arial"/>
                <w:sz w:val="18"/>
                <w:szCs w:val="18"/>
                <w:color w:val="auto"/>
              </w:rPr>
              <w:t>stock, at cost</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Accumulated other comprehensive income</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580"/>
              <w:spacing w:after="0" w:line="202" w:lineRule="exact"/>
              <w:rPr>
                <w:sz w:val="20"/>
                <w:szCs w:val="20"/>
                <w:color w:val="auto"/>
              </w:rPr>
            </w:pPr>
            <w:r>
              <w:rPr>
                <w:rFonts w:ascii="Arial" w:cs="Arial" w:eastAsia="Arial" w:hAnsi="Arial"/>
                <w:sz w:val="18"/>
                <w:szCs w:val="18"/>
                <w:b w:val="1"/>
                <w:bCs w:val="1"/>
                <w:color w:val="auto"/>
              </w:rPr>
              <w:t>(9,427)</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128,161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00" w:type="dxa"/>
            <w:vAlign w:val="bottom"/>
          </w:tcPr>
          <w:p>
            <w:pPr>
              <w:ind w:left="200"/>
              <w:spacing w:after="0" w:line="202" w:lineRule="exact"/>
              <w:rPr>
                <w:sz w:val="20"/>
                <w:szCs w:val="20"/>
                <w:color w:val="auto"/>
              </w:rPr>
            </w:pPr>
            <w:r>
              <w:rPr>
                <w:rFonts w:ascii="Arial" w:cs="Arial" w:eastAsia="Arial" w:hAnsi="Arial"/>
                <w:sz w:val="18"/>
                <w:szCs w:val="18"/>
                <w:color w:val="auto"/>
              </w:rPr>
              <w:t>Other</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60" w:type="dxa"/>
            <w:vAlign w:val="bottom"/>
            <w:gridSpan w:val="2"/>
          </w:tcPr>
          <w:p>
            <w:pPr>
              <w:jc w:val="right"/>
              <w:ind w:right="580"/>
              <w:spacing w:after="0" w:line="202" w:lineRule="exact"/>
              <w:rPr>
                <w:sz w:val="20"/>
                <w:szCs w:val="20"/>
                <w:color w:val="auto"/>
              </w:rPr>
            </w:pPr>
            <w:r>
              <w:rPr>
                <w:rFonts w:ascii="Arial" w:cs="Arial" w:eastAsia="Arial" w:hAnsi="Arial"/>
                <w:sz w:val="18"/>
                <w:szCs w:val="18"/>
                <w:b w:val="1"/>
                <w:bCs w:val="1"/>
                <w:color w:val="auto"/>
              </w:rPr>
              <w:t>(4,908)</w:t>
            </w:r>
          </w:p>
        </w:tc>
        <w:tc>
          <w:tcPr>
            <w:tcW w:w="100" w:type="dxa"/>
            <w:vAlign w:val="bottom"/>
          </w:tcPr>
          <w:p>
            <w:pPr>
              <w:spacing w:after="0"/>
              <w:rPr>
                <w:sz w:val="17"/>
                <w:szCs w:val="17"/>
                <w:color w:val="auto"/>
              </w:rPr>
            </w:pPr>
          </w:p>
        </w:tc>
        <w:tc>
          <w:tcPr>
            <w:tcW w:w="920" w:type="dxa"/>
            <w:vAlign w:val="bottom"/>
            <w:gridSpan w:val="2"/>
          </w:tcPr>
          <w:p>
            <w:pPr>
              <w:jc w:val="right"/>
              <w:ind w:right="40"/>
              <w:spacing w:after="0" w:line="202" w:lineRule="exact"/>
              <w:rPr>
                <w:sz w:val="20"/>
                <w:szCs w:val="20"/>
                <w:color w:val="auto"/>
              </w:rPr>
            </w:pPr>
            <w:r>
              <w:rPr>
                <w:rFonts w:ascii="Arial" w:cs="Arial" w:eastAsia="Arial" w:hAnsi="Arial"/>
                <w:sz w:val="18"/>
                <w:szCs w:val="18"/>
                <w:b w:val="1"/>
                <w:bCs w:val="1"/>
                <w:color w:val="auto"/>
              </w:rPr>
              <w:t>(5,495)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00" w:type="dxa"/>
            <w:vAlign w:val="bottom"/>
            <w:shd w:val="clear" w:color="auto" w:fill="CCEEFF"/>
          </w:tcPr>
          <w:p>
            <w:pPr>
              <w:ind w:left="600"/>
              <w:spacing w:after="0" w:line="202" w:lineRule="exact"/>
              <w:rPr>
                <w:sz w:val="20"/>
                <w:szCs w:val="20"/>
                <w:color w:val="auto"/>
              </w:rPr>
            </w:pPr>
            <w:r>
              <w:rPr>
                <w:rFonts w:ascii="Arial" w:cs="Arial" w:eastAsia="Arial" w:hAnsi="Arial"/>
                <w:sz w:val="18"/>
                <w:szCs w:val="18"/>
                <w:b w:val="1"/>
                <w:bCs w:val="1"/>
                <w:color w:val="auto"/>
              </w:rPr>
              <w:t>Total stockholders’ investment</w:t>
            </w:r>
          </w:p>
        </w:tc>
        <w:tc>
          <w:tcPr>
            <w:tcW w:w="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865,672</w:t>
            </w:r>
          </w:p>
        </w:tc>
        <w:tc>
          <w:tcPr>
            <w:tcW w:w="6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99"/>
              </w:rPr>
              <w:t>1,021,808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62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220" w:type="dxa"/>
            <w:vAlign w:val="bottom"/>
            <w:gridSpan w:val="2"/>
          </w:tcPr>
          <w:p>
            <w:pPr>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1,575,755</w:t>
            </w:r>
          </w:p>
        </w:tc>
        <w:tc>
          <w:tcPr>
            <w:tcW w:w="640" w:type="dxa"/>
            <w:vAlign w:val="bottom"/>
          </w:tcPr>
          <w:p>
            <w:pPr>
              <w:spacing w:after="0"/>
              <w:rPr>
                <w:sz w:val="24"/>
                <w:szCs w:val="24"/>
                <w:color w:val="auto"/>
              </w:rPr>
            </w:pPr>
          </w:p>
        </w:tc>
        <w:tc>
          <w:tcPr>
            <w:tcW w:w="100" w:type="dxa"/>
            <w:vAlign w:val="bottom"/>
          </w:tcPr>
          <w:p>
            <w:pPr>
              <w:spacing w:after="0"/>
              <w:rPr>
                <w:sz w:val="20"/>
                <w:szCs w:val="20"/>
                <w:color w:val="auto"/>
              </w:rPr>
            </w:pPr>
            <w:r>
              <w:rPr>
                <w:rFonts w:ascii="Arial" w:cs="Arial" w:eastAsia="Arial" w:hAnsi="Arial"/>
                <w:sz w:val="18"/>
                <w:szCs w:val="18"/>
                <w:b w:val="1"/>
                <w:bCs w:val="1"/>
                <w:u w:val="single" w:color="auto"/>
                <w:color w:val="auto"/>
                <w:w w:val="7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9"/>
              </w:rPr>
              <w:t>1,850,513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2"/>
        </w:trPr>
        <w:tc>
          <w:tcPr>
            <w:tcW w:w="20" w:type="dxa"/>
            <w:vAlign w:val="bottom"/>
          </w:tcPr>
          <w:p>
            <w:pPr>
              <w:spacing w:after="0"/>
              <w:rPr>
                <w:sz w:val="24"/>
                <w:szCs w:val="24"/>
                <w:color w:val="auto"/>
              </w:rPr>
            </w:pPr>
          </w:p>
        </w:tc>
        <w:tc>
          <w:tcPr>
            <w:tcW w:w="860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920" w:type="dxa"/>
            <w:vAlign w:val="bottom"/>
            <w:tcBorders>
              <w:bottom w:val="single" w:sz="8" w:color="808080"/>
            </w:tcBorders>
          </w:tcPr>
          <w:p>
            <w:pPr>
              <w:spacing w:after="0"/>
              <w:rPr>
                <w:sz w:val="24"/>
                <w:szCs w:val="24"/>
                <w:color w:val="auto"/>
              </w:rPr>
            </w:pPr>
          </w:p>
        </w:tc>
        <w:tc>
          <w:tcPr>
            <w:tcW w:w="64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27" w:right="239" w:bottom="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BRADY CORPORATION AND SUBSIDIARIES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3"/>
          </w:tcPr>
          <w:p>
            <w:pPr>
              <w:jc w:val="center"/>
              <w:ind w:left="452"/>
              <w:spacing w:after="0"/>
              <w:rPr>
                <w:sz w:val="20"/>
                <w:szCs w:val="20"/>
                <w:color w:val="auto"/>
              </w:rPr>
            </w:pPr>
            <w:r>
              <w:rPr>
                <w:rFonts w:ascii="Arial" w:cs="Arial" w:eastAsia="Arial" w:hAnsi="Arial"/>
                <w:sz w:val="14"/>
                <w:szCs w:val="14"/>
                <w:color w:val="auto"/>
              </w:rPr>
              <w:t>(Unaudited)</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20" w:type="dxa"/>
            <w:vAlign w:val="bottom"/>
            <w:gridSpan w:val="5"/>
          </w:tcPr>
          <w:p>
            <w:pPr>
              <w:jc w:val="center"/>
              <w:ind w:right="220"/>
              <w:spacing w:after="0"/>
              <w:rPr>
                <w:sz w:val="20"/>
                <w:szCs w:val="20"/>
                <w:color w:val="auto"/>
              </w:rPr>
            </w:pPr>
            <w:r>
              <w:rPr>
                <w:rFonts w:ascii="Arial" w:cs="Arial" w:eastAsia="Arial" w:hAnsi="Arial"/>
                <w:sz w:val="14"/>
                <w:szCs w:val="14"/>
                <w:color w:val="auto"/>
              </w:rPr>
              <w:t>Six Months Ended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3"/>
          </w:tcPr>
          <w:p>
            <w:pPr>
              <w:jc w:val="center"/>
              <w:ind w:left="452"/>
              <w:spacing w:after="0"/>
              <w:rPr>
                <w:sz w:val="20"/>
                <w:szCs w:val="20"/>
                <w:color w:val="auto"/>
              </w:rPr>
            </w:pPr>
            <w:r>
              <w:rPr>
                <w:rFonts w:ascii="Arial" w:cs="Arial" w:eastAsia="Arial" w:hAnsi="Arial"/>
                <w:sz w:val="14"/>
                <w:szCs w:val="14"/>
                <w:color w:val="auto"/>
              </w:rPr>
              <w:t>January 31,</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8340" w:type="dxa"/>
            <w:vAlign w:val="bottom"/>
            <w:gridSpan w:val="2"/>
          </w:tcPr>
          <w:p>
            <w:pPr>
              <w:spacing w:after="0" w:line="157" w:lineRule="exact"/>
              <w:rPr>
                <w:sz w:val="20"/>
                <w:szCs w:val="20"/>
                <w:color w:val="auto"/>
              </w:rPr>
            </w:pPr>
            <w:r>
              <w:rPr>
                <w:rFonts w:ascii="Arial" w:cs="Arial" w:eastAsia="Arial" w:hAnsi="Arial"/>
                <w:sz w:val="14"/>
                <w:szCs w:val="14"/>
                <w:color w:val="auto"/>
              </w:rPr>
              <w:t>(Dollars in Thousands)</w:t>
            </w:r>
          </w:p>
        </w:tc>
        <w:tc>
          <w:tcPr>
            <w:tcW w:w="7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32"/>
              <w:spacing w:after="0" w:line="157" w:lineRule="exact"/>
              <w:rPr>
                <w:sz w:val="20"/>
                <w:szCs w:val="20"/>
                <w:color w:val="auto"/>
              </w:rPr>
            </w:pPr>
            <w:r>
              <w:rPr>
                <w:rFonts w:ascii="Arial" w:cs="Arial" w:eastAsia="Arial" w:hAnsi="Arial"/>
                <w:sz w:val="14"/>
                <w:szCs w:val="14"/>
                <w:color w:val="auto"/>
              </w:rPr>
              <w:t>2009</w:t>
            </w:r>
          </w:p>
        </w:tc>
        <w:tc>
          <w:tcPr>
            <w:tcW w:w="6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50"/>
              <w:spacing w:after="0" w:line="157" w:lineRule="exact"/>
              <w:rPr>
                <w:sz w:val="20"/>
                <w:szCs w:val="20"/>
                <w:color w:val="auto"/>
              </w:rPr>
            </w:pPr>
            <w:r>
              <w:rPr>
                <w:rFonts w:ascii="Arial" w:cs="Arial" w:eastAsia="Arial" w:hAnsi="Arial"/>
                <w:sz w:val="14"/>
                <w:szCs w:val="14"/>
                <w:color w:val="auto"/>
              </w:rPr>
              <w:t>2008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3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Operating activities:</w:t>
            </w: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20" w:type="dxa"/>
            <w:vAlign w:val="bottom"/>
          </w:tcPr>
          <w:p>
            <w:pPr>
              <w:spacing w:after="0" w:line="202" w:lineRule="exact"/>
              <w:rPr>
                <w:sz w:val="20"/>
                <w:szCs w:val="20"/>
                <w:color w:val="auto"/>
              </w:rPr>
            </w:pPr>
            <w:r>
              <w:rPr>
                <w:rFonts w:ascii="Arial" w:cs="Arial" w:eastAsia="Arial" w:hAnsi="Arial"/>
                <w:sz w:val="18"/>
                <w:szCs w:val="18"/>
                <w:color w:val="auto"/>
              </w:rPr>
              <w:t>Net income</w:t>
            </w:r>
          </w:p>
        </w:tc>
        <w:tc>
          <w:tcPr>
            <w:tcW w:w="8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680"/>
              <w:spacing w:after="0" w:line="202" w:lineRule="exact"/>
              <w:rPr>
                <w:sz w:val="20"/>
                <w:szCs w:val="20"/>
                <w:color w:val="auto"/>
              </w:rPr>
            </w:pPr>
            <w:r>
              <w:rPr>
                <w:rFonts w:ascii="Arial" w:cs="Arial" w:eastAsia="Arial" w:hAnsi="Arial"/>
                <w:sz w:val="18"/>
                <w:szCs w:val="18"/>
                <w:color w:val="auto"/>
              </w:rPr>
              <w:t>32,960</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63,060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Adjustments to reconcile net income to net cash provided by operating activities:</w:t>
            </w: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20" w:type="dxa"/>
            <w:vAlign w:val="bottom"/>
          </w:tcPr>
          <w:p>
            <w:pPr>
              <w:ind w:left="200"/>
              <w:spacing w:after="0" w:line="202" w:lineRule="exact"/>
              <w:rPr>
                <w:sz w:val="20"/>
                <w:szCs w:val="20"/>
                <w:color w:val="auto"/>
              </w:rPr>
            </w:pPr>
            <w:r>
              <w:rPr>
                <w:rFonts w:ascii="Arial" w:cs="Arial" w:eastAsia="Arial" w:hAnsi="Arial"/>
                <w:sz w:val="18"/>
                <w:szCs w:val="18"/>
                <w:color w:val="auto"/>
              </w:rPr>
              <w:t>Depreciation and amortization</w:t>
            </w: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2"/>
          </w:tcPr>
          <w:p>
            <w:pPr>
              <w:jc w:val="right"/>
              <w:ind w:right="680"/>
              <w:spacing w:after="0" w:line="202" w:lineRule="exact"/>
              <w:rPr>
                <w:sz w:val="20"/>
                <w:szCs w:val="20"/>
                <w:color w:val="auto"/>
              </w:rPr>
            </w:pPr>
            <w:r>
              <w:rPr>
                <w:rFonts w:ascii="Arial" w:cs="Arial" w:eastAsia="Arial" w:hAnsi="Arial"/>
                <w:sz w:val="18"/>
                <w:szCs w:val="18"/>
                <w:color w:val="auto"/>
              </w:rPr>
              <w:t>27,193</w:t>
            </w:r>
          </w:p>
        </w:tc>
        <w:tc>
          <w:tcPr>
            <w:tcW w:w="120" w:type="dxa"/>
            <w:vAlign w:val="bottom"/>
          </w:tcPr>
          <w:p>
            <w:pPr>
              <w:spacing w:after="0"/>
              <w:rPr>
                <w:sz w:val="17"/>
                <w:szCs w:val="17"/>
                <w:color w:val="auto"/>
              </w:rPr>
            </w:pPr>
          </w:p>
        </w:tc>
        <w:tc>
          <w:tcPr>
            <w:tcW w:w="7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29,669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Non-cash portion of restructuring charges</w:t>
            </w: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rPr>
              <w:t>1,916</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20" w:type="dxa"/>
            <w:vAlign w:val="bottom"/>
          </w:tcPr>
          <w:p>
            <w:pPr>
              <w:ind w:left="200"/>
              <w:spacing w:after="0" w:line="202" w:lineRule="exact"/>
              <w:rPr>
                <w:sz w:val="20"/>
                <w:szCs w:val="20"/>
                <w:color w:val="auto"/>
              </w:rPr>
            </w:pPr>
            <w:r>
              <w:rPr>
                <w:rFonts w:ascii="Arial" w:cs="Arial" w:eastAsia="Arial" w:hAnsi="Arial"/>
                <w:sz w:val="18"/>
                <w:szCs w:val="18"/>
                <w:color w:val="auto"/>
              </w:rPr>
              <w:t>Non-cash portion of stock-based compensation expense</w:t>
            </w: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2"/>
          </w:tcPr>
          <w:p>
            <w:pPr>
              <w:jc w:val="right"/>
              <w:ind w:right="680"/>
              <w:spacing w:after="0" w:line="202" w:lineRule="exact"/>
              <w:rPr>
                <w:sz w:val="20"/>
                <w:szCs w:val="20"/>
                <w:color w:val="auto"/>
              </w:rPr>
            </w:pPr>
            <w:r>
              <w:rPr>
                <w:rFonts w:ascii="Arial" w:cs="Arial" w:eastAsia="Arial" w:hAnsi="Arial"/>
                <w:sz w:val="18"/>
                <w:szCs w:val="18"/>
                <w:color w:val="auto"/>
              </w:rPr>
              <w:t>4,244</w:t>
            </w:r>
          </w:p>
        </w:tc>
        <w:tc>
          <w:tcPr>
            <w:tcW w:w="120" w:type="dxa"/>
            <w:vAlign w:val="bottom"/>
          </w:tcPr>
          <w:p>
            <w:pPr>
              <w:spacing w:after="0"/>
              <w:rPr>
                <w:sz w:val="17"/>
                <w:szCs w:val="17"/>
                <w:color w:val="auto"/>
              </w:rPr>
            </w:pPr>
          </w:p>
        </w:tc>
        <w:tc>
          <w:tcPr>
            <w:tcW w:w="7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6,382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Other</w:t>
            </w: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rPr>
              <w:t>1,274</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(517)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20" w:type="dxa"/>
            <w:vAlign w:val="bottom"/>
          </w:tcPr>
          <w:p>
            <w:pPr>
              <w:ind w:left="200"/>
              <w:spacing w:after="0" w:line="202" w:lineRule="exact"/>
              <w:rPr>
                <w:sz w:val="20"/>
                <w:szCs w:val="20"/>
                <w:color w:val="auto"/>
              </w:rPr>
            </w:pPr>
            <w:r>
              <w:rPr>
                <w:rFonts w:ascii="Arial" w:cs="Arial" w:eastAsia="Arial" w:hAnsi="Arial"/>
                <w:sz w:val="18"/>
                <w:szCs w:val="18"/>
                <w:color w:val="auto"/>
              </w:rPr>
              <w:t>Changes in operating assets and liabilities (net of effects of business acquisitions):</w:t>
            </w: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2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Accounts receivable</w:t>
            </w: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rPr>
              <w:t>42,156</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7,080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20" w:type="dxa"/>
            <w:vAlign w:val="bottom"/>
          </w:tcPr>
          <w:p>
            <w:pPr>
              <w:ind w:left="400"/>
              <w:spacing w:after="0" w:line="202" w:lineRule="exact"/>
              <w:rPr>
                <w:sz w:val="20"/>
                <w:szCs w:val="20"/>
                <w:color w:val="auto"/>
              </w:rPr>
            </w:pPr>
            <w:r>
              <w:rPr>
                <w:rFonts w:ascii="Arial" w:cs="Arial" w:eastAsia="Arial" w:hAnsi="Arial"/>
                <w:sz w:val="18"/>
                <w:szCs w:val="18"/>
                <w:color w:val="auto"/>
              </w:rPr>
              <w:t>Inventories</w:t>
            </w: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2"/>
          </w:tcPr>
          <w:p>
            <w:pPr>
              <w:jc w:val="right"/>
              <w:ind w:right="620"/>
              <w:spacing w:after="0" w:line="202" w:lineRule="exact"/>
              <w:rPr>
                <w:sz w:val="20"/>
                <w:szCs w:val="20"/>
                <w:color w:val="auto"/>
              </w:rPr>
            </w:pPr>
            <w:r>
              <w:rPr>
                <w:rFonts w:ascii="Arial" w:cs="Arial" w:eastAsia="Arial" w:hAnsi="Arial"/>
                <w:sz w:val="18"/>
                <w:szCs w:val="18"/>
                <w:color w:val="auto"/>
              </w:rPr>
              <w:t>(548)</w:t>
            </w:r>
          </w:p>
        </w:tc>
        <w:tc>
          <w:tcPr>
            <w:tcW w:w="120" w:type="dxa"/>
            <w:vAlign w:val="bottom"/>
          </w:tcPr>
          <w:p>
            <w:pPr>
              <w:spacing w:after="0"/>
              <w:rPr>
                <w:sz w:val="17"/>
                <w:szCs w:val="17"/>
                <w:color w:val="auto"/>
              </w:rPr>
            </w:pPr>
          </w:p>
        </w:tc>
        <w:tc>
          <w:tcPr>
            <w:tcW w:w="7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7,571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2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Prepaid expenses and other assets</w:t>
            </w: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(3,648)</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(7,339)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20" w:type="dxa"/>
            <w:vAlign w:val="bottom"/>
          </w:tcPr>
          <w:p>
            <w:pPr>
              <w:ind w:left="400"/>
              <w:spacing w:after="0" w:line="202" w:lineRule="exact"/>
              <w:rPr>
                <w:sz w:val="20"/>
                <w:szCs w:val="20"/>
                <w:color w:val="auto"/>
              </w:rPr>
            </w:pPr>
            <w:r>
              <w:rPr>
                <w:rFonts w:ascii="Arial" w:cs="Arial" w:eastAsia="Arial" w:hAnsi="Arial"/>
                <w:sz w:val="18"/>
                <w:szCs w:val="18"/>
                <w:color w:val="auto"/>
              </w:rPr>
              <w:t>Accounts payable and accrued liabilities</w:t>
            </w: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2"/>
          </w:tcPr>
          <w:p>
            <w:pPr>
              <w:jc w:val="right"/>
              <w:ind w:right="620"/>
              <w:spacing w:after="0" w:line="202" w:lineRule="exact"/>
              <w:rPr>
                <w:sz w:val="20"/>
                <w:szCs w:val="20"/>
                <w:color w:val="auto"/>
              </w:rPr>
            </w:pPr>
            <w:r>
              <w:rPr>
                <w:rFonts w:ascii="Arial" w:cs="Arial" w:eastAsia="Arial" w:hAnsi="Arial"/>
                <w:sz w:val="18"/>
                <w:szCs w:val="18"/>
                <w:color w:val="auto"/>
              </w:rPr>
              <w:t>(64,413)</w:t>
            </w:r>
          </w:p>
        </w:tc>
        <w:tc>
          <w:tcPr>
            <w:tcW w:w="120" w:type="dxa"/>
            <w:vAlign w:val="bottom"/>
          </w:tcPr>
          <w:p>
            <w:pPr>
              <w:spacing w:after="0"/>
              <w:rPr>
                <w:sz w:val="17"/>
                <w:szCs w:val="17"/>
                <w:color w:val="auto"/>
              </w:rPr>
            </w:pPr>
          </w:p>
        </w:tc>
        <w:tc>
          <w:tcPr>
            <w:tcW w:w="7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(17,117)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2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Income taxes</w:t>
            </w: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(17,428)</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(1,266)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20" w:type="dxa"/>
            <w:vAlign w:val="bottom"/>
          </w:tcPr>
          <w:p>
            <w:pPr>
              <w:ind w:left="400"/>
              <w:spacing w:after="0" w:line="202" w:lineRule="exact"/>
              <w:rPr>
                <w:sz w:val="20"/>
                <w:szCs w:val="20"/>
                <w:color w:val="auto"/>
              </w:rPr>
            </w:pPr>
            <w:r>
              <w:rPr>
                <w:rFonts w:ascii="Arial" w:cs="Arial" w:eastAsia="Arial" w:hAnsi="Arial"/>
                <w:sz w:val="18"/>
                <w:szCs w:val="18"/>
                <w:color w:val="auto"/>
              </w:rPr>
              <w:t>Other liabilities</w:t>
            </w: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2"/>
          </w:tcPr>
          <w:p>
            <w:pPr>
              <w:jc w:val="right"/>
              <w:ind w:right="620"/>
              <w:spacing w:after="0" w:line="202" w:lineRule="exact"/>
              <w:rPr>
                <w:sz w:val="20"/>
                <w:szCs w:val="20"/>
                <w:color w:val="auto"/>
              </w:rPr>
            </w:pPr>
            <w:r>
              <w:rPr>
                <w:rFonts w:ascii="Arial" w:cs="Arial" w:eastAsia="Arial" w:hAnsi="Arial"/>
                <w:sz w:val="18"/>
                <w:szCs w:val="18"/>
                <w:color w:val="auto"/>
              </w:rPr>
              <w:t>(1,689)</w:t>
            </w:r>
          </w:p>
        </w:tc>
        <w:tc>
          <w:tcPr>
            <w:tcW w:w="120" w:type="dxa"/>
            <w:vAlign w:val="bottom"/>
          </w:tcPr>
          <w:p>
            <w:pPr>
              <w:spacing w:after="0"/>
              <w:rPr>
                <w:sz w:val="17"/>
                <w:szCs w:val="17"/>
                <w:color w:val="auto"/>
              </w:rPr>
            </w:pPr>
          </w:p>
        </w:tc>
        <w:tc>
          <w:tcPr>
            <w:tcW w:w="7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3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8320" w:type="dxa"/>
            <w:vAlign w:val="bottom"/>
            <w:shd w:val="clear" w:color="auto" w:fill="CCEEFF"/>
          </w:tcPr>
          <w:p>
            <w:pPr>
              <w:ind w:left="600"/>
              <w:spacing w:after="0" w:line="202" w:lineRule="exact"/>
              <w:rPr>
                <w:sz w:val="20"/>
                <w:szCs w:val="20"/>
                <w:color w:val="auto"/>
              </w:rPr>
            </w:pPr>
            <w:r>
              <w:rPr>
                <w:rFonts w:ascii="Arial" w:cs="Arial" w:eastAsia="Arial" w:hAnsi="Arial"/>
                <w:sz w:val="18"/>
                <w:szCs w:val="18"/>
                <w:color w:val="auto"/>
              </w:rPr>
              <w:t>Net cash provided by operating activities</w:t>
            </w: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rPr>
              <w:t>22,017</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87,848</w:t>
            </w:r>
          </w:p>
        </w:tc>
        <w:tc>
          <w:tcPr>
            <w:tcW w:w="0" w:type="dxa"/>
            <w:vAlign w:val="bottom"/>
          </w:tcPr>
          <w:p>
            <w:pPr>
              <w:spacing w:after="0"/>
              <w:rPr>
                <w:sz w:val="1"/>
                <w:szCs w:val="1"/>
                <w:color w:val="auto"/>
              </w:rPr>
            </w:pPr>
          </w:p>
        </w:tc>
      </w:tr>
      <w:tr>
        <w:trPr>
          <w:trHeight w:val="405"/>
        </w:trPr>
        <w:tc>
          <w:tcPr>
            <w:tcW w:w="8340" w:type="dxa"/>
            <w:vAlign w:val="bottom"/>
            <w:gridSpan w:val="2"/>
          </w:tcPr>
          <w:p>
            <w:pPr>
              <w:spacing w:after="0"/>
              <w:rPr>
                <w:sz w:val="20"/>
                <w:szCs w:val="20"/>
                <w:color w:val="auto"/>
              </w:rPr>
            </w:pPr>
            <w:r>
              <w:rPr>
                <w:rFonts w:ascii="Arial" w:cs="Arial" w:eastAsia="Arial" w:hAnsi="Arial"/>
                <w:sz w:val="18"/>
                <w:szCs w:val="18"/>
                <w:color w:val="auto"/>
              </w:rPr>
              <w:t>Investing activities:</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Acquisition of businesses, net of cash acquired</w:t>
            </w: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(24,552)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20" w:type="dxa"/>
            <w:vAlign w:val="bottom"/>
          </w:tcPr>
          <w:p>
            <w:pPr>
              <w:ind w:left="200"/>
              <w:spacing w:after="0" w:line="202" w:lineRule="exact"/>
              <w:rPr>
                <w:sz w:val="20"/>
                <w:szCs w:val="20"/>
                <w:color w:val="auto"/>
              </w:rPr>
            </w:pPr>
            <w:r>
              <w:rPr>
                <w:rFonts w:ascii="Arial" w:cs="Arial" w:eastAsia="Arial" w:hAnsi="Arial"/>
                <w:sz w:val="18"/>
                <w:szCs w:val="18"/>
                <w:color w:val="auto"/>
              </w:rPr>
              <w:t>Purchase price adjustment</w:t>
            </w: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2"/>
          </w:tcPr>
          <w:p>
            <w:pPr>
              <w:jc w:val="right"/>
              <w:ind w:right="680"/>
              <w:spacing w:after="0" w:line="202" w:lineRule="exact"/>
              <w:rPr>
                <w:sz w:val="20"/>
                <w:szCs w:val="20"/>
                <w:color w:val="auto"/>
              </w:rPr>
            </w:pPr>
            <w:r>
              <w:rPr>
                <w:rFonts w:ascii="Arial" w:cs="Arial" w:eastAsia="Arial" w:hAnsi="Arial"/>
                <w:sz w:val="18"/>
                <w:szCs w:val="18"/>
                <w:color w:val="auto"/>
              </w:rPr>
              <w:t>3,514</w:t>
            </w:r>
          </w:p>
        </w:tc>
        <w:tc>
          <w:tcPr>
            <w:tcW w:w="120" w:type="dxa"/>
            <w:vAlign w:val="bottom"/>
          </w:tcPr>
          <w:p>
            <w:pPr>
              <w:spacing w:after="0"/>
              <w:rPr>
                <w:sz w:val="17"/>
                <w:szCs w:val="17"/>
                <w:color w:val="auto"/>
              </w:rPr>
            </w:pPr>
          </w:p>
        </w:tc>
        <w:tc>
          <w:tcPr>
            <w:tcW w:w="7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Payments of contingent consideration</w:t>
            </w: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(1,405)</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(5,798)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20" w:type="dxa"/>
            <w:vAlign w:val="bottom"/>
          </w:tcPr>
          <w:p>
            <w:pPr>
              <w:ind w:left="200"/>
              <w:spacing w:after="0" w:line="202" w:lineRule="exact"/>
              <w:rPr>
                <w:sz w:val="20"/>
                <w:szCs w:val="20"/>
                <w:color w:val="auto"/>
              </w:rPr>
            </w:pPr>
            <w:r>
              <w:rPr>
                <w:rFonts w:ascii="Arial" w:cs="Arial" w:eastAsia="Arial" w:hAnsi="Arial"/>
                <w:sz w:val="18"/>
                <w:szCs w:val="18"/>
                <w:color w:val="auto"/>
              </w:rPr>
              <w:t>Purchases of short-term investments</w:t>
            </w: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2"/>
          </w:tcPr>
          <w:p>
            <w:pPr>
              <w:jc w:val="right"/>
              <w:ind w:right="68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7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(10,350)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Sales of short-term investments</w:t>
            </w: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29,550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20" w:type="dxa"/>
            <w:vAlign w:val="bottom"/>
          </w:tcPr>
          <w:p>
            <w:pPr>
              <w:ind w:left="200"/>
              <w:spacing w:after="0" w:line="202" w:lineRule="exact"/>
              <w:rPr>
                <w:sz w:val="20"/>
                <w:szCs w:val="20"/>
                <w:color w:val="auto"/>
              </w:rPr>
            </w:pPr>
            <w:r>
              <w:rPr>
                <w:rFonts w:ascii="Arial" w:cs="Arial" w:eastAsia="Arial" w:hAnsi="Arial"/>
                <w:sz w:val="18"/>
                <w:szCs w:val="18"/>
                <w:color w:val="auto"/>
              </w:rPr>
              <w:t>Purchases of property, plant and equipment</w:t>
            </w: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2"/>
          </w:tcPr>
          <w:p>
            <w:pPr>
              <w:jc w:val="right"/>
              <w:ind w:right="620"/>
              <w:spacing w:after="0" w:line="202" w:lineRule="exact"/>
              <w:rPr>
                <w:sz w:val="20"/>
                <w:szCs w:val="20"/>
                <w:color w:val="auto"/>
              </w:rPr>
            </w:pPr>
            <w:r>
              <w:rPr>
                <w:rFonts w:ascii="Arial" w:cs="Arial" w:eastAsia="Arial" w:hAnsi="Arial"/>
                <w:sz w:val="18"/>
                <w:szCs w:val="18"/>
                <w:color w:val="auto"/>
              </w:rPr>
              <w:t>(12,948)</w:t>
            </w:r>
          </w:p>
        </w:tc>
        <w:tc>
          <w:tcPr>
            <w:tcW w:w="120" w:type="dxa"/>
            <w:vAlign w:val="bottom"/>
          </w:tcPr>
          <w:p>
            <w:pPr>
              <w:spacing w:after="0"/>
              <w:rPr>
                <w:sz w:val="17"/>
                <w:szCs w:val="17"/>
                <w:color w:val="auto"/>
              </w:rPr>
            </w:pPr>
          </w:p>
        </w:tc>
        <w:tc>
          <w:tcPr>
            <w:tcW w:w="7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(14,358)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Other</w:t>
            </w: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rPr>
              <w:t>1,998</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(3,259)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8320" w:type="dxa"/>
            <w:vAlign w:val="bottom"/>
          </w:tcPr>
          <w:p>
            <w:pPr>
              <w:ind w:left="600"/>
              <w:spacing w:after="0"/>
              <w:rPr>
                <w:sz w:val="20"/>
                <w:szCs w:val="20"/>
                <w:color w:val="auto"/>
              </w:rPr>
            </w:pPr>
            <w:r>
              <w:rPr>
                <w:rFonts w:ascii="Arial" w:cs="Arial" w:eastAsia="Arial" w:hAnsi="Arial"/>
                <w:sz w:val="18"/>
                <w:szCs w:val="18"/>
                <w:color w:val="auto"/>
              </w:rPr>
              <w:t>Net cash used in investing activities</w:t>
            </w: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ind w:right="620"/>
              <w:spacing w:after="0"/>
              <w:rPr>
                <w:sz w:val="20"/>
                <w:szCs w:val="20"/>
                <w:color w:val="auto"/>
              </w:rPr>
            </w:pPr>
            <w:r>
              <w:rPr>
                <w:rFonts w:ascii="Arial" w:cs="Arial" w:eastAsia="Arial" w:hAnsi="Arial"/>
                <w:sz w:val="18"/>
                <w:szCs w:val="18"/>
                <w:color w:val="auto"/>
              </w:rPr>
              <w:t>(8,841)</w:t>
            </w:r>
          </w:p>
        </w:tc>
        <w:tc>
          <w:tcPr>
            <w:tcW w:w="12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(28,767)</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83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Financing activities:</w:t>
            </w: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20" w:type="dxa"/>
            <w:vAlign w:val="bottom"/>
          </w:tcPr>
          <w:p>
            <w:pPr>
              <w:ind w:left="200"/>
              <w:spacing w:after="0" w:line="202" w:lineRule="exact"/>
              <w:rPr>
                <w:sz w:val="20"/>
                <w:szCs w:val="20"/>
                <w:color w:val="auto"/>
              </w:rPr>
            </w:pPr>
            <w:r>
              <w:rPr>
                <w:rFonts w:ascii="Arial" w:cs="Arial" w:eastAsia="Arial" w:hAnsi="Arial"/>
                <w:sz w:val="18"/>
                <w:szCs w:val="18"/>
                <w:color w:val="auto"/>
              </w:rPr>
              <w:t>Payment of dividends</w:t>
            </w: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2"/>
          </w:tcPr>
          <w:p>
            <w:pPr>
              <w:jc w:val="right"/>
              <w:ind w:right="620"/>
              <w:spacing w:after="0" w:line="202" w:lineRule="exact"/>
              <w:rPr>
                <w:sz w:val="20"/>
                <w:szCs w:val="20"/>
                <w:color w:val="auto"/>
              </w:rPr>
            </w:pPr>
            <w:r>
              <w:rPr>
                <w:rFonts w:ascii="Arial" w:cs="Arial" w:eastAsia="Arial" w:hAnsi="Arial"/>
                <w:sz w:val="18"/>
                <w:szCs w:val="18"/>
                <w:color w:val="auto"/>
              </w:rPr>
              <w:t>(17,985)</w:t>
            </w:r>
          </w:p>
        </w:tc>
        <w:tc>
          <w:tcPr>
            <w:tcW w:w="120" w:type="dxa"/>
            <w:vAlign w:val="bottom"/>
          </w:tcPr>
          <w:p>
            <w:pPr>
              <w:spacing w:after="0"/>
              <w:rPr>
                <w:sz w:val="17"/>
                <w:szCs w:val="17"/>
                <w:color w:val="auto"/>
              </w:rPr>
            </w:pPr>
          </w:p>
        </w:tc>
        <w:tc>
          <w:tcPr>
            <w:tcW w:w="7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(16,285)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Proceeds from issuance of common stock</w:t>
            </w: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rPr>
              <w:t>1,284</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7,980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20" w:type="dxa"/>
            <w:vAlign w:val="bottom"/>
          </w:tcPr>
          <w:p>
            <w:pPr>
              <w:ind w:left="200"/>
              <w:spacing w:after="0" w:line="202" w:lineRule="exact"/>
              <w:rPr>
                <w:sz w:val="20"/>
                <w:szCs w:val="20"/>
                <w:color w:val="auto"/>
              </w:rPr>
            </w:pPr>
            <w:r>
              <w:rPr>
                <w:rFonts w:ascii="Arial" w:cs="Arial" w:eastAsia="Arial" w:hAnsi="Arial"/>
                <w:sz w:val="18"/>
                <w:szCs w:val="18"/>
                <w:color w:val="auto"/>
              </w:rPr>
              <w:t>Principal payments on debt</w:t>
            </w: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2"/>
          </w:tcPr>
          <w:p>
            <w:pPr>
              <w:jc w:val="right"/>
              <w:ind w:right="620"/>
              <w:spacing w:after="0" w:line="202" w:lineRule="exact"/>
              <w:rPr>
                <w:sz w:val="20"/>
                <w:szCs w:val="20"/>
                <w:color w:val="auto"/>
              </w:rPr>
            </w:pPr>
            <w:r>
              <w:rPr>
                <w:rFonts w:ascii="Arial" w:cs="Arial" w:eastAsia="Arial" w:hAnsi="Arial"/>
                <w:sz w:val="18"/>
                <w:szCs w:val="18"/>
                <w:color w:val="auto"/>
              </w:rPr>
              <w:t>(2)</w:t>
            </w:r>
          </w:p>
        </w:tc>
        <w:tc>
          <w:tcPr>
            <w:tcW w:w="120" w:type="dxa"/>
            <w:vAlign w:val="bottom"/>
          </w:tcPr>
          <w:p>
            <w:pPr>
              <w:spacing w:after="0"/>
              <w:rPr>
                <w:sz w:val="17"/>
                <w:szCs w:val="17"/>
                <w:color w:val="auto"/>
              </w:rPr>
            </w:pPr>
          </w:p>
        </w:tc>
        <w:tc>
          <w:tcPr>
            <w:tcW w:w="7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Purchase of treasury stock</w:t>
            </w: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(40,267)</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20" w:type="dxa"/>
            <w:vAlign w:val="bottom"/>
          </w:tcPr>
          <w:p>
            <w:pPr>
              <w:ind w:left="200"/>
              <w:spacing w:after="0" w:line="202" w:lineRule="exact"/>
              <w:rPr>
                <w:sz w:val="20"/>
                <w:szCs w:val="20"/>
                <w:color w:val="auto"/>
              </w:rPr>
            </w:pPr>
            <w:r>
              <w:rPr>
                <w:rFonts w:ascii="Arial" w:cs="Arial" w:eastAsia="Arial" w:hAnsi="Arial"/>
                <w:sz w:val="18"/>
                <w:szCs w:val="18"/>
                <w:color w:val="auto"/>
              </w:rPr>
              <w:t>Proceeds from issuance of debt</w:t>
            </w: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2"/>
          </w:tcPr>
          <w:p>
            <w:pPr>
              <w:jc w:val="right"/>
              <w:ind w:right="68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7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20" w:type="dxa"/>
            <w:vAlign w:val="bottom"/>
            <w:tcBorders>
              <w:bottom w:val="single" w:sz="8" w:color="CCEEFF"/>
            </w:tcBorders>
            <w:shd w:val="clear" w:color="auto" w:fill="CCEEFF"/>
          </w:tcPr>
          <w:p>
            <w:pPr>
              <w:ind w:left="200"/>
              <w:spacing w:after="0" w:line="202" w:lineRule="exact"/>
              <w:rPr>
                <w:sz w:val="20"/>
                <w:szCs w:val="20"/>
                <w:color w:val="auto"/>
              </w:rPr>
            </w:pPr>
            <w:r>
              <w:rPr>
                <w:rFonts w:ascii="Arial" w:cs="Arial" w:eastAsia="Arial" w:hAnsi="Arial"/>
                <w:sz w:val="18"/>
                <w:szCs w:val="18"/>
                <w:color w:val="auto"/>
              </w:rPr>
              <w:t>Income tax benefit from the exercise of stock options and deferred compensation distribution</w:t>
            </w:r>
          </w:p>
        </w:tc>
        <w:tc>
          <w:tcPr>
            <w:tcW w:w="7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847</w:t>
            </w:r>
          </w:p>
        </w:tc>
        <w:tc>
          <w:tcPr>
            <w:tcW w:w="6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4,093</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320" w:type="dxa"/>
            <w:vAlign w:val="bottom"/>
          </w:tcPr>
          <w:p>
            <w:pPr>
              <w:ind w:left="600"/>
              <w:spacing w:after="0" w:line="196" w:lineRule="exact"/>
              <w:rPr>
                <w:sz w:val="20"/>
                <w:szCs w:val="20"/>
                <w:color w:val="auto"/>
              </w:rPr>
            </w:pPr>
            <w:r>
              <w:rPr>
                <w:rFonts w:ascii="Arial" w:cs="Arial" w:eastAsia="Arial" w:hAnsi="Arial"/>
                <w:sz w:val="18"/>
                <w:szCs w:val="18"/>
                <w:color w:val="auto"/>
              </w:rPr>
              <w:t>Net cash (used in) provided by financing activities</w:t>
            </w: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2"/>
          </w:tcPr>
          <w:p>
            <w:pPr>
              <w:jc w:val="right"/>
              <w:ind w:right="620"/>
              <w:spacing w:after="0" w:line="196" w:lineRule="exact"/>
              <w:rPr>
                <w:sz w:val="20"/>
                <w:szCs w:val="20"/>
                <w:color w:val="auto"/>
              </w:rPr>
            </w:pPr>
            <w:r>
              <w:rPr>
                <w:rFonts w:ascii="Arial" w:cs="Arial" w:eastAsia="Arial" w:hAnsi="Arial"/>
                <w:sz w:val="18"/>
                <w:szCs w:val="18"/>
                <w:color w:val="auto"/>
              </w:rPr>
              <w:t>(56,123)</w:t>
            </w:r>
          </w:p>
        </w:tc>
        <w:tc>
          <w:tcPr>
            <w:tcW w:w="120" w:type="dxa"/>
            <w:vAlign w:val="bottom"/>
          </w:tcPr>
          <w:p>
            <w:pPr>
              <w:spacing w:after="0"/>
              <w:rPr>
                <w:sz w:val="17"/>
                <w:szCs w:val="17"/>
                <w:color w:val="auto"/>
              </w:rPr>
            </w:pPr>
          </w:p>
        </w:tc>
        <w:tc>
          <w:tcPr>
            <w:tcW w:w="7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(4,221)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Effect of exchange rate changes on cash</w:t>
            </w: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(30,317)</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733</w:t>
            </w:r>
          </w:p>
        </w:tc>
        <w:tc>
          <w:tcPr>
            <w:tcW w:w="0" w:type="dxa"/>
            <w:vAlign w:val="bottom"/>
          </w:tcPr>
          <w:p>
            <w:pPr>
              <w:spacing w:after="0"/>
              <w:rPr>
                <w:sz w:val="1"/>
                <w:szCs w:val="1"/>
                <w:color w:val="auto"/>
              </w:rPr>
            </w:pPr>
          </w:p>
        </w:tc>
      </w:tr>
      <w:tr>
        <w:trPr>
          <w:trHeight w:val="405"/>
        </w:trPr>
        <w:tc>
          <w:tcPr>
            <w:tcW w:w="8340" w:type="dxa"/>
            <w:vAlign w:val="bottom"/>
            <w:gridSpan w:val="2"/>
          </w:tcPr>
          <w:p>
            <w:pPr>
              <w:spacing w:after="0"/>
              <w:rPr>
                <w:sz w:val="20"/>
                <w:szCs w:val="20"/>
                <w:color w:val="auto"/>
              </w:rPr>
            </w:pPr>
            <w:r>
              <w:rPr>
                <w:rFonts w:ascii="Arial" w:cs="Arial" w:eastAsia="Arial" w:hAnsi="Arial"/>
                <w:sz w:val="18"/>
                <w:szCs w:val="18"/>
                <w:color w:val="auto"/>
              </w:rPr>
              <w:t>Net (decrease) increase in cash and cash equivalents</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gridSpan w:val="2"/>
          </w:tcPr>
          <w:p>
            <w:pPr>
              <w:jc w:val="right"/>
              <w:ind w:right="620"/>
              <w:spacing w:after="0"/>
              <w:rPr>
                <w:sz w:val="20"/>
                <w:szCs w:val="20"/>
                <w:color w:val="auto"/>
              </w:rPr>
            </w:pPr>
            <w:r>
              <w:rPr>
                <w:rFonts w:ascii="Arial" w:cs="Arial" w:eastAsia="Arial" w:hAnsi="Arial"/>
                <w:sz w:val="18"/>
                <w:szCs w:val="18"/>
                <w:color w:val="auto"/>
              </w:rPr>
              <w:t>(73,264)</w:t>
            </w:r>
          </w:p>
        </w:tc>
        <w:tc>
          <w:tcPr>
            <w:tcW w:w="120" w:type="dxa"/>
            <w:vAlign w:val="bottom"/>
          </w:tcPr>
          <w:p>
            <w:pPr>
              <w:spacing w:after="0"/>
              <w:rPr>
                <w:sz w:val="24"/>
                <w:szCs w:val="2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55,593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and cash equivalents, beginning of period</w:t>
            </w: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w w:val="98"/>
              </w:rPr>
              <w:t>258,355</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w w:val="98"/>
              </w:rPr>
              <w:t>142,846</w:t>
            </w:r>
          </w:p>
        </w:tc>
        <w:tc>
          <w:tcPr>
            <w:tcW w:w="0" w:type="dxa"/>
            <w:vAlign w:val="bottom"/>
          </w:tcPr>
          <w:p>
            <w:pPr>
              <w:spacing w:after="0"/>
              <w:rPr>
                <w:sz w:val="1"/>
                <w:szCs w:val="1"/>
                <w:color w:val="auto"/>
              </w:rPr>
            </w:pPr>
          </w:p>
        </w:tc>
      </w:tr>
      <w:tr>
        <w:trPr>
          <w:trHeight w:val="20"/>
        </w:trPr>
        <w:tc>
          <w:tcPr>
            <w:tcW w:w="83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340" w:type="dxa"/>
            <w:vAlign w:val="bottom"/>
            <w:gridSpan w:val="2"/>
          </w:tcPr>
          <w:p>
            <w:pPr>
              <w:spacing w:after="0"/>
              <w:rPr>
                <w:sz w:val="20"/>
                <w:szCs w:val="20"/>
                <w:color w:val="auto"/>
              </w:rPr>
            </w:pPr>
            <w:r>
              <w:rPr>
                <w:rFonts w:ascii="Arial" w:cs="Arial" w:eastAsia="Arial" w:hAnsi="Arial"/>
                <w:sz w:val="18"/>
                <w:szCs w:val="18"/>
                <w:color w:val="auto"/>
              </w:rPr>
              <w:t>Cash and cash equivalents, end of period</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w w:val="98"/>
              </w:rPr>
              <w:t>185,091</w:t>
            </w:r>
          </w:p>
        </w:tc>
        <w:tc>
          <w:tcPr>
            <w:tcW w:w="120" w:type="dxa"/>
            <w:vAlign w:val="bottom"/>
          </w:tcPr>
          <w:p>
            <w:pPr>
              <w:spacing w:after="0"/>
              <w:rPr>
                <w:sz w:val="24"/>
                <w:szCs w:val="2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198,439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8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Supplemental disclosures:</w:t>
            </w: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20" w:type="dxa"/>
            <w:vAlign w:val="bottom"/>
          </w:tcPr>
          <w:p>
            <w:pPr>
              <w:spacing w:after="0" w:line="202" w:lineRule="exact"/>
              <w:rPr>
                <w:sz w:val="20"/>
                <w:szCs w:val="20"/>
                <w:color w:val="auto"/>
              </w:rPr>
            </w:pPr>
            <w:r>
              <w:rPr>
                <w:rFonts w:ascii="Arial" w:cs="Arial" w:eastAsia="Arial" w:hAnsi="Arial"/>
                <w:sz w:val="18"/>
                <w:szCs w:val="18"/>
                <w:color w:val="auto"/>
              </w:rPr>
              <w:t>Cash paid during the period for:</w:t>
            </w: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Interest, net of capitalized interest</w:t>
            </w:r>
          </w:p>
        </w:tc>
        <w:tc>
          <w:tcPr>
            <w:tcW w:w="8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rPr>
              <w:t>12,563</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13,153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20" w:type="dxa"/>
            <w:vAlign w:val="bottom"/>
          </w:tcPr>
          <w:p>
            <w:pPr>
              <w:ind w:left="200"/>
              <w:spacing w:after="0" w:line="202" w:lineRule="exact"/>
              <w:rPr>
                <w:sz w:val="20"/>
                <w:szCs w:val="20"/>
                <w:color w:val="auto"/>
              </w:rPr>
            </w:pPr>
            <w:r>
              <w:rPr>
                <w:rFonts w:ascii="Arial" w:cs="Arial" w:eastAsia="Arial" w:hAnsi="Arial"/>
                <w:sz w:val="18"/>
                <w:szCs w:val="18"/>
                <w:color w:val="auto"/>
              </w:rPr>
              <w:t>Income taxes, net of refunds</w:t>
            </w: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2"/>
          </w:tcPr>
          <w:p>
            <w:pPr>
              <w:jc w:val="right"/>
              <w:ind w:right="680"/>
              <w:spacing w:after="0" w:line="202" w:lineRule="exact"/>
              <w:rPr>
                <w:sz w:val="20"/>
                <w:szCs w:val="20"/>
                <w:color w:val="auto"/>
              </w:rPr>
            </w:pPr>
            <w:r>
              <w:rPr>
                <w:rFonts w:ascii="Arial" w:cs="Arial" w:eastAsia="Arial" w:hAnsi="Arial"/>
                <w:sz w:val="18"/>
                <w:szCs w:val="18"/>
                <w:color w:val="auto"/>
              </w:rPr>
              <w:t>27,384</w:t>
            </w:r>
          </w:p>
        </w:tc>
        <w:tc>
          <w:tcPr>
            <w:tcW w:w="120" w:type="dxa"/>
            <w:vAlign w:val="bottom"/>
          </w:tcPr>
          <w:p>
            <w:pPr>
              <w:spacing w:after="0"/>
              <w:rPr>
                <w:sz w:val="17"/>
                <w:szCs w:val="17"/>
                <w:color w:val="auto"/>
              </w:rPr>
            </w:pPr>
          </w:p>
        </w:tc>
        <w:tc>
          <w:tcPr>
            <w:tcW w:w="7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26,381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Acquisitions:</w:t>
            </w: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20" w:type="dxa"/>
            <w:vAlign w:val="bottom"/>
          </w:tcPr>
          <w:p>
            <w:pPr>
              <w:ind w:left="200"/>
              <w:spacing w:after="0" w:line="202" w:lineRule="exact"/>
              <w:rPr>
                <w:sz w:val="20"/>
                <w:szCs w:val="20"/>
                <w:color w:val="auto"/>
              </w:rPr>
            </w:pPr>
            <w:r>
              <w:rPr>
                <w:rFonts w:ascii="Arial" w:cs="Arial" w:eastAsia="Arial" w:hAnsi="Arial"/>
                <w:sz w:val="18"/>
                <w:szCs w:val="18"/>
                <w:color w:val="auto"/>
              </w:rPr>
              <w:t>Fair value of assets acquired, net of cash</w:t>
            </w:r>
          </w:p>
        </w:tc>
        <w:tc>
          <w:tcPr>
            <w:tcW w:w="8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68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17,279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Liabilities assumed</w:t>
            </w: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(6,371)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20" w:type="dxa"/>
            <w:vAlign w:val="bottom"/>
          </w:tcPr>
          <w:p>
            <w:pPr>
              <w:ind w:left="200"/>
              <w:spacing w:after="0" w:line="202" w:lineRule="exact"/>
              <w:rPr>
                <w:sz w:val="20"/>
                <w:szCs w:val="20"/>
                <w:color w:val="auto"/>
              </w:rPr>
            </w:pPr>
            <w:r>
              <w:rPr>
                <w:rFonts w:ascii="Arial" w:cs="Arial" w:eastAsia="Arial" w:hAnsi="Arial"/>
                <w:sz w:val="18"/>
                <w:szCs w:val="18"/>
                <w:color w:val="auto"/>
              </w:rPr>
              <w:t>Goodwill</w:t>
            </w: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2"/>
          </w:tcPr>
          <w:p>
            <w:pPr>
              <w:jc w:val="right"/>
              <w:ind w:right="68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7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13,644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3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8320" w:type="dxa"/>
            <w:vAlign w:val="bottom"/>
            <w:shd w:val="clear" w:color="auto" w:fill="CCEEFF"/>
          </w:tcPr>
          <w:p>
            <w:pPr>
              <w:ind w:left="600"/>
              <w:spacing w:after="0" w:line="202" w:lineRule="exact"/>
              <w:rPr>
                <w:sz w:val="20"/>
                <w:szCs w:val="20"/>
                <w:color w:val="auto"/>
              </w:rPr>
            </w:pPr>
            <w:r>
              <w:rPr>
                <w:rFonts w:ascii="Arial" w:cs="Arial" w:eastAsia="Arial" w:hAnsi="Arial"/>
                <w:sz w:val="18"/>
                <w:szCs w:val="18"/>
                <w:color w:val="auto"/>
              </w:rPr>
              <w:t>Net cash paid for acquisitions</w:t>
            </w:r>
          </w:p>
        </w:tc>
        <w:tc>
          <w:tcPr>
            <w:tcW w:w="8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24,552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2"/>
        </w:trPr>
        <w:tc>
          <w:tcPr>
            <w:tcW w:w="20" w:type="dxa"/>
            <w:vAlign w:val="bottom"/>
          </w:tcPr>
          <w:p>
            <w:pPr>
              <w:spacing w:after="0"/>
              <w:rPr>
                <w:sz w:val="24"/>
                <w:szCs w:val="24"/>
                <w:color w:val="auto"/>
              </w:rPr>
            </w:pPr>
          </w:p>
        </w:tc>
        <w:tc>
          <w:tcPr>
            <w:tcW w:w="832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68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Information by regional segment for the three and six months ended January 31, 2009 and 2008 is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Corporate and</w:t>
            </w:r>
          </w:p>
        </w:tc>
        <w:tc>
          <w:tcPr>
            <w:tcW w:w="4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940" w:type="dxa"/>
            <w:vAlign w:val="bottom"/>
          </w:tcPr>
          <w:p>
            <w:pPr>
              <w:ind w:left="820"/>
              <w:spacing w:after="0"/>
              <w:rPr>
                <w:sz w:val="20"/>
                <w:szCs w:val="20"/>
                <w:color w:val="auto"/>
              </w:rPr>
            </w:pPr>
            <w:r>
              <w:rPr>
                <w:rFonts w:ascii="Arial" w:cs="Arial" w:eastAsia="Arial" w:hAnsi="Arial"/>
                <w:sz w:val="14"/>
                <w:szCs w:val="14"/>
                <w:color w:val="auto"/>
              </w:rPr>
              <w:t>(in thousands)</w:t>
            </w:r>
          </w:p>
        </w:tc>
        <w:tc>
          <w:tcPr>
            <w:tcW w:w="1240" w:type="dxa"/>
            <w:vAlign w:val="bottom"/>
            <w:gridSpan w:val="2"/>
          </w:tcPr>
          <w:p>
            <w:pPr>
              <w:jc w:val="right"/>
              <w:ind w:right="328"/>
              <w:spacing w:after="0"/>
              <w:rPr>
                <w:sz w:val="20"/>
                <w:szCs w:val="20"/>
                <w:color w:val="auto"/>
              </w:rPr>
            </w:pPr>
            <w:r>
              <w:rPr>
                <w:rFonts w:ascii="Arial" w:cs="Arial" w:eastAsia="Arial" w:hAnsi="Arial"/>
                <w:sz w:val="14"/>
                <w:szCs w:val="14"/>
                <w:b w:val="1"/>
                <w:bCs w:val="1"/>
                <w:color w:val="auto"/>
              </w:rPr>
              <w:t>Americas</w:t>
            </w:r>
          </w:p>
        </w:tc>
        <w:tc>
          <w:tcPr>
            <w:tcW w:w="420" w:type="dxa"/>
            <w:vAlign w:val="bottom"/>
          </w:tcPr>
          <w:p>
            <w:pPr>
              <w:spacing w:after="0"/>
              <w:rPr>
                <w:sz w:val="15"/>
                <w:szCs w:val="15"/>
                <w:color w:val="auto"/>
              </w:rPr>
            </w:pPr>
          </w:p>
        </w:tc>
        <w:tc>
          <w:tcPr>
            <w:tcW w:w="660" w:type="dxa"/>
            <w:vAlign w:val="bottom"/>
          </w:tcPr>
          <w:p>
            <w:pPr>
              <w:jc w:val="right"/>
              <w:ind w:right="68"/>
              <w:spacing w:after="0"/>
              <w:rPr>
                <w:sz w:val="20"/>
                <w:szCs w:val="20"/>
                <w:color w:val="auto"/>
              </w:rPr>
            </w:pPr>
            <w:r>
              <w:rPr>
                <w:rFonts w:ascii="Arial" w:cs="Arial" w:eastAsia="Arial" w:hAnsi="Arial"/>
                <w:sz w:val="14"/>
                <w:szCs w:val="14"/>
                <w:b w:val="1"/>
                <w:bCs w:val="1"/>
                <w:color w:val="auto"/>
              </w:rPr>
              <w:t>Europe</w:t>
            </w:r>
          </w:p>
        </w:tc>
        <w:tc>
          <w:tcPr>
            <w:tcW w:w="162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Asia-Pacific</w:t>
            </w:r>
          </w:p>
        </w:tc>
        <w:tc>
          <w:tcPr>
            <w:tcW w:w="162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Subtotals</w:t>
            </w:r>
          </w:p>
        </w:tc>
        <w:tc>
          <w:tcPr>
            <w:tcW w:w="16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Eliminations</w:t>
            </w:r>
          </w:p>
        </w:tc>
        <w:tc>
          <w:tcPr>
            <w:tcW w:w="420" w:type="dxa"/>
            <w:vAlign w:val="bottom"/>
          </w:tcPr>
          <w:p>
            <w:pPr>
              <w:spacing w:after="0"/>
              <w:rPr>
                <w:sz w:val="15"/>
                <w:szCs w:val="15"/>
                <w:color w:val="auto"/>
              </w:rPr>
            </w:pPr>
          </w:p>
        </w:tc>
        <w:tc>
          <w:tcPr>
            <w:tcW w:w="800" w:type="dxa"/>
            <w:vAlign w:val="bottom"/>
          </w:tcPr>
          <w:p>
            <w:pPr>
              <w:jc w:val="right"/>
              <w:ind w:right="28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SALES TO EXTERNAL CUSTOMERS</w:t>
            </w:r>
          </w:p>
        </w:tc>
        <w:tc>
          <w:tcPr>
            <w:tcW w:w="2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960" w:type="dxa"/>
            <w:vAlign w:val="bottom"/>
            <w:gridSpan w:val="2"/>
          </w:tcPr>
          <w:p>
            <w:pPr>
              <w:spacing w:after="0"/>
              <w:rPr>
                <w:sz w:val="20"/>
                <w:szCs w:val="20"/>
                <w:color w:val="auto"/>
              </w:rPr>
            </w:pPr>
            <w:r>
              <w:rPr>
                <w:rFonts w:ascii="Arial" w:cs="Arial" w:eastAsia="Arial" w:hAnsi="Arial"/>
                <w:sz w:val="14"/>
                <w:szCs w:val="14"/>
                <w:color w:val="auto"/>
              </w:rPr>
              <w:t>Three months ended:</w:t>
            </w: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940" w:type="dxa"/>
            <w:vAlign w:val="bottom"/>
            <w:shd w:val="clear" w:color="auto" w:fill="CCEEFF"/>
          </w:tcPr>
          <w:p>
            <w:pPr>
              <w:ind w:left="400"/>
              <w:spacing w:after="0"/>
              <w:rPr>
                <w:sz w:val="20"/>
                <w:szCs w:val="20"/>
                <w:color w:val="auto"/>
              </w:rPr>
            </w:pPr>
            <w:r>
              <w:rPr>
                <w:rFonts w:ascii="Arial" w:cs="Arial" w:eastAsia="Arial" w:hAnsi="Arial"/>
                <w:sz w:val="14"/>
                <w:szCs w:val="14"/>
                <w:color w:val="auto"/>
              </w:rPr>
              <w:t>January 31, 2009</w:t>
            </w: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388"/>
              <w:spacing w:after="0"/>
              <w:rPr>
                <w:sz w:val="20"/>
                <w:szCs w:val="20"/>
                <w:color w:val="auto"/>
              </w:rPr>
            </w:pPr>
            <w:r>
              <w:rPr>
                <w:rFonts w:ascii="Arial" w:cs="Arial" w:eastAsia="Arial" w:hAnsi="Arial"/>
                <w:sz w:val="14"/>
                <w:szCs w:val="14"/>
                <w:color w:val="auto"/>
                <w:w w:val="98"/>
              </w:rPr>
              <w:t>122,970</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87,201</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56,278</w:t>
            </w:r>
          </w:p>
        </w:tc>
        <w:tc>
          <w:tcPr>
            <w:tcW w:w="1620" w:type="dxa"/>
            <w:vAlign w:val="bottom"/>
            <w:gridSpan w:val="3"/>
            <w:shd w:val="clear" w:color="auto" w:fill="CCEEFF"/>
          </w:tcPr>
          <w:p>
            <w:pPr>
              <w:jc w:val="right"/>
              <w:ind w:right="380"/>
              <w:spacing w:after="0"/>
              <w:rPr>
                <w:sz w:val="20"/>
                <w:szCs w:val="20"/>
                <w:color w:val="auto"/>
              </w:rPr>
            </w:pPr>
            <w:r>
              <w:rPr>
                <w:rFonts w:ascii="Arial" w:cs="Arial" w:eastAsia="Arial" w:hAnsi="Arial"/>
                <w:sz w:val="14"/>
                <w:szCs w:val="14"/>
                <w:color w:val="auto"/>
              </w:rPr>
              <w:t>$266,449</w:t>
            </w:r>
          </w:p>
        </w:tc>
        <w:tc>
          <w:tcPr>
            <w:tcW w:w="1680" w:type="dxa"/>
            <w:vAlign w:val="bottom"/>
            <w:gridSpan w:val="2"/>
            <w:shd w:val="clear" w:color="auto" w:fill="CCEEFF"/>
          </w:tcPr>
          <w:p>
            <w:pPr>
              <w:jc w:val="right"/>
              <w:ind w:right="560"/>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185"/>
              <w:spacing w:after="0"/>
              <w:rPr>
                <w:sz w:val="20"/>
                <w:szCs w:val="20"/>
                <w:color w:val="auto"/>
              </w:rPr>
            </w:pPr>
            <w:r>
              <w:rPr>
                <w:rFonts w:ascii="Arial" w:cs="Arial" w:eastAsia="Arial" w:hAnsi="Arial"/>
                <w:sz w:val="14"/>
                <w:szCs w:val="14"/>
                <w:color w:val="auto"/>
              </w:rPr>
              <w:t>$266,449</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2940" w:type="dxa"/>
            <w:vAlign w:val="bottom"/>
          </w:tcPr>
          <w:p>
            <w:pPr>
              <w:ind w:left="400"/>
              <w:spacing w:after="0"/>
              <w:rPr>
                <w:sz w:val="20"/>
                <w:szCs w:val="20"/>
                <w:color w:val="auto"/>
              </w:rPr>
            </w:pPr>
            <w:r>
              <w:rPr>
                <w:rFonts w:ascii="Arial" w:cs="Arial" w:eastAsia="Arial" w:hAnsi="Arial"/>
                <w:sz w:val="14"/>
                <w:szCs w:val="14"/>
                <w:color w:val="auto"/>
              </w:rPr>
              <w:t>January 31, 2008</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388"/>
              <w:spacing w:after="0"/>
              <w:rPr>
                <w:sz w:val="20"/>
                <w:szCs w:val="20"/>
                <w:color w:val="auto"/>
              </w:rPr>
            </w:pPr>
            <w:r>
              <w:rPr>
                <w:rFonts w:ascii="Arial" w:cs="Arial" w:eastAsia="Arial" w:hAnsi="Arial"/>
                <w:sz w:val="14"/>
                <w:szCs w:val="14"/>
                <w:color w:val="auto"/>
                <w:w w:val="98"/>
              </w:rPr>
              <w:t>156,621</w:t>
            </w: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68"/>
              <w:spacing w:after="0"/>
              <w:rPr>
                <w:sz w:val="20"/>
                <w:szCs w:val="20"/>
                <w:color w:val="auto"/>
              </w:rPr>
            </w:pPr>
            <w:r>
              <w:rPr>
                <w:rFonts w:ascii="Arial" w:cs="Arial" w:eastAsia="Arial" w:hAnsi="Arial"/>
                <w:sz w:val="14"/>
                <w:szCs w:val="14"/>
                <w:color w:val="auto"/>
                <w:w w:val="98"/>
              </w:rPr>
              <w:t>122,615</w:t>
            </w: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84,888</w:t>
            </w:r>
          </w:p>
        </w:tc>
        <w:tc>
          <w:tcPr>
            <w:tcW w:w="1620" w:type="dxa"/>
            <w:vAlign w:val="bottom"/>
            <w:gridSpan w:val="3"/>
          </w:tcPr>
          <w:p>
            <w:pPr>
              <w:jc w:val="right"/>
              <w:ind w:right="380"/>
              <w:spacing w:after="0"/>
              <w:rPr>
                <w:sz w:val="20"/>
                <w:szCs w:val="20"/>
                <w:color w:val="auto"/>
              </w:rPr>
            </w:pPr>
            <w:r>
              <w:rPr>
                <w:rFonts w:ascii="Arial" w:cs="Arial" w:eastAsia="Arial" w:hAnsi="Arial"/>
                <w:sz w:val="14"/>
                <w:szCs w:val="14"/>
                <w:color w:val="auto"/>
              </w:rPr>
              <w:t>$ 364,124</w:t>
            </w:r>
          </w:p>
        </w:tc>
        <w:tc>
          <w:tcPr>
            <w:tcW w:w="1680" w:type="dxa"/>
            <w:vAlign w:val="bottom"/>
            <w:gridSpan w:val="2"/>
          </w:tcPr>
          <w:p>
            <w:pPr>
              <w:jc w:val="right"/>
              <w:ind w:right="560"/>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185"/>
              <w:spacing w:after="0"/>
              <w:rPr>
                <w:sz w:val="20"/>
                <w:szCs w:val="20"/>
                <w:color w:val="auto"/>
              </w:rPr>
            </w:pPr>
            <w:r>
              <w:rPr>
                <w:rFonts w:ascii="Arial" w:cs="Arial" w:eastAsia="Arial" w:hAnsi="Arial"/>
                <w:sz w:val="14"/>
                <w:szCs w:val="14"/>
                <w:color w:val="auto"/>
              </w:rPr>
              <w:t>$ 364,124</w:t>
            </w:r>
          </w:p>
        </w:tc>
        <w:tc>
          <w:tcPr>
            <w:tcW w:w="0" w:type="dxa"/>
            <w:vAlign w:val="bottom"/>
          </w:tcPr>
          <w:p>
            <w:pPr>
              <w:spacing w:after="0"/>
              <w:rPr>
                <w:sz w:val="1"/>
                <w:szCs w:val="1"/>
                <w:color w:val="auto"/>
              </w:rPr>
            </w:pPr>
          </w:p>
        </w:tc>
      </w:tr>
      <w:tr>
        <w:trPr>
          <w:trHeight w:val="147"/>
        </w:trPr>
        <w:tc>
          <w:tcPr>
            <w:tcW w:w="2960" w:type="dxa"/>
            <w:vAlign w:val="bottom"/>
            <w:gridSpan w:val="2"/>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4"/>
                <w:szCs w:val="14"/>
                <w:color w:val="auto"/>
              </w:rPr>
              <w:t>Six months ended:</w:t>
            </w:r>
          </w:p>
        </w:tc>
        <w:tc>
          <w:tcPr>
            <w:tcW w:w="2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940" w:type="dxa"/>
            <w:vAlign w:val="bottom"/>
          </w:tcPr>
          <w:p>
            <w:pPr>
              <w:ind w:left="400"/>
              <w:spacing w:after="0"/>
              <w:rPr>
                <w:sz w:val="20"/>
                <w:szCs w:val="20"/>
                <w:color w:val="auto"/>
              </w:rPr>
            </w:pPr>
            <w:r>
              <w:rPr>
                <w:rFonts w:ascii="Arial" w:cs="Arial" w:eastAsia="Arial" w:hAnsi="Arial"/>
                <w:sz w:val="14"/>
                <w:szCs w:val="14"/>
                <w:color w:val="auto"/>
              </w:rPr>
              <w:t>January 31, 2009</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388"/>
              <w:spacing w:after="0"/>
              <w:rPr>
                <w:sz w:val="20"/>
                <w:szCs w:val="20"/>
                <w:color w:val="auto"/>
              </w:rPr>
            </w:pPr>
            <w:r>
              <w:rPr>
                <w:rFonts w:ascii="Arial" w:cs="Arial" w:eastAsia="Arial" w:hAnsi="Arial"/>
                <w:sz w:val="14"/>
                <w:szCs w:val="14"/>
                <w:color w:val="auto"/>
                <w:w w:val="98"/>
              </w:rPr>
              <w:t>283,886</w:t>
            </w: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68"/>
              <w:spacing w:after="0"/>
              <w:rPr>
                <w:sz w:val="20"/>
                <w:szCs w:val="20"/>
                <w:color w:val="auto"/>
              </w:rPr>
            </w:pPr>
            <w:r>
              <w:rPr>
                <w:rFonts w:ascii="Arial" w:cs="Arial" w:eastAsia="Arial" w:hAnsi="Arial"/>
                <w:sz w:val="14"/>
                <w:szCs w:val="14"/>
                <w:color w:val="auto"/>
                <w:w w:val="98"/>
              </w:rPr>
              <w:t>195,416</w:t>
            </w:r>
          </w:p>
        </w:tc>
        <w:tc>
          <w:tcPr>
            <w:tcW w:w="1620" w:type="dxa"/>
            <w:vAlign w:val="bottom"/>
            <w:gridSpan w:val="3"/>
          </w:tcPr>
          <w:p>
            <w:pPr>
              <w:jc w:val="right"/>
              <w:ind w:right="240"/>
              <w:spacing w:after="0"/>
              <w:rPr>
                <w:sz w:val="20"/>
                <w:szCs w:val="20"/>
                <w:color w:val="auto"/>
              </w:rPr>
            </w:pPr>
            <w:r>
              <w:rPr>
                <w:rFonts w:ascii="Arial" w:cs="Arial" w:eastAsia="Arial" w:hAnsi="Arial"/>
                <w:sz w:val="14"/>
                <w:szCs w:val="14"/>
                <w:color w:val="auto"/>
              </w:rPr>
              <w:t>$165,464</w:t>
            </w:r>
          </w:p>
        </w:tc>
        <w:tc>
          <w:tcPr>
            <w:tcW w:w="1620" w:type="dxa"/>
            <w:vAlign w:val="bottom"/>
            <w:gridSpan w:val="3"/>
          </w:tcPr>
          <w:p>
            <w:pPr>
              <w:jc w:val="right"/>
              <w:ind w:right="380"/>
              <w:spacing w:after="0"/>
              <w:rPr>
                <w:sz w:val="20"/>
                <w:szCs w:val="20"/>
                <w:color w:val="auto"/>
              </w:rPr>
            </w:pPr>
            <w:r>
              <w:rPr>
                <w:rFonts w:ascii="Arial" w:cs="Arial" w:eastAsia="Arial" w:hAnsi="Arial"/>
                <w:sz w:val="14"/>
                <w:szCs w:val="14"/>
                <w:color w:val="auto"/>
              </w:rPr>
              <w:t>$644,766</w:t>
            </w:r>
          </w:p>
        </w:tc>
        <w:tc>
          <w:tcPr>
            <w:tcW w:w="1680" w:type="dxa"/>
            <w:vAlign w:val="bottom"/>
            <w:gridSpan w:val="2"/>
          </w:tcPr>
          <w:p>
            <w:pPr>
              <w:jc w:val="right"/>
              <w:ind w:right="560"/>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185"/>
              <w:spacing w:after="0"/>
              <w:rPr>
                <w:sz w:val="20"/>
                <w:szCs w:val="20"/>
                <w:color w:val="auto"/>
              </w:rPr>
            </w:pPr>
            <w:r>
              <w:rPr>
                <w:rFonts w:ascii="Arial" w:cs="Arial" w:eastAsia="Arial" w:hAnsi="Arial"/>
                <w:sz w:val="14"/>
                <w:szCs w:val="14"/>
                <w:color w:val="auto"/>
              </w:rPr>
              <w:t>$644,766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940" w:type="dxa"/>
            <w:vAlign w:val="bottom"/>
            <w:shd w:val="clear" w:color="auto" w:fill="CCEEFF"/>
          </w:tcPr>
          <w:p>
            <w:pPr>
              <w:ind w:left="400"/>
              <w:spacing w:after="0"/>
              <w:rPr>
                <w:sz w:val="20"/>
                <w:szCs w:val="20"/>
                <w:color w:val="auto"/>
              </w:rPr>
            </w:pPr>
            <w:r>
              <w:rPr>
                <w:rFonts w:ascii="Arial" w:cs="Arial" w:eastAsia="Arial" w:hAnsi="Arial"/>
                <w:sz w:val="14"/>
                <w:szCs w:val="14"/>
                <w:color w:val="auto"/>
              </w:rPr>
              <w:t>January 31, 2008</w:t>
            </w: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388"/>
              <w:spacing w:after="0"/>
              <w:rPr>
                <w:sz w:val="20"/>
                <w:szCs w:val="20"/>
                <w:color w:val="auto"/>
              </w:rPr>
            </w:pPr>
            <w:r>
              <w:rPr>
                <w:rFonts w:ascii="Arial" w:cs="Arial" w:eastAsia="Arial" w:hAnsi="Arial"/>
                <w:sz w:val="14"/>
                <w:szCs w:val="14"/>
                <w:color w:val="auto"/>
                <w:w w:val="98"/>
              </w:rPr>
              <w:t>331,396</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98"/>
              </w:rPr>
              <w:t>231,529</w:t>
            </w:r>
          </w:p>
        </w:tc>
        <w:tc>
          <w:tcPr>
            <w:tcW w:w="162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$181,333</w:t>
            </w:r>
          </w:p>
        </w:tc>
        <w:tc>
          <w:tcPr>
            <w:tcW w:w="1620" w:type="dxa"/>
            <w:vAlign w:val="bottom"/>
            <w:gridSpan w:val="3"/>
            <w:shd w:val="clear" w:color="auto" w:fill="CCEEFF"/>
          </w:tcPr>
          <w:p>
            <w:pPr>
              <w:jc w:val="right"/>
              <w:ind w:right="380"/>
              <w:spacing w:after="0"/>
              <w:rPr>
                <w:sz w:val="20"/>
                <w:szCs w:val="20"/>
                <w:color w:val="auto"/>
              </w:rPr>
            </w:pPr>
            <w:r>
              <w:rPr>
                <w:rFonts w:ascii="Arial" w:cs="Arial" w:eastAsia="Arial" w:hAnsi="Arial"/>
                <w:sz w:val="14"/>
                <w:szCs w:val="14"/>
                <w:color w:val="auto"/>
              </w:rPr>
              <w:t>$744,258</w:t>
            </w:r>
          </w:p>
        </w:tc>
        <w:tc>
          <w:tcPr>
            <w:tcW w:w="1680" w:type="dxa"/>
            <w:vAlign w:val="bottom"/>
            <w:gridSpan w:val="2"/>
            <w:shd w:val="clear" w:color="auto" w:fill="CCEEFF"/>
          </w:tcPr>
          <w:p>
            <w:pPr>
              <w:jc w:val="right"/>
              <w:ind w:right="560"/>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185"/>
              <w:spacing w:after="0"/>
              <w:rPr>
                <w:sz w:val="20"/>
                <w:szCs w:val="20"/>
                <w:color w:val="auto"/>
              </w:rPr>
            </w:pPr>
            <w:r>
              <w:rPr>
                <w:rFonts w:ascii="Arial" w:cs="Arial" w:eastAsia="Arial" w:hAnsi="Arial"/>
                <w:sz w:val="14"/>
                <w:szCs w:val="14"/>
                <w:color w:val="auto"/>
              </w:rPr>
              <w:t>$744,258</w:t>
            </w:r>
          </w:p>
        </w:tc>
        <w:tc>
          <w:tcPr>
            <w:tcW w:w="0" w:type="dxa"/>
            <w:vAlign w:val="bottom"/>
          </w:tcPr>
          <w:p>
            <w:pPr>
              <w:spacing w:after="0"/>
              <w:rPr>
                <w:sz w:val="1"/>
                <w:szCs w:val="1"/>
                <w:color w:val="auto"/>
              </w:rPr>
            </w:pPr>
          </w:p>
        </w:tc>
      </w:tr>
      <w:tr>
        <w:trPr>
          <w:trHeight w:val="324"/>
        </w:trPr>
        <w:tc>
          <w:tcPr>
            <w:tcW w:w="2960" w:type="dxa"/>
            <w:vAlign w:val="bottom"/>
            <w:gridSpan w:val="2"/>
          </w:tcPr>
          <w:p>
            <w:pPr>
              <w:spacing w:after="0"/>
              <w:rPr>
                <w:sz w:val="20"/>
                <w:szCs w:val="20"/>
                <w:color w:val="auto"/>
              </w:rPr>
            </w:pPr>
            <w:r>
              <w:rPr>
                <w:rFonts w:ascii="Arial" w:cs="Arial" w:eastAsia="Arial" w:hAnsi="Arial"/>
                <w:sz w:val="14"/>
                <w:szCs w:val="14"/>
                <w:b w:val="1"/>
                <w:bCs w:val="1"/>
                <w:color w:val="auto"/>
              </w:rPr>
              <w:t>SALES GROWTH INFORMATION</w:t>
            </w: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4"/>
                <w:szCs w:val="14"/>
                <w:color w:val="auto"/>
              </w:rPr>
              <w:t>Three months ended January 31, 2009:</w:t>
            </w:r>
          </w:p>
        </w:tc>
        <w:tc>
          <w:tcPr>
            <w:tcW w:w="2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940" w:type="dxa"/>
            <w:vAlign w:val="bottom"/>
          </w:tcPr>
          <w:p>
            <w:pPr>
              <w:ind w:left="400"/>
              <w:spacing w:after="0"/>
              <w:rPr>
                <w:sz w:val="20"/>
                <w:szCs w:val="20"/>
                <w:color w:val="auto"/>
              </w:rPr>
            </w:pPr>
            <w:r>
              <w:rPr>
                <w:rFonts w:ascii="Arial" w:cs="Arial" w:eastAsia="Arial" w:hAnsi="Arial"/>
                <w:sz w:val="14"/>
                <w:szCs w:val="14"/>
                <w:color w:val="auto"/>
              </w:rPr>
              <w:t>Base</w:t>
            </w:r>
          </w:p>
        </w:tc>
        <w:tc>
          <w:tcPr>
            <w:tcW w:w="260" w:type="dxa"/>
            <w:vAlign w:val="bottom"/>
          </w:tcPr>
          <w:p>
            <w:pPr>
              <w:spacing w:after="0"/>
              <w:rPr>
                <w:sz w:val="14"/>
                <w:szCs w:val="14"/>
                <w:color w:val="auto"/>
              </w:rPr>
            </w:pPr>
          </w:p>
        </w:tc>
        <w:tc>
          <w:tcPr>
            <w:tcW w:w="980" w:type="dxa"/>
            <w:vAlign w:val="bottom"/>
          </w:tcPr>
          <w:p>
            <w:pPr>
              <w:jc w:val="right"/>
              <w:ind w:right="268"/>
              <w:spacing w:after="0"/>
              <w:rPr>
                <w:sz w:val="20"/>
                <w:szCs w:val="20"/>
                <w:color w:val="auto"/>
              </w:rPr>
            </w:pPr>
            <w:r>
              <w:rPr>
                <w:rFonts w:ascii="Arial" w:cs="Arial" w:eastAsia="Arial" w:hAnsi="Arial"/>
                <w:sz w:val="14"/>
                <w:szCs w:val="14"/>
                <w:color w:val="auto"/>
              </w:rPr>
              <w:t>-19.5%</w:t>
            </w:r>
          </w:p>
        </w:tc>
        <w:tc>
          <w:tcPr>
            <w:tcW w:w="4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-16.9%</w:t>
            </w:r>
          </w:p>
        </w:tc>
        <w:tc>
          <w:tcPr>
            <w:tcW w:w="920" w:type="dxa"/>
            <w:vAlign w:val="bottom"/>
          </w:tcPr>
          <w:p>
            <w:pPr>
              <w:spacing w:after="0"/>
              <w:rPr>
                <w:sz w:val="14"/>
                <w:szCs w:val="14"/>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-28.9%</w:t>
            </w:r>
          </w:p>
        </w:tc>
        <w:tc>
          <w:tcPr>
            <w:tcW w:w="780" w:type="dxa"/>
            <w:vAlign w:val="bottom"/>
          </w:tcPr>
          <w:p>
            <w:pPr>
              <w:spacing w:after="0"/>
              <w:rPr>
                <w:sz w:val="14"/>
                <w:szCs w:val="14"/>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-20.8%</w:t>
            </w:r>
          </w:p>
        </w:tc>
        <w:tc>
          <w:tcPr>
            <w:tcW w:w="1680" w:type="dxa"/>
            <w:vAlign w:val="bottom"/>
            <w:gridSpan w:val="2"/>
          </w:tcPr>
          <w:p>
            <w:pPr>
              <w:jc w:val="right"/>
              <w:ind w:right="56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4"/>
                <w:szCs w:val="14"/>
                <w:color w:val="auto"/>
              </w:rPr>
            </w:pPr>
          </w:p>
        </w:tc>
        <w:tc>
          <w:tcPr>
            <w:tcW w:w="800" w:type="dxa"/>
            <w:vAlign w:val="bottom"/>
          </w:tcPr>
          <w:p>
            <w:pPr>
              <w:jc w:val="right"/>
              <w:ind w:right="65"/>
              <w:spacing w:after="0"/>
              <w:rPr>
                <w:sz w:val="20"/>
                <w:szCs w:val="20"/>
                <w:color w:val="auto"/>
              </w:rPr>
            </w:pPr>
            <w:r>
              <w:rPr>
                <w:rFonts w:ascii="Arial" w:cs="Arial" w:eastAsia="Arial" w:hAnsi="Arial"/>
                <w:sz w:val="14"/>
                <w:szCs w:val="14"/>
                <w:color w:val="auto"/>
              </w:rPr>
              <w:t>-20.8%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940" w:type="dxa"/>
            <w:vAlign w:val="bottom"/>
            <w:shd w:val="clear" w:color="auto" w:fill="CCEEFF"/>
          </w:tcPr>
          <w:p>
            <w:pPr>
              <w:ind w:left="400"/>
              <w:spacing w:after="0"/>
              <w:rPr>
                <w:sz w:val="20"/>
                <w:szCs w:val="20"/>
                <w:color w:val="auto"/>
              </w:rPr>
            </w:pPr>
            <w:r>
              <w:rPr>
                <w:rFonts w:ascii="Arial" w:cs="Arial" w:eastAsia="Arial" w:hAnsi="Arial"/>
                <w:sz w:val="14"/>
                <w:szCs w:val="14"/>
                <w:color w:val="auto"/>
              </w:rPr>
              <w:t>Currency</w:t>
            </w:r>
          </w:p>
        </w:tc>
        <w:tc>
          <w:tcPr>
            <w:tcW w:w="26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-2.6%</w:t>
            </w:r>
          </w:p>
        </w:tc>
        <w:tc>
          <w:tcPr>
            <w:tcW w:w="4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w:t>
            </w:r>
          </w:p>
        </w:tc>
        <w:tc>
          <w:tcPr>
            <w:tcW w:w="92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-4.8%</w:t>
            </w:r>
          </w:p>
        </w:tc>
        <w:tc>
          <w:tcPr>
            <w:tcW w:w="7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-6.2%</w:t>
            </w:r>
          </w:p>
        </w:tc>
        <w:tc>
          <w:tcPr>
            <w:tcW w:w="1680" w:type="dxa"/>
            <w:vAlign w:val="bottom"/>
            <w:gridSpan w:val="2"/>
            <w:shd w:val="clear" w:color="auto" w:fill="CCEEFF"/>
          </w:tcPr>
          <w:p>
            <w:pPr>
              <w:jc w:val="right"/>
              <w:ind w:right="56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65"/>
              <w:spacing w:after="0"/>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940" w:type="dxa"/>
            <w:vAlign w:val="bottom"/>
          </w:tcPr>
          <w:p>
            <w:pPr>
              <w:ind w:left="400"/>
              <w:spacing w:after="0"/>
              <w:rPr>
                <w:sz w:val="20"/>
                <w:szCs w:val="20"/>
                <w:color w:val="auto"/>
              </w:rPr>
            </w:pPr>
            <w:r>
              <w:rPr>
                <w:rFonts w:ascii="Arial" w:cs="Arial" w:eastAsia="Arial" w:hAnsi="Arial"/>
                <w:sz w:val="14"/>
                <w:szCs w:val="14"/>
                <w:color w:val="auto"/>
              </w:rPr>
              <w:t>Acquisitions</w:t>
            </w:r>
          </w:p>
        </w:tc>
        <w:tc>
          <w:tcPr>
            <w:tcW w:w="260" w:type="dxa"/>
            <w:vAlign w:val="bottom"/>
          </w:tcPr>
          <w:p>
            <w:pPr>
              <w:spacing w:after="0"/>
              <w:rPr>
                <w:sz w:val="14"/>
                <w:szCs w:val="14"/>
                <w:color w:val="auto"/>
              </w:rPr>
            </w:pPr>
          </w:p>
        </w:tc>
        <w:tc>
          <w:tcPr>
            <w:tcW w:w="980" w:type="dxa"/>
            <w:vAlign w:val="bottom"/>
          </w:tcPr>
          <w:p>
            <w:pPr>
              <w:jc w:val="right"/>
              <w:ind w:right="268"/>
              <w:spacing w:after="0"/>
              <w:rPr>
                <w:sz w:val="20"/>
                <w:szCs w:val="20"/>
                <w:color w:val="auto"/>
              </w:rPr>
            </w:pPr>
            <w:r>
              <w:rPr>
                <w:rFonts w:ascii="Arial" w:cs="Arial" w:eastAsia="Arial" w:hAnsi="Arial"/>
                <w:sz w:val="14"/>
                <w:szCs w:val="14"/>
                <w:color w:val="auto"/>
              </w:rPr>
              <w:t>0.6%</w:t>
            </w:r>
          </w:p>
        </w:tc>
        <w:tc>
          <w:tcPr>
            <w:tcW w:w="4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0.0%</w:t>
            </w:r>
          </w:p>
        </w:tc>
        <w:tc>
          <w:tcPr>
            <w:tcW w:w="920" w:type="dxa"/>
            <w:vAlign w:val="bottom"/>
          </w:tcPr>
          <w:p>
            <w:pPr>
              <w:spacing w:after="0"/>
              <w:rPr>
                <w:sz w:val="14"/>
                <w:szCs w:val="14"/>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0.0%</w:t>
            </w:r>
          </w:p>
        </w:tc>
        <w:tc>
          <w:tcPr>
            <w:tcW w:w="780" w:type="dxa"/>
            <w:vAlign w:val="bottom"/>
          </w:tcPr>
          <w:p>
            <w:pPr>
              <w:spacing w:after="0"/>
              <w:rPr>
                <w:sz w:val="14"/>
                <w:szCs w:val="14"/>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0.2%</w:t>
            </w:r>
          </w:p>
        </w:tc>
        <w:tc>
          <w:tcPr>
            <w:tcW w:w="1680" w:type="dxa"/>
            <w:vAlign w:val="bottom"/>
            <w:gridSpan w:val="2"/>
          </w:tcPr>
          <w:p>
            <w:pPr>
              <w:jc w:val="right"/>
              <w:ind w:right="56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4"/>
                <w:szCs w:val="14"/>
                <w:color w:val="auto"/>
              </w:rPr>
            </w:pPr>
          </w:p>
        </w:tc>
        <w:tc>
          <w:tcPr>
            <w:tcW w:w="800" w:type="dxa"/>
            <w:vAlign w:val="bottom"/>
          </w:tcPr>
          <w:p>
            <w:pPr>
              <w:jc w:val="right"/>
              <w:ind w:right="65"/>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940" w:type="dxa"/>
            <w:vAlign w:val="bottom"/>
            <w:shd w:val="clear" w:color="auto" w:fill="CCEEFF"/>
          </w:tcPr>
          <w:p>
            <w:pPr>
              <w:ind w:left="800"/>
              <w:spacing w:after="0"/>
              <w:rPr>
                <w:sz w:val="20"/>
                <w:szCs w:val="20"/>
                <w:color w:val="auto"/>
              </w:rPr>
            </w:pPr>
            <w:r>
              <w:rPr>
                <w:rFonts w:ascii="Arial" w:cs="Arial" w:eastAsia="Arial" w:hAnsi="Arial"/>
                <w:sz w:val="14"/>
                <w:szCs w:val="14"/>
                <w:color w:val="auto"/>
              </w:rPr>
              <w:t>Total</w:t>
            </w:r>
          </w:p>
        </w:tc>
        <w:tc>
          <w:tcPr>
            <w:tcW w:w="26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-21.5%</w:t>
            </w:r>
          </w:p>
        </w:tc>
        <w:tc>
          <w:tcPr>
            <w:tcW w:w="4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-28.9%</w:t>
            </w:r>
          </w:p>
        </w:tc>
        <w:tc>
          <w:tcPr>
            <w:tcW w:w="92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-33.7%</w:t>
            </w:r>
          </w:p>
        </w:tc>
        <w:tc>
          <w:tcPr>
            <w:tcW w:w="7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-26.8%</w:t>
            </w:r>
          </w:p>
        </w:tc>
        <w:tc>
          <w:tcPr>
            <w:tcW w:w="1680" w:type="dxa"/>
            <w:vAlign w:val="bottom"/>
            <w:gridSpan w:val="2"/>
            <w:shd w:val="clear" w:color="auto" w:fill="CCEEFF"/>
          </w:tcPr>
          <w:p>
            <w:pPr>
              <w:jc w:val="right"/>
              <w:ind w:right="56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65"/>
              <w:spacing w:after="0"/>
              <w:rPr>
                <w:sz w:val="20"/>
                <w:szCs w:val="20"/>
                <w:color w:val="auto"/>
              </w:rPr>
            </w:pPr>
            <w:r>
              <w:rPr>
                <w:rFonts w:ascii="Arial" w:cs="Arial" w:eastAsia="Arial" w:hAnsi="Arial"/>
                <w:sz w:val="14"/>
                <w:szCs w:val="14"/>
                <w:color w:val="auto"/>
              </w:rPr>
              <w:t>-26.8%</w:t>
            </w:r>
          </w:p>
        </w:tc>
        <w:tc>
          <w:tcPr>
            <w:tcW w:w="0" w:type="dxa"/>
            <w:vAlign w:val="bottom"/>
          </w:tcPr>
          <w:p>
            <w:pPr>
              <w:spacing w:after="0"/>
              <w:rPr>
                <w:sz w:val="1"/>
                <w:szCs w:val="1"/>
                <w:color w:val="auto"/>
              </w:rPr>
            </w:pPr>
          </w:p>
        </w:tc>
      </w:tr>
      <w:tr>
        <w:trPr>
          <w:trHeight w:val="324"/>
        </w:trPr>
        <w:tc>
          <w:tcPr>
            <w:tcW w:w="2960" w:type="dxa"/>
            <w:vAlign w:val="bottom"/>
            <w:gridSpan w:val="2"/>
          </w:tcPr>
          <w:p>
            <w:pPr>
              <w:spacing w:after="0"/>
              <w:rPr>
                <w:sz w:val="20"/>
                <w:szCs w:val="20"/>
                <w:color w:val="auto"/>
              </w:rPr>
            </w:pPr>
            <w:r>
              <w:rPr>
                <w:rFonts w:ascii="Arial" w:cs="Arial" w:eastAsia="Arial" w:hAnsi="Arial"/>
                <w:sz w:val="14"/>
                <w:szCs w:val="14"/>
                <w:color w:val="auto"/>
              </w:rPr>
              <w:t>Six months ended January 31, 2009:</w:t>
            </w: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940" w:type="dxa"/>
            <w:vAlign w:val="bottom"/>
            <w:shd w:val="clear" w:color="auto" w:fill="CCEEFF"/>
          </w:tcPr>
          <w:p>
            <w:pPr>
              <w:ind w:left="400"/>
              <w:spacing w:after="0"/>
              <w:rPr>
                <w:sz w:val="20"/>
                <w:szCs w:val="20"/>
                <w:color w:val="auto"/>
              </w:rPr>
            </w:pPr>
            <w:r>
              <w:rPr>
                <w:rFonts w:ascii="Arial" w:cs="Arial" w:eastAsia="Arial" w:hAnsi="Arial"/>
                <w:sz w:val="14"/>
                <w:szCs w:val="14"/>
                <w:color w:val="auto"/>
              </w:rPr>
              <w:t>Base</w:t>
            </w:r>
          </w:p>
        </w:tc>
        <w:tc>
          <w:tcPr>
            <w:tcW w:w="26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-13.5%</w:t>
            </w:r>
          </w:p>
        </w:tc>
        <w:tc>
          <w:tcPr>
            <w:tcW w:w="4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w:t>
            </w:r>
          </w:p>
        </w:tc>
        <w:tc>
          <w:tcPr>
            <w:tcW w:w="92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-7.7%</w:t>
            </w:r>
          </w:p>
        </w:tc>
        <w:tc>
          <w:tcPr>
            <w:tcW w:w="7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-11.5%</w:t>
            </w:r>
          </w:p>
        </w:tc>
        <w:tc>
          <w:tcPr>
            <w:tcW w:w="1680" w:type="dxa"/>
            <w:vAlign w:val="bottom"/>
            <w:gridSpan w:val="2"/>
            <w:shd w:val="clear" w:color="auto" w:fill="CCEEFF"/>
          </w:tcPr>
          <w:p>
            <w:pPr>
              <w:jc w:val="right"/>
              <w:ind w:right="56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65"/>
              <w:spacing w:after="0"/>
              <w:rPr>
                <w:sz w:val="20"/>
                <w:szCs w:val="20"/>
                <w:color w:val="auto"/>
              </w:rPr>
            </w:pPr>
            <w:r>
              <w:rPr>
                <w:rFonts w:ascii="Arial" w:cs="Arial" w:eastAsia="Arial" w:hAnsi="Arial"/>
                <w:sz w:val="14"/>
                <w:szCs w:val="14"/>
                <w:color w:val="auto"/>
              </w:rPr>
              <w:t>-11.5%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940" w:type="dxa"/>
            <w:vAlign w:val="bottom"/>
          </w:tcPr>
          <w:p>
            <w:pPr>
              <w:ind w:left="400"/>
              <w:spacing w:after="0"/>
              <w:rPr>
                <w:sz w:val="20"/>
                <w:szCs w:val="20"/>
                <w:color w:val="auto"/>
              </w:rPr>
            </w:pPr>
            <w:r>
              <w:rPr>
                <w:rFonts w:ascii="Arial" w:cs="Arial" w:eastAsia="Arial" w:hAnsi="Arial"/>
                <w:sz w:val="14"/>
                <w:szCs w:val="14"/>
                <w:color w:val="auto"/>
              </w:rPr>
              <w:t>Currency</w:t>
            </w:r>
          </w:p>
        </w:tc>
        <w:tc>
          <w:tcPr>
            <w:tcW w:w="260" w:type="dxa"/>
            <w:vAlign w:val="bottom"/>
          </w:tcPr>
          <w:p>
            <w:pPr>
              <w:spacing w:after="0"/>
              <w:rPr>
                <w:sz w:val="14"/>
                <w:szCs w:val="14"/>
                <w:color w:val="auto"/>
              </w:rPr>
            </w:pPr>
          </w:p>
        </w:tc>
        <w:tc>
          <w:tcPr>
            <w:tcW w:w="980" w:type="dxa"/>
            <w:vAlign w:val="bottom"/>
          </w:tcPr>
          <w:p>
            <w:pPr>
              <w:jc w:val="right"/>
              <w:ind w:right="268"/>
              <w:spacing w:after="0"/>
              <w:rPr>
                <w:sz w:val="20"/>
                <w:szCs w:val="20"/>
                <w:color w:val="auto"/>
              </w:rPr>
            </w:pPr>
            <w:r>
              <w:rPr>
                <w:rFonts w:ascii="Arial" w:cs="Arial" w:eastAsia="Arial" w:hAnsi="Arial"/>
                <w:sz w:val="14"/>
                <w:szCs w:val="14"/>
                <w:color w:val="auto"/>
              </w:rPr>
              <w:t>-1.4%</w:t>
            </w:r>
          </w:p>
        </w:tc>
        <w:tc>
          <w:tcPr>
            <w:tcW w:w="4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-7.1%</w:t>
            </w:r>
          </w:p>
        </w:tc>
        <w:tc>
          <w:tcPr>
            <w:tcW w:w="920" w:type="dxa"/>
            <w:vAlign w:val="bottom"/>
          </w:tcPr>
          <w:p>
            <w:pPr>
              <w:spacing w:after="0"/>
              <w:rPr>
                <w:sz w:val="14"/>
                <w:szCs w:val="14"/>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-1.1%</w:t>
            </w:r>
          </w:p>
        </w:tc>
        <w:tc>
          <w:tcPr>
            <w:tcW w:w="780" w:type="dxa"/>
            <w:vAlign w:val="bottom"/>
          </w:tcPr>
          <w:p>
            <w:pPr>
              <w:spacing w:after="0"/>
              <w:rPr>
                <w:sz w:val="14"/>
                <w:szCs w:val="14"/>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-3.1%</w:t>
            </w:r>
          </w:p>
        </w:tc>
        <w:tc>
          <w:tcPr>
            <w:tcW w:w="1680" w:type="dxa"/>
            <w:vAlign w:val="bottom"/>
            <w:gridSpan w:val="2"/>
          </w:tcPr>
          <w:p>
            <w:pPr>
              <w:jc w:val="right"/>
              <w:ind w:right="56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4"/>
                <w:szCs w:val="14"/>
                <w:color w:val="auto"/>
              </w:rPr>
            </w:pPr>
          </w:p>
        </w:tc>
        <w:tc>
          <w:tcPr>
            <w:tcW w:w="800" w:type="dxa"/>
            <w:vAlign w:val="bottom"/>
          </w:tcPr>
          <w:p>
            <w:pPr>
              <w:jc w:val="right"/>
              <w:ind w:right="65"/>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940" w:type="dxa"/>
            <w:vAlign w:val="bottom"/>
            <w:shd w:val="clear" w:color="auto" w:fill="CCEEFF"/>
          </w:tcPr>
          <w:p>
            <w:pPr>
              <w:ind w:left="400"/>
              <w:spacing w:after="0"/>
              <w:rPr>
                <w:sz w:val="20"/>
                <w:szCs w:val="20"/>
                <w:color w:val="auto"/>
              </w:rPr>
            </w:pPr>
            <w:r>
              <w:rPr>
                <w:rFonts w:ascii="Arial" w:cs="Arial" w:eastAsia="Arial" w:hAnsi="Arial"/>
                <w:sz w:val="14"/>
                <w:szCs w:val="14"/>
                <w:color w:val="auto"/>
              </w:rPr>
              <w:t>Acquisitions</w:t>
            </w:r>
          </w:p>
        </w:tc>
        <w:tc>
          <w:tcPr>
            <w:tcW w:w="26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0.6%</w:t>
            </w:r>
          </w:p>
        </w:tc>
        <w:tc>
          <w:tcPr>
            <w:tcW w:w="4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92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0.0%</w:t>
            </w:r>
          </w:p>
        </w:tc>
        <w:tc>
          <w:tcPr>
            <w:tcW w:w="7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1.2%</w:t>
            </w:r>
          </w:p>
        </w:tc>
        <w:tc>
          <w:tcPr>
            <w:tcW w:w="1680" w:type="dxa"/>
            <w:vAlign w:val="bottom"/>
            <w:gridSpan w:val="2"/>
            <w:shd w:val="clear" w:color="auto" w:fill="CCEEFF"/>
          </w:tcPr>
          <w:p>
            <w:pPr>
              <w:jc w:val="right"/>
              <w:ind w:right="56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65"/>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940" w:type="dxa"/>
            <w:vAlign w:val="bottom"/>
          </w:tcPr>
          <w:p>
            <w:pPr>
              <w:ind w:left="800"/>
              <w:spacing w:after="0"/>
              <w:rPr>
                <w:sz w:val="20"/>
                <w:szCs w:val="20"/>
                <w:color w:val="auto"/>
              </w:rPr>
            </w:pPr>
            <w:r>
              <w:rPr>
                <w:rFonts w:ascii="Arial" w:cs="Arial" w:eastAsia="Arial" w:hAnsi="Arial"/>
                <w:sz w:val="14"/>
                <w:szCs w:val="14"/>
                <w:color w:val="auto"/>
              </w:rPr>
              <w:t>Total</w:t>
            </w:r>
          </w:p>
        </w:tc>
        <w:tc>
          <w:tcPr>
            <w:tcW w:w="260" w:type="dxa"/>
            <w:vAlign w:val="bottom"/>
          </w:tcPr>
          <w:p>
            <w:pPr>
              <w:spacing w:after="0"/>
              <w:rPr>
                <w:sz w:val="14"/>
                <w:szCs w:val="14"/>
                <w:color w:val="auto"/>
              </w:rPr>
            </w:pPr>
          </w:p>
        </w:tc>
        <w:tc>
          <w:tcPr>
            <w:tcW w:w="980" w:type="dxa"/>
            <w:vAlign w:val="bottom"/>
          </w:tcPr>
          <w:p>
            <w:pPr>
              <w:jc w:val="right"/>
              <w:ind w:right="268"/>
              <w:spacing w:after="0"/>
              <w:rPr>
                <w:sz w:val="20"/>
                <w:szCs w:val="20"/>
                <w:color w:val="auto"/>
              </w:rPr>
            </w:pPr>
            <w:r>
              <w:rPr>
                <w:rFonts w:ascii="Arial" w:cs="Arial" w:eastAsia="Arial" w:hAnsi="Arial"/>
                <w:sz w:val="14"/>
                <w:szCs w:val="14"/>
                <w:color w:val="auto"/>
              </w:rPr>
              <w:t>-14.3%</w:t>
            </w:r>
          </w:p>
        </w:tc>
        <w:tc>
          <w:tcPr>
            <w:tcW w:w="4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-15.6%</w:t>
            </w:r>
          </w:p>
        </w:tc>
        <w:tc>
          <w:tcPr>
            <w:tcW w:w="920" w:type="dxa"/>
            <w:vAlign w:val="bottom"/>
          </w:tcPr>
          <w:p>
            <w:pPr>
              <w:spacing w:after="0"/>
              <w:rPr>
                <w:sz w:val="14"/>
                <w:szCs w:val="14"/>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-8.8%</w:t>
            </w:r>
          </w:p>
        </w:tc>
        <w:tc>
          <w:tcPr>
            <w:tcW w:w="780" w:type="dxa"/>
            <w:vAlign w:val="bottom"/>
          </w:tcPr>
          <w:p>
            <w:pPr>
              <w:spacing w:after="0"/>
              <w:rPr>
                <w:sz w:val="14"/>
                <w:szCs w:val="14"/>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-13.4%</w:t>
            </w:r>
          </w:p>
        </w:tc>
        <w:tc>
          <w:tcPr>
            <w:tcW w:w="1680" w:type="dxa"/>
            <w:vAlign w:val="bottom"/>
            <w:gridSpan w:val="2"/>
          </w:tcPr>
          <w:p>
            <w:pPr>
              <w:jc w:val="right"/>
              <w:ind w:right="56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4"/>
                <w:szCs w:val="14"/>
                <w:color w:val="auto"/>
              </w:rPr>
            </w:pPr>
          </w:p>
        </w:tc>
        <w:tc>
          <w:tcPr>
            <w:tcW w:w="800" w:type="dxa"/>
            <w:vAlign w:val="bottom"/>
          </w:tcPr>
          <w:p>
            <w:pPr>
              <w:jc w:val="right"/>
              <w:ind w:right="65"/>
              <w:spacing w:after="0"/>
              <w:rPr>
                <w:sz w:val="20"/>
                <w:szCs w:val="20"/>
                <w:color w:val="auto"/>
              </w:rPr>
            </w:pPr>
            <w:r>
              <w:rPr>
                <w:rFonts w:ascii="Arial" w:cs="Arial" w:eastAsia="Arial" w:hAnsi="Arial"/>
                <w:sz w:val="14"/>
                <w:szCs w:val="14"/>
                <w:color w:val="auto"/>
              </w:rPr>
              <w:t>-13.4%</w:t>
            </w: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29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940" w:type="dxa"/>
            <w:vAlign w:val="bottom"/>
          </w:tcPr>
          <w:p>
            <w:pPr>
              <w:spacing w:after="0"/>
              <w:rPr>
                <w:sz w:val="20"/>
                <w:szCs w:val="20"/>
                <w:color w:val="auto"/>
              </w:rPr>
            </w:pPr>
            <w:r>
              <w:rPr>
                <w:rFonts w:ascii="Arial" w:cs="Arial" w:eastAsia="Arial" w:hAnsi="Arial"/>
                <w:sz w:val="14"/>
                <w:szCs w:val="14"/>
                <w:b w:val="1"/>
                <w:bCs w:val="1"/>
                <w:color w:val="auto"/>
              </w:rPr>
              <w:t>SEGMENT PROFIT</w:t>
            </w: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4"/>
                <w:szCs w:val="14"/>
                <w:color w:val="auto"/>
              </w:rPr>
              <w:t>Three months ended:</w:t>
            </w:r>
          </w:p>
        </w:tc>
        <w:tc>
          <w:tcPr>
            <w:tcW w:w="2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940" w:type="dxa"/>
            <w:vAlign w:val="bottom"/>
          </w:tcPr>
          <w:p>
            <w:pPr>
              <w:ind w:left="400"/>
              <w:spacing w:after="0"/>
              <w:rPr>
                <w:sz w:val="20"/>
                <w:szCs w:val="20"/>
                <w:color w:val="auto"/>
              </w:rPr>
            </w:pPr>
            <w:r>
              <w:rPr>
                <w:rFonts w:ascii="Arial" w:cs="Arial" w:eastAsia="Arial" w:hAnsi="Arial"/>
                <w:sz w:val="14"/>
                <w:szCs w:val="14"/>
                <w:color w:val="auto"/>
              </w:rPr>
              <w:t>January 31, 2009</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388"/>
              <w:spacing w:after="0"/>
              <w:rPr>
                <w:sz w:val="20"/>
                <w:szCs w:val="20"/>
                <w:color w:val="auto"/>
              </w:rPr>
            </w:pPr>
            <w:r>
              <w:rPr>
                <w:rFonts w:ascii="Arial" w:cs="Arial" w:eastAsia="Arial" w:hAnsi="Arial"/>
                <w:sz w:val="14"/>
                <w:szCs w:val="14"/>
                <w:color w:val="auto"/>
              </w:rPr>
              <w:t>22,041</w:t>
            </w: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68"/>
              <w:spacing w:after="0"/>
              <w:rPr>
                <w:sz w:val="20"/>
                <w:szCs w:val="20"/>
                <w:color w:val="auto"/>
              </w:rPr>
            </w:pPr>
            <w:r>
              <w:rPr>
                <w:rFonts w:ascii="Arial" w:cs="Arial" w:eastAsia="Arial" w:hAnsi="Arial"/>
                <w:sz w:val="14"/>
                <w:szCs w:val="14"/>
                <w:color w:val="auto"/>
              </w:rPr>
              <w:t>22,945</w:t>
            </w: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4,122</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380"/>
              <w:spacing w:after="0"/>
              <w:rPr>
                <w:sz w:val="20"/>
                <w:szCs w:val="20"/>
                <w:color w:val="auto"/>
              </w:rPr>
            </w:pPr>
            <w:r>
              <w:rPr>
                <w:rFonts w:ascii="Arial" w:cs="Arial" w:eastAsia="Arial" w:hAnsi="Arial"/>
                <w:sz w:val="14"/>
                <w:szCs w:val="14"/>
                <w:color w:val="auto"/>
              </w:rPr>
              <w:t>49,108</w:t>
            </w:r>
          </w:p>
        </w:tc>
        <w:tc>
          <w:tcPr>
            <w:tcW w:w="1220" w:type="dxa"/>
            <w:vAlign w:val="bottom"/>
          </w:tcPr>
          <w:p>
            <w:pPr>
              <w:jc w:val="right"/>
              <w:spacing w:after="0"/>
              <w:rPr>
                <w:sz w:val="20"/>
                <w:szCs w:val="20"/>
                <w:color w:val="auto"/>
              </w:rPr>
            </w:pPr>
            <w:r>
              <w:rPr>
                <w:rFonts w:ascii="Arial" w:cs="Arial" w:eastAsia="Arial" w:hAnsi="Arial"/>
                <w:sz w:val="14"/>
                <w:szCs w:val="14"/>
                <w:color w:val="auto"/>
              </w:rPr>
              <w:t>($2,607)</w:t>
            </w:r>
          </w:p>
        </w:tc>
        <w:tc>
          <w:tcPr>
            <w:tcW w:w="46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185"/>
              <w:spacing w:after="0"/>
              <w:rPr>
                <w:sz w:val="20"/>
                <w:szCs w:val="20"/>
                <w:color w:val="auto"/>
              </w:rPr>
            </w:pPr>
            <w:r>
              <w:rPr>
                <w:rFonts w:ascii="Arial" w:cs="Arial" w:eastAsia="Arial" w:hAnsi="Arial"/>
                <w:sz w:val="14"/>
                <w:szCs w:val="14"/>
                <w:color w:val="auto"/>
              </w:rPr>
              <w:t>46,501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940" w:type="dxa"/>
            <w:vAlign w:val="bottom"/>
            <w:shd w:val="clear" w:color="auto" w:fill="CCEEFF"/>
          </w:tcPr>
          <w:p>
            <w:pPr>
              <w:ind w:left="400"/>
              <w:spacing w:after="0"/>
              <w:rPr>
                <w:sz w:val="20"/>
                <w:szCs w:val="20"/>
                <w:color w:val="auto"/>
              </w:rPr>
            </w:pPr>
            <w:r>
              <w:rPr>
                <w:rFonts w:ascii="Arial" w:cs="Arial" w:eastAsia="Arial" w:hAnsi="Arial"/>
                <w:sz w:val="14"/>
                <w:szCs w:val="14"/>
                <w:color w:val="auto"/>
              </w:rPr>
              <w:t>January 31, 2008</w:t>
            </w: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388"/>
              <w:spacing w:after="0"/>
              <w:rPr>
                <w:sz w:val="20"/>
                <w:szCs w:val="20"/>
                <w:color w:val="auto"/>
              </w:rPr>
            </w:pPr>
            <w:r>
              <w:rPr>
                <w:rFonts w:ascii="Arial" w:cs="Arial" w:eastAsia="Arial" w:hAnsi="Arial"/>
                <w:sz w:val="14"/>
                <w:szCs w:val="14"/>
                <w:color w:val="auto"/>
              </w:rPr>
              <w:t>32,036</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31,067</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12,660</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75,763</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($2,347)</w:t>
            </w:r>
          </w:p>
        </w:tc>
        <w:tc>
          <w:tcPr>
            <w:tcW w:w="46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185"/>
              <w:spacing w:after="0"/>
              <w:rPr>
                <w:sz w:val="20"/>
                <w:szCs w:val="20"/>
                <w:color w:val="auto"/>
              </w:rPr>
            </w:pPr>
            <w:r>
              <w:rPr>
                <w:rFonts w:ascii="Arial" w:cs="Arial" w:eastAsia="Arial" w:hAnsi="Arial"/>
                <w:sz w:val="14"/>
                <w:szCs w:val="14"/>
                <w:color w:val="auto"/>
              </w:rPr>
              <w:t>73,416</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940" w:type="dxa"/>
            <w:vAlign w:val="bottom"/>
          </w:tcPr>
          <w:p>
            <w:pPr>
              <w:ind w:left="800"/>
              <w:spacing w:after="0" w:line="153" w:lineRule="exact"/>
              <w:rPr>
                <w:sz w:val="20"/>
                <w:szCs w:val="20"/>
                <w:color w:val="auto"/>
              </w:rPr>
            </w:pPr>
            <w:r>
              <w:rPr>
                <w:rFonts w:ascii="Arial" w:cs="Arial" w:eastAsia="Arial" w:hAnsi="Arial"/>
                <w:sz w:val="14"/>
                <w:szCs w:val="14"/>
                <w:i w:val="1"/>
                <w:iCs w:val="1"/>
                <w:color w:val="auto"/>
              </w:rPr>
              <w:t>Percentage increase</w:t>
            </w: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940" w:type="dxa"/>
            <w:vAlign w:val="bottom"/>
          </w:tcPr>
          <w:p>
            <w:pPr>
              <w:ind w:left="1000"/>
              <w:spacing w:after="0"/>
              <w:rPr>
                <w:sz w:val="20"/>
                <w:szCs w:val="20"/>
                <w:color w:val="auto"/>
              </w:rPr>
            </w:pPr>
            <w:r>
              <w:rPr>
                <w:rFonts w:ascii="Arial" w:cs="Arial" w:eastAsia="Arial" w:hAnsi="Arial"/>
                <w:sz w:val="14"/>
                <w:szCs w:val="14"/>
                <w:i w:val="1"/>
                <w:iCs w:val="1"/>
                <w:color w:val="auto"/>
              </w:rPr>
              <w:t>(decrease)</w:t>
            </w:r>
          </w:p>
        </w:tc>
        <w:tc>
          <w:tcPr>
            <w:tcW w:w="260" w:type="dxa"/>
            <w:vAlign w:val="bottom"/>
          </w:tcPr>
          <w:p>
            <w:pPr>
              <w:spacing w:after="0"/>
              <w:rPr>
                <w:sz w:val="16"/>
                <w:szCs w:val="16"/>
                <w:color w:val="auto"/>
              </w:rPr>
            </w:pPr>
          </w:p>
        </w:tc>
        <w:tc>
          <w:tcPr>
            <w:tcW w:w="980" w:type="dxa"/>
            <w:vAlign w:val="bottom"/>
          </w:tcPr>
          <w:p>
            <w:pPr>
              <w:jc w:val="right"/>
              <w:ind w:right="268"/>
              <w:spacing w:after="0"/>
              <w:rPr>
                <w:sz w:val="20"/>
                <w:szCs w:val="20"/>
                <w:color w:val="auto"/>
              </w:rPr>
            </w:pPr>
            <w:r>
              <w:rPr>
                <w:rFonts w:ascii="Arial" w:cs="Arial" w:eastAsia="Arial" w:hAnsi="Arial"/>
                <w:sz w:val="14"/>
                <w:szCs w:val="14"/>
                <w:color w:val="auto"/>
              </w:rPr>
              <w:t>-31.2%</w:t>
            </w:r>
          </w:p>
        </w:tc>
        <w:tc>
          <w:tcPr>
            <w:tcW w:w="4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-26.1%</w:t>
            </w:r>
          </w:p>
        </w:tc>
        <w:tc>
          <w:tcPr>
            <w:tcW w:w="920" w:type="dxa"/>
            <w:vAlign w:val="bottom"/>
          </w:tcPr>
          <w:p>
            <w:pPr>
              <w:spacing w:after="0"/>
              <w:rPr>
                <w:sz w:val="16"/>
                <w:szCs w:val="16"/>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-67.4%</w:t>
            </w:r>
          </w:p>
        </w:tc>
        <w:tc>
          <w:tcPr>
            <w:tcW w:w="780" w:type="dxa"/>
            <w:vAlign w:val="bottom"/>
          </w:tcPr>
          <w:p>
            <w:pPr>
              <w:spacing w:after="0"/>
              <w:rPr>
                <w:sz w:val="16"/>
                <w:szCs w:val="16"/>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-35.2%</w:t>
            </w:r>
          </w:p>
        </w:tc>
        <w:tc>
          <w:tcPr>
            <w:tcW w:w="1680" w:type="dxa"/>
            <w:vAlign w:val="bottom"/>
            <w:gridSpan w:val="2"/>
          </w:tcPr>
          <w:p>
            <w:pPr>
              <w:jc w:val="right"/>
              <w:ind w:right="440"/>
              <w:spacing w:after="0"/>
              <w:rPr>
                <w:sz w:val="20"/>
                <w:szCs w:val="20"/>
                <w:color w:val="auto"/>
              </w:rPr>
            </w:pPr>
            <w:r>
              <w:rPr>
                <w:rFonts w:ascii="Arial" w:cs="Arial" w:eastAsia="Arial" w:hAnsi="Arial"/>
                <w:sz w:val="14"/>
                <w:szCs w:val="14"/>
                <w:color w:val="auto"/>
              </w:rPr>
              <w:t>11.1%</w:t>
            </w:r>
          </w:p>
        </w:tc>
        <w:tc>
          <w:tcPr>
            <w:tcW w:w="420" w:type="dxa"/>
            <w:vAlign w:val="bottom"/>
          </w:tcPr>
          <w:p>
            <w:pPr>
              <w:spacing w:after="0"/>
              <w:rPr>
                <w:sz w:val="16"/>
                <w:szCs w:val="16"/>
                <w:color w:val="auto"/>
              </w:rPr>
            </w:pPr>
          </w:p>
        </w:tc>
        <w:tc>
          <w:tcPr>
            <w:tcW w:w="800" w:type="dxa"/>
            <w:vAlign w:val="bottom"/>
          </w:tcPr>
          <w:p>
            <w:pPr>
              <w:jc w:val="right"/>
              <w:ind w:right="65"/>
              <w:spacing w:after="0"/>
              <w:rPr>
                <w:sz w:val="20"/>
                <w:szCs w:val="20"/>
                <w:color w:val="auto"/>
              </w:rPr>
            </w:pPr>
            <w:r>
              <w:rPr>
                <w:rFonts w:ascii="Arial" w:cs="Arial" w:eastAsia="Arial" w:hAnsi="Arial"/>
                <w:sz w:val="14"/>
                <w:szCs w:val="14"/>
                <w:color w:val="auto"/>
              </w:rPr>
              <w:t>-36.7%</w:t>
            </w:r>
          </w:p>
        </w:tc>
        <w:tc>
          <w:tcPr>
            <w:tcW w:w="0" w:type="dxa"/>
            <w:vAlign w:val="bottom"/>
          </w:tcPr>
          <w:p>
            <w:pPr>
              <w:spacing w:after="0"/>
              <w:rPr>
                <w:sz w:val="1"/>
                <w:szCs w:val="1"/>
                <w:color w:val="auto"/>
              </w:rPr>
            </w:pPr>
          </w:p>
        </w:tc>
      </w:tr>
      <w:tr>
        <w:trPr>
          <w:trHeight w:val="147"/>
        </w:trPr>
        <w:tc>
          <w:tcPr>
            <w:tcW w:w="2960" w:type="dxa"/>
            <w:vAlign w:val="bottom"/>
            <w:gridSpan w:val="2"/>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4"/>
                <w:szCs w:val="14"/>
                <w:color w:val="auto"/>
              </w:rPr>
              <w:t>Six months ended:</w:t>
            </w:r>
          </w:p>
        </w:tc>
        <w:tc>
          <w:tcPr>
            <w:tcW w:w="2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940" w:type="dxa"/>
            <w:vAlign w:val="bottom"/>
          </w:tcPr>
          <w:p>
            <w:pPr>
              <w:ind w:left="400"/>
              <w:spacing w:after="0"/>
              <w:rPr>
                <w:sz w:val="20"/>
                <w:szCs w:val="20"/>
                <w:color w:val="auto"/>
              </w:rPr>
            </w:pPr>
            <w:r>
              <w:rPr>
                <w:rFonts w:ascii="Arial" w:cs="Arial" w:eastAsia="Arial" w:hAnsi="Arial"/>
                <w:sz w:val="14"/>
                <w:szCs w:val="14"/>
                <w:color w:val="auto"/>
              </w:rPr>
              <w:t>January 31, 2009</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388"/>
              <w:spacing w:after="0"/>
              <w:rPr>
                <w:sz w:val="20"/>
                <w:szCs w:val="20"/>
                <w:color w:val="auto"/>
              </w:rPr>
            </w:pPr>
            <w:r>
              <w:rPr>
                <w:rFonts w:ascii="Arial" w:cs="Arial" w:eastAsia="Arial" w:hAnsi="Arial"/>
                <w:sz w:val="14"/>
                <w:szCs w:val="14"/>
                <w:color w:val="auto"/>
              </w:rPr>
              <w:t>57,564</w:t>
            </w: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68"/>
              <w:spacing w:after="0"/>
              <w:rPr>
                <w:sz w:val="20"/>
                <w:szCs w:val="20"/>
                <w:color w:val="auto"/>
              </w:rPr>
            </w:pPr>
            <w:r>
              <w:rPr>
                <w:rFonts w:ascii="Arial" w:cs="Arial" w:eastAsia="Arial" w:hAnsi="Arial"/>
                <w:sz w:val="14"/>
                <w:szCs w:val="14"/>
                <w:color w:val="auto"/>
              </w:rPr>
              <w:t>54,084</w:t>
            </w: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26,523</w:t>
            </w:r>
          </w:p>
        </w:tc>
        <w:tc>
          <w:tcPr>
            <w:tcW w:w="1620" w:type="dxa"/>
            <w:vAlign w:val="bottom"/>
            <w:gridSpan w:val="3"/>
          </w:tcPr>
          <w:p>
            <w:pPr>
              <w:jc w:val="right"/>
              <w:ind w:right="380"/>
              <w:spacing w:after="0"/>
              <w:rPr>
                <w:sz w:val="20"/>
                <w:szCs w:val="20"/>
                <w:color w:val="auto"/>
              </w:rPr>
            </w:pPr>
            <w:r>
              <w:rPr>
                <w:rFonts w:ascii="Arial" w:cs="Arial" w:eastAsia="Arial" w:hAnsi="Arial"/>
                <w:sz w:val="14"/>
                <w:szCs w:val="14"/>
                <w:color w:val="auto"/>
              </w:rPr>
              <w:t>$138,171</w:t>
            </w:r>
          </w:p>
        </w:tc>
        <w:tc>
          <w:tcPr>
            <w:tcW w:w="1220" w:type="dxa"/>
            <w:vAlign w:val="bottom"/>
          </w:tcPr>
          <w:p>
            <w:pPr>
              <w:jc w:val="right"/>
              <w:spacing w:after="0"/>
              <w:rPr>
                <w:sz w:val="20"/>
                <w:szCs w:val="20"/>
                <w:color w:val="auto"/>
              </w:rPr>
            </w:pPr>
            <w:r>
              <w:rPr>
                <w:rFonts w:ascii="Arial" w:cs="Arial" w:eastAsia="Arial" w:hAnsi="Arial"/>
                <w:sz w:val="14"/>
                <w:szCs w:val="14"/>
                <w:color w:val="auto"/>
              </w:rPr>
              <w:t>($4,914)</w:t>
            </w:r>
          </w:p>
        </w:tc>
        <w:tc>
          <w:tcPr>
            <w:tcW w:w="460" w:type="dxa"/>
            <w:vAlign w:val="bottom"/>
          </w:tcPr>
          <w:p>
            <w:pPr>
              <w:spacing w:after="0"/>
              <w:rPr>
                <w:sz w:val="14"/>
                <w:szCs w:val="14"/>
                <w:color w:val="auto"/>
              </w:rPr>
            </w:pPr>
          </w:p>
        </w:tc>
        <w:tc>
          <w:tcPr>
            <w:tcW w:w="1220" w:type="dxa"/>
            <w:vAlign w:val="bottom"/>
            <w:gridSpan w:val="2"/>
          </w:tcPr>
          <w:p>
            <w:pPr>
              <w:jc w:val="right"/>
              <w:ind w:right="185"/>
              <w:spacing w:after="0"/>
              <w:rPr>
                <w:sz w:val="20"/>
                <w:szCs w:val="20"/>
                <w:color w:val="auto"/>
              </w:rPr>
            </w:pPr>
            <w:r>
              <w:rPr>
                <w:rFonts w:ascii="Arial" w:cs="Arial" w:eastAsia="Arial" w:hAnsi="Arial"/>
                <w:sz w:val="14"/>
                <w:szCs w:val="14"/>
                <w:color w:val="auto"/>
              </w:rPr>
              <w:t>$133,257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940" w:type="dxa"/>
            <w:vAlign w:val="bottom"/>
            <w:shd w:val="clear" w:color="auto" w:fill="CCEEFF"/>
          </w:tcPr>
          <w:p>
            <w:pPr>
              <w:ind w:left="400"/>
              <w:spacing w:after="0"/>
              <w:rPr>
                <w:sz w:val="20"/>
                <w:szCs w:val="20"/>
                <w:color w:val="auto"/>
              </w:rPr>
            </w:pPr>
            <w:r>
              <w:rPr>
                <w:rFonts w:ascii="Arial" w:cs="Arial" w:eastAsia="Arial" w:hAnsi="Arial"/>
                <w:sz w:val="14"/>
                <w:szCs w:val="14"/>
                <w:color w:val="auto"/>
              </w:rPr>
              <w:t>January 31, 2008</w:t>
            </w: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388"/>
              <w:spacing w:after="0"/>
              <w:rPr>
                <w:sz w:val="20"/>
                <w:szCs w:val="20"/>
                <w:color w:val="auto"/>
              </w:rPr>
            </w:pPr>
            <w:r>
              <w:rPr>
                <w:rFonts w:ascii="Arial" w:cs="Arial" w:eastAsia="Arial" w:hAnsi="Arial"/>
                <w:sz w:val="14"/>
                <w:szCs w:val="14"/>
                <w:color w:val="auto"/>
              </w:rPr>
              <w:t>76,142</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60,967</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32,050</w:t>
            </w:r>
          </w:p>
        </w:tc>
        <w:tc>
          <w:tcPr>
            <w:tcW w:w="1620" w:type="dxa"/>
            <w:vAlign w:val="bottom"/>
            <w:gridSpan w:val="3"/>
            <w:shd w:val="clear" w:color="auto" w:fill="CCEEFF"/>
          </w:tcPr>
          <w:p>
            <w:pPr>
              <w:jc w:val="right"/>
              <w:ind w:right="380"/>
              <w:spacing w:after="0"/>
              <w:rPr>
                <w:sz w:val="20"/>
                <w:szCs w:val="20"/>
                <w:color w:val="auto"/>
              </w:rPr>
            </w:pPr>
            <w:r>
              <w:rPr>
                <w:rFonts w:ascii="Arial" w:cs="Arial" w:eastAsia="Arial" w:hAnsi="Arial"/>
                <w:sz w:val="14"/>
                <w:szCs w:val="14"/>
                <w:color w:val="auto"/>
              </w:rPr>
              <w:t>$169,159</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($4,583)</w:t>
            </w:r>
          </w:p>
        </w:tc>
        <w:tc>
          <w:tcPr>
            <w:tcW w:w="46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85"/>
              <w:spacing w:after="0"/>
              <w:rPr>
                <w:sz w:val="20"/>
                <w:szCs w:val="20"/>
                <w:color w:val="auto"/>
              </w:rPr>
            </w:pPr>
            <w:r>
              <w:rPr>
                <w:rFonts w:ascii="Arial" w:cs="Arial" w:eastAsia="Arial" w:hAnsi="Arial"/>
                <w:sz w:val="14"/>
                <w:szCs w:val="14"/>
                <w:color w:val="auto"/>
              </w:rPr>
              <w:t>$164,576</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940" w:type="dxa"/>
            <w:vAlign w:val="bottom"/>
          </w:tcPr>
          <w:p>
            <w:pPr>
              <w:ind w:left="800"/>
              <w:spacing w:after="0" w:line="153" w:lineRule="exact"/>
              <w:rPr>
                <w:sz w:val="20"/>
                <w:szCs w:val="20"/>
                <w:color w:val="auto"/>
              </w:rPr>
            </w:pPr>
            <w:r>
              <w:rPr>
                <w:rFonts w:ascii="Arial" w:cs="Arial" w:eastAsia="Arial" w:hAnsi="Arial"/>
                <w:sz w:val="14"/>
                <w:szCs w:val="14"/>
                <w:i w:val="1"/>
                <w:iCs w:val="1"/>
                <w:color w:val="auto"/>
              </w:rPr>
              <w:t>Percentage increase</w:t>
            </w: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940" w:type="dxa"/>
            <w:vAlign w:val="bottom"/>
          </w:tcPr>
          <w:p>
            <w:pPr>
              <w:ind w:left="1000"/>
              <w:spacing w:after="0"/>
              <w:rPr>
                <w:sz w:val="20"/>
                <w:szCs w:val="20"/>
                <w:color w:val="auto"/>
              </w:rPr>
            </w:pPr>
            <w:r>
              <w:rPr>
                <w:rFonts w:ascii="Arial" w:cs="Arial" w:eastAsia="Arial" w:hAnsi="Arial"/>
                <w:sz w:val="14"/>
                <w:szCs w:val="14"/>
                <w:i w:val="1"/>
                <w:iCs w:val="1"/>
                <w:color w:val="auto"/>
              </w:rPr>
              <w:t>(decrease)</w:t>
            </w:r>
          </w:p>
        </w:tc>
        <w:tc>
          <w:tcPr>
            <w:tcW w:w="260" w:type="dxa"/>
            <w:vAlign w:val="bottom"/>
          </w:tcPr>
          <w:p>
            <w:pPr>
              <w:spacing w:after="0"/>
              <w:rPr>
                <w:sz w:val="16"/>
                <w:szCs w:val="16"/>
                <w:color w:val="auto"/>
              </w:rPr>
            </w:pPr>
          </w:p>
        </w:tc>
        <w:tc>
          <w:tcPr>
            <w:tcW w:w="980" w:type="dxa"/>
            <w:vAlign w:val="bottom"/>
          </w:tcPr>
          <w:p>
            <w:pPr>
              <w:jc w:val="right"/>
              <w:ind w:right="268"/>
              <w:spacing w:after="0"/>
              <w:rPr>
                <w:sz w:val="20"/>
                <w:szCs w:val="20"/>
                <w:color w:val="auto"/>
              </w:rPr>
            </w:pPr>
            <w:r>
              <w:rPr>
                <w:rFonts w:ascii="Arial" w:cs="Arial" w:eastAsia="Arial" w:hAnsi="Arial"/>
                <w:sz w:val="14"/>
                <w:szCs w:val="14"/>
                <w:color w:val="auto"/>
              </w:rPr>
              <w:t>-24.4%</w:t>
            </w:r>
          </w:p>
        </w:tc>
        <w:tc>
          <w:tcPr>
            <w:tcW w:w="4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-11.3%</w:t>
            </w:r>
          </w:p>
        </w:tc>
        <w:tc>
          <w:tcPr>
            <w:tcW w:w="920" w:type="dxa"/>
            <w:vAlign w:val="bottom"/>
          </w:tcPr>
          <w:p>
            <w:pPr>
              <w:spacing w:after="0"/>
              <w:rPr>
                <w:sz w:val="16"/>
                <w:szCs w:val="16"/>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-17.2%</w:t>
            </w:r>
          </w:p>
        </w:tc>
        <w:tc>
          <w:tcPr>
            <w:tcW w:w="780" w:type="dxa"/>
            <w:vAlign w:val="bottom"/>
          </w:tcPr>
          <w:p>
            <w:pPr>
              <w:spacing w:after="0"/>
              <w:rPr>
                <w:sz w:val="16"/>
                <w:szCs w:val="16"/>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-18.3%</w:t>
            </w:r>
          </w:p>
        </w:tc>
        <w:tc>
          <w:tcPr>
            <w:tcW w:w="1680" w:type="dxa"/>
            <w:vAlign w:val="bottom"/>
            <w:gridSpan w:val="2"/>
          </w:tcPr>
          <w:p>
            <w:pPr>
              <w:jc w:val="right"/>
              <w:ind w:right="440"/>
              <w:spacing w:after="0"/>
              <w:rPr>
                <w:sz w:val="20"/>
                <w:szCs w:val="20"/>
                <w:color w:val="auto"/>
              </w:rPr>
            </w:pPr>
            <w:r>
              <w:rPr>
                <w:rFonts w:ascii="Arial" w:cs="Arial" w:eastAsia="Arial" w:hAnsi="Arial"/>
                <w:sz w:val="14"/>
                <w:szCs w:val="14"/>
                <w:color w:val="auto"/>
              </w:rPr>
              <w:t>7.2%</w:t>
            </w:r>
          </w:p>
        </w:tc>
        <w:tc>
          <w:tcPr>
            <w:tcW w:w="420" w:type="dxa"/>
            <w:vAlign w:val="bottom"/>
          </w:tcPr>
          <w:p>
            <w:pPr>
              <w:spacing w:after="0"/>
              <w:rPr>
                <w:sz w:val="16"/>
                <w:szCs w:val="16"/>
                <w:color w:val="auto"/>
              </w:rPr>
            </w:pPr>
          </w:p>
        </w:tc>
        <w:tc>
          <w:tcPr>
            <w:tcW w:w="800" w:type="dxa"/>
            <w:vAlign w:val="bottom"/>
          </w:tcPr>
          <w:p>
            <w:pPr>
              <w:jc w:val="right"/>
              <w:ind w:right="65"/>
              <w:spacing w:after="0"/>
              <w:rPr>
                <w:sz w:val="20"/>
                <w:szCs w:val="20"/>
                <w:color w:val="auto"/>
              </w:rPr>
            </w:pPr>
            <w:r>
              <w:rPr>
                <w:rFonts w:ascii="Arial" w:cs="Arial" w:eastAsia="Arial" w:hAnsi="Arial"/>
                <w:sz w:val="14"/>
                <w:szCs w:val="14"/>
                <w:color w:val="auto"/>
              </w:rPr>
              <w:t>-19.0%</w:t>
            </w:r>
          </w:p>
        </w:tc>
        <w:tc>
          <w:tcPr>
            <w:tcW w:w="0" w:type="dxa"/>
            <w:vAlign w:val="bottom"/>
          </w:tcPr>
          <w:p>
            <w:pPr>
              <w:spacing w:after="0"/>
              <w:rPr>
                <w:sz w:val="1"/>
                <w:szCs w:val="1"/>
                <w:color w:val="auto"/>
              </w:rPr>
            </w:pPr>
          </w:p>
        </w:tc>
      </w:tr>
      <w:tr>
        <w:trPr>
          <w:trHeight w:val="417"/>
        </w:trPr>
        <w:tc>
          <w:tcPr>
            <w:tcW w:w="4620" w:type="dxa"/>
            <w:vAlign w:val="bottom"/>
            <w:gridSpan w:val="5"/>
          </w:tcPr>
          <w:p>
            <w:pPr>
              <w:spacing w:after="0"/>
              <w:rPr>
                <w:sz w:val="20"/>
                <w:szCs w:val="20"/>
                <w:color w:val="auto"/>
              </w:rPr>
            </w:pPr>
            <w:r>
              <w:rPr>
                <w:rFonts w:ascii="Arial" w:cs="Arial" w:eastAsia="Arial" w:hAnsi="Arial"/>
                <w:sz w:val="18"/>
                <w:szCs w:val="18"/>
                <w:b w:val="1"/>
                <w:bCs w:val="1"/>
                <w:color w:val="auto"/>
              </w:rPr>
              <w:t xml:space="preserve">NET (LOSS) INCOME RECONCILIATION </w:t>
            </w:r>
            <w:r>
              <w:rPr>
                <w:rFonts w:ascii="Arial" w:cs="Arial" w:eastAsia="Arial" w:hAnsi="Arial"/>
                <w:sz w:val="18"/>
                <w:szCs w:val="18"/>
                <w:color w:val="auto"/>
              </w:rPr>
              <w:t>(in thousands)</w:t>
            </w:r>
          </w:p>
        </w:tc>
        <w:tc>
          <w:tcPr>
            <w:tcW w:w="6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0" w:type="dxa"/>
            <w:vAlign w:val="bottom"/>
            <w:gridSpan w:val="4"/>
          </w:tcPr>
          <w:p>
            <w:pPr>
              <w:jc w:val="right"/>
              <w:ind w:right="220"/>
              <w:spacing w:after="0"/>
              <w:rPr>
                <w:sz w:val="20"/>
                <w:szCs w:val="20"/>
                <w:color w:val="auto"/>
              </w:rPr>
            </w:pPr>
            <w:r>
              <w:rPr>
                <w:rFonts w:ascii="Arial" w:cs="Arial" w:eastAsia="Arial" w:hAnsi="Arial"/>
                <w:sz w:val="14"/>
                <w:szCs w:val="14"/>
                <w:color w:val="auto"/>
              </w:rPr>
              <w:t>Three months ended:</w:t>
            </w: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100" w:type="dxa"/>
            <w:vAlign w:val="bottom"/>
            <w:gridSpan w:val="3"/>
          </w:tcPr>
          <w:p>
            <w:pPr>
              <w:jc w:val="right"/>
              <w:spacing w:after="0"/>
              <w:rPr>
                <w:sz w:val="20"/>
                <w:szCs w:val="20"/>
                <w:color w:val="auto"/>
              </w:rPr>
            </w:pPr>
            <w:r>
              <w:rPr>
                <w:rFonts w:ascii="Arial" w:cs="Arial" w:eastAsia="Arial" w:hAnsi="Arial"/>
                <w:sz w:val="14"/>
                <w:szCs w:val="14"/>
                <w:color w:val="auto"/>
              </w:rPr>
              <w:t>Six months ended:</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20" w:type="dxa"/>
            <w:vAlign w:val="bottom"/>
            <w:gridSpan w:val="3"/>
          </w:tcPr>
          <w:p>
            <w:pPr>
              <w:jc w:val="right"/>
              <w:ind w:right="640"/>
              <w:spacing w:after="0"/>
              <w:rPr>
                <w:sz w:val="20"/>
                <w:szCs w:val="20"/>
                <w:color w:val="auto"/>
              </w:rPr>
            </w:pPr>
            <w:r>
              <w:rPr>
                <w:rFonts w:ascii="Arial" w:cs="Arial" w:eastAsia="Arial" w:hAnsi="Arial"/>
                <w:sz w:val="14"/>
                <w:szCs w:val="14"/>
                <w:color w:val="auto"/>
              </w:rPr>
              <w:t>January 31,</w:t>
            </w:r>
          </w:p>
        </w:tc>
        <w:tc>
          <w:tcPr>
            <w:tcW w:w="1620" w:type="dxa"/>
            <w:vAlign w:val="bottom"/>
            <w:gridSpan w:val="3"/>
          </w:tcPr>
          <w:p>
            <w:pPr>
              <w:jc w:val="right"/>
              <w:ind w:right="640"/>
              <w:spacing w:after="0"/>
              <w:rPr>
                <w:sz w:val="20"/>
                <w:szCs w:val="20"/>
                <w:color w:val="auto"/>
              </w:rPr>
            </w:pPr>
            <w:r>
              <w:rPr>
                <w:rFonts w:ascii="Arial" w:cs="Arial" w:eastAsia="Arial" w:hAnsi="Arial"/>
                <w:sz w:val="14"/>
                <w:szCs w:val="14"/>
                <w:color w:val="auto"/>
              </w:rPr>
              <w:t>January 31,</w:t>
            </w:r>
          </w:p>
        </w:tc>
        <w:tc>
          <w:tcPr>
            <w:tcW w:w="1680" w:type="dxa"/>
            <w:vAlign w:val="bottom"/>
            <w:gridSpan w:val="2"/>
          </w:tcPr>
          <w:p>
            <w:pPr>
              <w:jc w:val="right"/>
              <w:ind w:right="680"/>
              <w:spacing w:after="0"/>
              <w:rPr>
                <w:sz w:val="20"/>
                <w:szCs w:val="20"/>
                <w:color w:val="auto"/>
              </w:rPr>
            </w:pPr>
            <w:r>
              <w:rPr>
                <w:rFonts w:ascii="Arial" w:cs="Arial" w:eastAsia="Arial" w:hAnsi="Arial"/>
                <w:sz w:val="14"/>
                <w:szCs w:val="14"/>
                <w:color w:val="auto"/>
              </w:rPr>
              <w:t>January 31,</w:t>
            </w:r>
          </w:p>
        </w:tc>
        <w:tc>
          <w:tcPr>
            <w:tcW w:w="1220" w:type="dxa"/>
            <w:vAlign w:val="bottom"/>
            <w:gridSpan w:val="2"/>
          </w:tcPr>
          <w:p>
            <w:pPr>
              <w:jc w:val="right"/>
              <w:ind w:right="165"/>
              <w:spacing w:after="0"/>
              <w:rPr>
                <w:sz w:val="20"/>
                <w:szCs w:val="20"/>
                <w:color w:val="auto"/>
              </w:rPr>
            </w:pPr>
            <w:r>
              <w:rPr>
                <w:rFonts w:ascii="Arial" w:cs="Arial" w:eastAsia="Arial" w:hAnsi="Arial"/>
                <w:sz w:val="14"/>
                <w:szCs w:val="14"/>
                <w:color w:val="auto"/>
              </w:rPr>
              <w:t>January 31,</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9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20" w:type="dxa"/>
            <w:vAlign w:val="bottom"/>
          </w:tcPr>
          <w:p>
            <w:pPr>
              <w:jc w:val="right"/>
              <w:ind w:right="80"/>
              <w:spacing w:after="0" w:line="157" w:lineRule="exact"/>
              <w:rPr>
                <w:sz w:val="20"/>
                <w:szCs w:val="20"/>
                <w:color w:val="auto"/>
              </w:rPr>
            </w:pPr>
            <w:r>
              <w:rPr>
                <w:rFonts w:ascii="Arial" w:cs="Arial" w:eastAsia="Arial" w:hAnsi="Arial"/>
                <w:sz w:val="14"/>
                <w:szCs w:val="14"/>
                <w:color w:val="auto"/>
              </w:rPr>
              <w:t>2009</w:t>
            </w: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jc w:val="right"/>
              <w:spacing w:after="0" w:line="157" w:lineRule="exact"/>
              <w:rPr>
                <w:sz w:val="20"/>
                <w:szCs w:val="20"/>
                <w:color w:val="auto"/>
              </w:rPr>
            </w:pPr>
            <w:r>
              <w:rPr>
                <w:rFonts w:ascii="Arial" w:cs="Arial" w:eastAsia="Arial" w:hAnsi="Arial"/>
                <w:sz w:val="14"/>
                <w:szCs w:val="14"/>
                <w:color w:val="auto"/>
              </w:rPr>
              <w:t>2008</w:t>
            </w: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20" w:type="dxa"/>
            <w:vAlign w:val="bottom"/>
          </w:tcPr>
          <w:p>
            <w:pPr>
              <w:jc w:val="right"/>
              <w:ind w:right="363"/>
              <w:spacing w:after="0" w:line="157" w:lineRule="exact"/>
              <w:rPr>
                <w:sz w:val="20"/>
                <w:szCs w:val="20"/>
                <w:color w:val="auto"/>
              </w:rPr>
            </w:pPr>
            <w:r>
              <w:rPr>
                <w:rFonts w:ascii="Arial" w:cs="Arial" w:eastAsia="Arial" w:hAnsi="Arial"/>
                <w:sz w:val="14"/>
                <w:szCs w:val="14"/>
                <w:color w:val="auto"/>
              </w:rPr>
              <w:t>2009</w:t>
            </w: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0" w:type="dxa"/>
            <w:vAlign w:val="bottom"/>
          </w:tcPr>
          <w:p>
            <w:pPr>
              <w:jc w:val="right"/>
              <w:ind w:right="385"/>
              <w:spacing w:after="0" w:line="157" w:lineRule="exact"/>
              <w:rPr>
                <w:sz w:val="20"/>
                <w:szCs w:val="20"/>
                <w:color w:val="auto"/>
              </w:rPr>
            </w:pPr>
            <w:r>
              <w:rPr>
                <w:rFonts w:ascii="Arial" w:cs="Arial" w:eastAsia="Arial" w:hAnsi="Arial"/>
                <w:sz w:val="14"/>
                <w:szCs w:val="14"/>
                <w:color w:val="auto"/>
              </w:rPr>
              <w:t>2008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profit for reportable segments</w:t>
            </w: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$ 49,108</w:t>
            </w:r>
          </w:p>
        </w:tc>
        <w:tc>
          <w:tcPr>
            <w:tcW w:w="2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88"/>
              <w:spacing w:after="0" w:line="202" w:lineRule="exact"/>
              <w:rPr>
                <w:sz w:val="20"/>
                <w:szCs w:val="20"/>
                <w:color w:val="auto"/>
              </w:rPr>
            </w:pPr>
            <w:r>
              <w:rPr>
                <w:rFonts w:ascii="Arial" w:cs="Arial" w:eastAsia="Arial" w:hAnsi="Arial"/>
                <w:sz w:val="18"/>
                <w:szCs w:val="18"/>
                <w:color w:val="auto"/>
              </w:rPr>
              <w:t>$ 75,763</w:t>
            </w:r>
          </w:p>
        </w:tc>
        <w:tc>
          <w:tcPr>
            <w:tcW w:w="44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183"/>
              <w:spacing w:after="0" w:line="202" w:lineRule="exact"/>
              <w:rPr>
                <w:sz w:val="20"/>
                <w:szCs w:val="20"/>
                <w:color w:val="auto"/>
              </w:rPr>
            </w:pPr>
            <w:r>
              <w:rPr>
                <w:rFonts w:ascii="Arial" w:cs="Arial" w:eastAsia="Arial" w:hAnsi="Arial"/>
                <w:sz w:val="18"/>
                <w:szCs w:val="18"/>
                <w:color w:val="auto"/>
              </w:rPr>
              <w:t>$ 138,171</w:t>
            </w:r>
          </w:p>
        </w:tc>
        <w:tc>
          <w:tcPr>
            <w:tcW w:w="46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05"/>
              <w:spacing w:after="0" w:line="202" w:lineRule="exact"/>
              <w:rPr>
                <w:sz w:val="20"/>
                <w:szCs w:val="20"/>
                <w:color w:val="auto"/>
              </w:rPr>
            </w:pPr>
            <w:r>
              <w:rPr>
                <w:rFonts w:ascii="Arial" w:cs="Arial" w:eastAsia="Arial" w:hAnsi="Arial"/>
                <w:sz w:val="18"/>
                <w:szCs w:val="18"/>
                <w:color w:val="auto"/>
              </w:rPr>
              <w:t>$ 169,159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40" w:type="dxa"/>
            <w:vAlign w:val="bottom"/>
          </w:tcPr>
          <w:p>
            <w:pPr>
              <w:spacing w:after="0" w:line="202" w:lineRule="exact"/>
              <w:rPr>
                <w:sz w:val="20"/>
                <w:szCs w:val="20"/>
                <w:color w:val="auto"/>
              </w:rPr>
            </w:pPr>
            <w:r>
              <w:rPr>
                <w:rFonts w:ascii="Arial" w:cs="Arial" w:eastAsia="Arial" w:hAnsi="Arial"/>
                <w:sz w:val="18"/>
                <w:szCs w:val="18"/>
                <w:color w:val="auto"/>
              </w:rPr>
              <w:t>Corporate and eliminations</w:t>
            </w: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80" w:type="dxa"/>
            <w:vAlign w:val="bottom"/>
            <w:gridSpan w:val="2"/>
          </w:tcPr>
          <w:p>
            <w:pPr>
              <w:jc w:val="right"/>
              <w:ind w:right="128"/>
              <w:spacing w:after="0" w:line="202" w:lineRule="exact"/>
              <w:rPr>
                <w:sz w:val="20"/>
                <w:szCs w:val="20"/>
                <w:color w:val="auto"/>
              </w:rPr>
            </w:pPr>
            <w:r>
              <w:rPr>
                <w:rFonts w:ascii="Arial" w:cs="Arial" w:eastAsia="Arial" w:hAnsi="Arial"/>
                <w:sz w:val="18"/>
                <w:szCs w:val="18"/>
                <w:color w:val="auto"/>
              </w:rPr>
              <w:t>(2,607)</w:t>
            </w:r>
          </w:p>
        </w:tc>
        <w:tc>
          <w:tcPr>
            <w:tcW w:w="440" w:type="dxa"/>
            <w:vAlign w:val="bottom"/>
          </w:tcPr>
          <w:p>
            <w:pPr>
              <w:spacing w:after="0"/>
              <w:rPr>
                <w:sz w:val="17"/>
                <w:szCs w:val="17"/>
                <w:color w:val="auto"/>
              </w:rPr>
            </w:pPr>
          </w:p>
        </w:tc>
        <w:tc>
          <w:tcPr>
            <w:tcW w:w="1180" w:type="dxa"/>
            <w:vAlign w:val="bottom"/>
            <w:gridSpan w:val="2"/>
          </w:tcPr>
          <w:p>
            <w:pPr>
              <w:jc w:val="right"/>
              <w:ind w:right="128"/>
              <w:spacing w:after="0" w:line="202" w:lineRule="exact"/>
              <w:rPr>
                <w:sz w:val="20"/>
                <w:szCs w:val="20"/>
                <w:color w:val="auto"/>
              </w:rPr>
            </w:pPr>
            <w:r>
              <w:rPr>
                <w:rFonts w:ascii="Arial" w:cs="Arial" w:eastAsia="Arial" w:hAnsi="Arial"/>
                <w:sz w:val="18"/>
                <w:szCs w:val="18"/>
                <w:color w:val="auto"/>
              </w:rPr>
              <w:t>(2,347)</w:t>
            </w:r>
          </w:p>
        </w:tc>
        <w:tc>
          <w:tcPr>
            <w:tcW w:w="440" w:type="dxa"/>
            <w:vAlign w:val="bottom"/>
          </w:tcPr>
          <w:p>
            <w:pPr>
              <w:spacing w:after="0"/>
              <w:rPr>
                <w:sz w:val="17"/>
                <w:szCs w:val="17"/>
                <w:color w:val="auto"/>
              </w:rPr>
            </w:pPr>
          </w:p>
        </w:tc>
        <w:tc>
          <w:tcPr>
            <w:tcW w:w="1220" w:type="dxa"/>
            <w:vAlign w:val="bottom"/>
          </w:tcPr>
          <w:p>
            <w:pPr>
              <w:jc w:val="right"/>
              <w:ind w:right="123"/>
              <w:spacing w:after="0" w:line="202" w:lineRule="exact"/>
              <w:rPr>
                <w:sz w:val="20"/>
                <w:szCs w:val="20"/>
                <w:color w:val="auto"/>
              </w:rPr>
            </w:pPr>
            <w:r>
              <w:rPr>
                <w:rFonts w:ascii="Arial" w:cs="Arial" w:eastAsia="Arial" w:hAnsi="Arial"/>
                <w:sz w:val="18"/>
                <w:szCs w:val="18"/>
                <w:color w:val="auto"/>
              </w:rPr>
              <w:t>($4,914)</w:t>
            </w:r>
          </w:p>
        </w:tc>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tcPr>
          <w:p>
            <w:pPr>
              <w:jc w:val="right"/>
              <w:ind w:right="145"/>
              <w:spacing w:after="0" w:line="202" w:lineRule="exact"/>
              <w:rPr>
                <w:sz w:val="20"/>
                <w:szCs w:val="20"/>
                <w:color w:val="auto"/>
              </w:rPr>
            </w:pPr>
            <w:r>
              <w:rPr>
                <w:rFonts w:ascii="Arial" w:cs="Arial" w:eastAsia="Arial" w:hAnsi="Arial"/>
                <w:sz w:val="18"/>
                <w:szCs w:val="18"/>
                <w:color w:val="auto"/>
                <w:w w:val="98"/>
              </w:rPr>
              <w:t>(4,583)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Unallocated amounts:</w:t>
            </w: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40" w:type="dxa"/>
            <w:vAlign w:val="bottom"/>
          </w:tcPr>
          <w:p>
            <w:pPr>
              <w:ind w:left="200"/>
              <w:spacing w:after="0" w:line="202" w:lineRule="exact"/>
              <w:rPr>
                <w:sz w:val="20"/>
                <w:szCs w:val="20"/>
                <w:color w:val="auto"/>
              </w:rPr>
            </w:pPr>
            <w:r>
              <w:rPr>
                <w:rFonts w:ascii="Arial" w:cs="Arial" w:eastAsia="Arial" w:hAnsi="Arial"/>
                <w:sz w:val="18"/>
                <w:szCs w:val="18"/>
                <w:color w:val="auto"/>
              </w:rPr>
              <w:t>Administrative costs</w:t>
            </w: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80" w:type="dxa"/>
            <w:vAlign w:val="bottom"/>
            <w:gridSpan w:val="2"/>
          </w:tcPr>
          <w:p>
            <w:pPr>
              <w:jc w:val="right"/>
              <w:ind w:right="128"/>
              <w:spacing w:after="0" w:line="202" w:lineRule="exact"/>
              <w:rPr>
                <w:sz w:val="20"/>
                <w:szCs w:val="20"/>
                <w:color w:val="auto"/>
              </w:rPr>
            </w:pPr>
            <w:r>
              <w:rPr>
                <w:rFonts w:ascii="Arial" w:cs="Arial" w:eastAsia="Arial" w:hAnsi="Arial"/>
                <w:sz w:val="18"/>
                <w:szCs w:val="18"/>
                <w:color w:val="auto"/>
              </w:rPr>
              <w:t>(22,475)</w:t>
            </w:r>
          </w:p>
        </w:tc>
        <w:tc>
          <w:tcPr>
            <w:tcW w:w="440" w:type="dxa"/>
            <w:vAlign w:val="bottom"/>
          </w:tcPr>
          <w:p>
            <w:pPr>
              <w:spacing w:after="0"/>
              <w:rPr>
                <w:sz w:val="17"/>
                <w:szCs w:val="17"/>
                <w:color w:val="auto"/>
              </w:rPr>
            </w:pPr>
          </w:p>
        </w:tc>
        <w:tc>
          <w:tcPr>
            <w:tcW w:w="1180" w:type="dxa"/>
            <w:vAlign w:val="bottom"/>
            <w:gridSpan w:val="2"/>
          </w:tcPr>
          <w:p>
            <w:pPr>
              <w:jc w:val="right"/>
              <w:ind w:right="128"/>
              <w:spacing w:after="0" w:line="202" w:lineRule="exact"/>
              <w:rPr>
                <w:sz w:val="20"/>
                <w:szCs w:val="20"/>
                <w:color w:val="auto"/>
              </w:rPr>
            </w:pPr>
            <w:r>
              <w:rPr>
                <w:rFonts w:ascii="Arial" w:cs="Arial" w:eastAsia="Arial" w:hAnsi="Arial"/>
                <w:sz w:val="18"/>
                <w:szCs w:val="18"/>
                <w:color w:val="auto"/>
              </w:rPr>
              <w:t>(30,972)</w:t>
            </w:r>
          </w:p>
        </w:tc>
        <w:tc>
          <w:tcPr>
            <w:tcW w:w="440" w:type="dxa"/>
            <w:vAlign w:val="bottom"/>
          </w:tcPr>
          <w:p>
            <w:pPr>
              <w:spacing w:after="0"/>
              <w:rPr>
                <w:sz w:val="17"/>
                <w:szCs w:val="17"/>
                <w:color w:val="auto"/>
              </w:rPr>
            </w:pPr>
          </w:p>
        </w:tc>
        <w:tc>
          <w:tcPr>
            <w:tcW w:w="1220" w:type="dxa"/>
            <w:vAlign w:val="bottom"/>
          </w:tcPr>
          <w:p>
            <w:pPr>
              <w:jc w:val="right"/>
              <w:ind w:right="123"/>
              <w:spacing w:after="0" w:line="202" w:lineRule="exact"/>
              <w:rPr>
                <w:sz w:val="20"/>
                <w:szCs w:val="20"/>
                <w:color w:val="auto"/>
              </w:rPr>
            </w:pPr>
            <w:r>
              <w:rPr>
                <w:rFonts w:ascii="Arial" w:cs="Arial" w:eastAsia="Arial" w:hAnsi="Arial"/>
                <w:sz w:val="18"/>
                <w:szCs w:val="18"/>
                <w:color w:val="auto"/>
              </w:rPr>
              <w:t>(51,398)</w:t>
            </w:r>
          </w:p>
        </w:tc>
        <w:tc>
          <w:tcPr>
            <w:tcW w:w="460" w:type="dxa"/>
            <w:vAlign w:val="bottom"/>
          </w:tcPr>
          <w:p>
            <w:pPr>
              <w:spacing w:after="0"/>
              <w:rPr>
                <w:sz w:val="17"/>
                <w:szCs w:val="17"/>
                <w:color w:val="auto"/>
              </w:rPr>
            </w:pPr>
          </w:p>
        </w:tc>
        <w:tc>
          <w:tcPr>
            <w:tcW w:w="1220" w:type="dxa"/>
            <w:vAlign w:val="bottom"/>
            <w:gridSpan w:val="2"/>
          </w:tcPr>
          <w:p>
            <w:pPr>
              <w:jc w:val="right"/>
              <w:ind w:right="145"/>
              <w:spacing w:after="0" w:line="202" w:lineRule="exact"/>
              <w:rPr>
                <w:sz w:val="20"/>
                <w:szCs w:val="20"/>
                <w:color w:val="auto"/>
              </w:rPr>
            </w:pPr>
            <w:r>
              <w:rPr>
                <w:rFonts w:ascii="Arial" w:cs="Arial" w:eastAsia="Arial" w:hAnsi="Arial"/>
                <w:sz w:val="18"/>
                <w:szCs w:val="18"/>
                <w:color w:val="auto"/>
              </w:rPr>
              <w:t>(63,794)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Restructuring charge</w:t>
            </w: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28"/>
              <w:spacing w:after="0" w:line="202" w:lineRule="exact"/>
              <w:rPr>
                <w:sz w:val="20"/>
                <w:szCs w:val="20"/>
                <w:color w:val="auto"/>
              </w:rPr>
            </w:pPr>
            <w:r>
              <w:rPr>
                <w:rFonts w:ascii="Arial" w:cs="Arial" w:eastAsia="Arial" w:hAnsi="Arial"/>
                <w:sz w:val="18"/>
                <w:szCs w:val="18"/>
                <w:color w:val="auto"/>
              </w:rPr>
              <w:t>(19,408)</w:t>
            </w:r>
          </w:p>
        </w:tc>
        <w:tc>
          <w:tcPr>
            <w:tcW w:w="4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123"/>
              <w:spacing w:after="0" w:line="202" w:lineRule="exact"/>
              <w:rPr>
                <w:sz w:val="20"/>
                <w:szCs w:val="20"/>
                <w:color w:val="auto"/>
              </w:rPr>
            </w:pPr>
            <w:r>
              <w:rPr>
                <w:rFonts w:ascii="Arial" w:cs="Arial" w:eastAsia="Arial" w:hAnsi="Arial"/>
                <w:sz w:val="18"/>
                <w:szCs w:val="18"/>
                <w:color w:val="auto"/>
              </w:rPr>
              <w:t>(21,047)</w:t>
            </w:r>
          </w:p>
        </w:tc>
        <w:tc>
          <w:tcPr>
            <w:tcW w:w="4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205"/>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8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Investment and other (expense) income</w:t>
            </w:r>
          </w:p>
        </w:tc>
        <w:tc>
          <w:tcPr>
            <w:tcW w:w="4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80" w:type="dxa"/>
            <w:vAlign w:val="bottom"/>
            <w:gridSpan w:val="2"/>
          </w:tcPr>
          <w:p>
            <w:pPr>
              <w:jc w:val="right"/>
              <w:ind w:right="128"/>
              <w:spacing w:after="0" w:line="202" w:lineRule="exact"/>
              <w:rPr>
                <w:sz w:val="20"/>
                <w:szCs w:val="20"/>
                <w:color w:val="auto"/>
              </w:rPr>
            </w:pPr>
            <w:r>
              <w:rPr>
                <w:rFonts w:ascii="Arial" w:cs="Arial" w:eastAsia="Arial" w:hAnsi="Arial"/>
                <w:sz w:val="18"/>
                <w:szCs w:val="18"/>
                <w:color w:val="auto"/>
              </w:rPr>
              <w:t>(1,698)</w:t>
            </w:r>
          </w:p>
        </w:tc>
        <w:tc>
          <w:tcPr>
            <w:tcW w:w="440" w:type="dxa"/>
            <w:vAlign w:val="bottom"/>
          </w:tcPr>
          <w:p>
            <w:pPr>
              <w:spacing w:after="0"/>
              <w:rPr>
                <w:sz w:val="17"/>
                <w:szCs w:val="17"/>
                <w:color w:val="auto"/>
              </w:rPr>
            </w:pPr>
          </w:p>
        </w:tc>
        <w:tc>
          <w:tcPr>
            <w:tcW w:w="1180" w:type="dxa"/>
            <w:vAlign w:val="bottom"/>
            <w:gridSpan w:val="2"/>
          </w:tcPr>
          <w:p>
            <w:pPr>
              <w:jc w:val="right"/>
              <w:ind w:right="188"/>
              <w:spacing w:after="0" w:line="202" w:lineRule="exact"/>
              <w:rPr>
                <w:sz w:val="20"/>
                <w:szCs w:val="20"/>
                <w:color w:val="auto"/>
              </w:rPr>
            </w:pPr>
            <w:r>
              <w:rPr>
                <w:rFonts w:ascii="Arial" w:cs="Arial" w:eastAsia="Arial" w:hAnsi="Arial"/>
                <w:sz w:val="18"/>
                <w:szCs w:val="18"/>
                <w:color w:val="auto"/>
              </w:rPr>
              <w:t>2,269</w:t>
            </w:r>
          </w:p>
        </w:tc>
        <w:tc>
          <w:tcPr>
            <w:tcW w:w="440" w:type="dxa"/>
            <w:vAlign w:val="bottom"/>
          </w:tcPr>
          <w:p>
            <w:pPr>
              <w:spacing w:after="0"/>
              <w:rPr>
                <w:sz w:val="17"/>
                <w:szCs w:val="17"/>
                <w:color w:val="auto"/>
              </w:rPr>
            </w:pPr>
          </w:p>
        </w:tc>
        <w:tc>
          <w:tcPr>
            <w:tcW w:w="1220" w:type="dxa"/>
            <w:vAlign w:val="bottom"/>
          </w:tcPr>
          <w:p>
            <w:pPr>
              <w:jc w:val="right"/>
              <w:ind w:right="183"/>
              <w:spacing w:after="0" w:line="202" w:lineRule="exact"/>
              <w:rPr>
                <w:sz w:val="20"/>
                <w:szCs w:val="20"/>
                <w:color w:val="auto"/>
              </w:rPr>
            </w:pPr>
            <w:r>
              <w:rPr>
                <w:rFonts w:ascii="Arial" w:cs="Arial" w:eastAsia="Arial" w:hAnsi="Arial"/>
                <w:sz w:val="18"/>
                <w:szCs w:val="18"/>
                <w:color w:val="auto"/>
              </w:rPr>
              <w:t>154</w:t>
            </w:r>
          </w:p>
        </w:tc>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tcPr>
          <w:p>
            <w:pPr>
              <w:jc w:val="right"/>
              <w:ind w:right="205"/>
              <w:spacing w:after="0" w:line="202" w:lineRule="exact"/>
              <w:rPr>
                <w:sz w:val="20"/>
                <w:szCs w:val="20"/>
                <w:color w:val="auto"/>
              </w:rPr>
            </w:pPr>
            <w:r>
              <w:rPr>
                <w:rFonts w:ascii="Arial" w:cs="Arial" w:eastAsia="Arial" w:hAnsi="Arial"/>
                <w:sz w:val="18"/>
                <w:szCs w:val="18"/>
                <w:color w:val="auto"/>
              </w:rPr>
              <w:t>2,387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Interest expense</w:t>
            </w: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180" w:type="dxa"/>
            <w:vAlign w:val="bottom"/>
            <w:tcBorders>
              <w:bottom w:val="single" w:sz="8" w:color="auto"/>
            </w:tcBorders>
            <w:gridSpan w:val="2"/>
            <w:shd w:val="clear" w:color="auto" w:fill="CCEEFF"/>
          </w:tcPr>
          <w:p>
            <w:pPr>
              <w:jc w:val="right"/>
              <w:ind w:right="128"/>
              <w:spacing w:after="0" w:line="202" w:lineRule="exact"/>
              <w:rPr>
                <w:sz w:val="20"/>
                <w:szCs w:val="20"/>
                <w:color w:val="auto"/>
              </w:rPr>
            </w:pPr>
            <w:r>
              <w:rPr>
                <w:rFonts w:ascii="Arial" w:cs="Arial" w:eastAsia="Arial" w:hAnsi="Arial"/>
                <w:sz w:val="18"/>
                <w:szCs w:val="18"/>
                <w:color w:val="auto"/>
              </w:rPr>
              <w:t>(6,314)</w:t>
            </w:r>
          </w:p>
        </w:tc>
        <w:tc>
          <w:tcPr>
            <w:tcW w:w="440" w:type="dxa"/>
            <w:vAlign w:val="bottom"/>
            <w:shd w:val="clear" w:color="auto" w:fill="CCEEFF"/>
          </w:tcPr>
          <w:p>
            <w:pPr>
              <w:spacing w:after="0"/>
              <w:rPr>
                <w:sz w:val="17"/>
                <w:szCs w:val="17"/>
                <w:color w:val="auto"/>
              </w:rPr>
            </w:pPr>
          </w:p>
        </w:tc>
        <w:tc>
          <w:tcPr>
            <w:tcW w:w="1180" w:type="dxa"/>
            <w:vAlign w:val="bottom"/>
            <w:tcBorders>
              <w:bottom w:val="single" w:sz="8" w:color="auto"/>
            </w:tcBorders>
            <w:gridSpan w:val="2"/>
            <w:shd w:val="clear" w:color="auto" w:fill="CCEEFF"/>
          </w:tcPr>
          <w:p>
            <w:pPr>
              <w:jc w:val="right"/>
              <w:ind w:right="128"/>
              <w:spacing w:after="0" w:line="202" w:lineRule="exact"/>
              <w:rPr>
                <w:sz w:val="20"/>
                <w:szCs w:val="20"/>
                <w:color w:val="auto"/>
              </w:rPr>
            </w:pPr>
            <w:r>
              <w:rPr>
                <w:rFonts w:ascii="Arial" w:cs="Arial" w:eastAsia="Arial" w:hAnsi="Arial"/>
                <w:sz w:val="18"/>
                <w:szCs w:val="18"/>
                <w:color w:val="auto"/>
              </w:rPr>
              <w:t>(6,747)</w:t>
            </w:r>
          </w:p>
        </w:tc>
        <w:tc>
          <w:tcPr>
            <w:tcW w:w="440" w:type="dxa"/>
            <w:vAlign w:val="bottom"/>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ind w:right="123"/>
              <w:spacing w:after="0" w:line="202" w:lineRule="exact"/>
              <w:rPr>
                <w:sz w:val="20"/>
                <w:szCs w:val="20"/>
                <w:color w:val="auto"/>
              </w:rPr>
            </w:pPr>
            <w:r>
              <w:rPr>
                <w:rFonts w:ascii="Arial" w:cs="Arial" w:eastAsia="Arial" w:hAnsi="Arial"/>
                <w:sz w:val="18"/>
                <w:szCs w:val="18"/>
                <w:color w:val="auto"/>
              </w:rPr>
              <w:t>(12,675)</w:t>
            </w:r>
          </w:p>
        </w:tc>
        <w:tc>
          <w:tcPr>
            <w:tcW w:w="460" w:type="dxa"/>
            <w:vAlign w:val="bottom"/>
            <w:shd w:val="clear" w:color="auto" w:fill="CCEEFF"/>
          </w:tcPr>
          <w:p>
            <w:pPr>
              <w:spacing w:after="0"/>
              <w:rPr>
                <w:sz w:val="17"/>
                <w:szCs w:val="17"/>
                <w:color w:val="auto"/>
              </w:rPr>
            </w:pPr>
          </w:p>
        </w:tc>
        <w:tc>
          <w:tcPr>
            <w:tcW w:w="1220" w:type="dxa"/>
            <w:vAlign w:val="bottom"/>
            <w:tcBorders>
              <w:bottom w:val="single" w:sz="8" w:color="auto"/>
            </w:tcBorders>
            <w:gridSpan w:val="2"/>
            <w:shd w:val="clear" w:color="auto" w:fill="CCEEFF"/>
          </w:tcPr>
          <w:p>
            <w:pPr>
              <w:jc w:val="right"/>
              <w:ind w:right="145"/>
              <w:spacing w:after="0" w:line="202" w:lineRule="exact"/>
              <w:rPr>
                <w:sz w:val="20"/>
                <w:szCs w:val="20"/>
                <w:color w:val="auto"/>
              </w:rPr>
            </w:pPr>
            <w:r>
              <w:rPr>
                <w:rFonts w:ascii="Arial" w:cs="Arial" w:eastAsia="Arial" w:hAnsi="Arial"/>
                <w:sz w:val="18"/>
                <w:szCs w:val="18"/>
                <w:color w:val="auto"/>
              </w:rPr>
              <w:t>(13,467)</w:t>
            </w:r>
          </w:p>
        </w:tc>
        <w:tc>
          <w:tcPr>
            <w:tcW w:w="0" w:type="dxa"/>
            <w:vAlign w:val="bottom"/>
          </w:tcPr>
          <w:p>
            <w:pPr>
              <w:spacing w:after="0"/>
              <w:rPr>
                <w:sz w:val="1"/>
                <w:szCs w:val="1"/>
                <w:color w:val="auto"/>
              </w:rPr>
            </w:pPr>
          </w:p>
        </w:tc>
      </w:tr>
      <w:tr>
        <w:trPr>
          <w:trHeight w:val="210"/>
        </w:trPr>
        <w:tc>
          <w:tcPr>
            <w:tcW w:w="2960" w:type="dxa"/>
            <w:vAlign w:val="bottom"/>
            <w:gridSpan w:val="2"/>
          </w:tcPr>
          <w:p>
            <w:pPr>
              <w:spacing w:after="0"/>
              <w:rPr>
                <w:sz w:val="20"/>
                <w:szCs w:val="20"/>
                <w:color w:val="auto"/>
              </w:rPr>
            </w:pPr>
            <w:r>
              <w:rPr>
                <w:rFonts w:ascii="Arial" w:cs="Arial" w:eastAsia="Arial" w:hAnsi="Arial"/>
                <w:sz w:val="18"/>
                <w:szCs w:val="18"/>
                <w:color w:val="auto"/>
              </w:rPr>
              <w:t>(Loss) income before income taxes</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80" w:type="dxa"/>
            <w:vAlign w:val="bottom"/>
            <w:gridSpan w:val="2"/>
          </w:tcPr>
          <w:p>
            <w:pPr>
              <w:jc w:val="right"/>
              <w:ind w:right="128"/>
              <w:spacing w:after="0"/>
              <w:rPr>
                <w:sz w:val="20"/>
                <w:szCs w:val="20"/>
                <w:color w:val="auto"/>
              </w:rPr>
            </w:pPr>
            <w:r>
              <w:rPr>
                <w:rFonts w:ascii="Arial" w:cs="Arial" w:eastAsia="Arial" w:hAnsi="Arial"/>
                <w:sz w:val="18"/>
                <w:szCs w:val="18"/>
                <w:color w:val="auto"/>
              </w:rPr>
              <w:t>(3,394)</w:t>
            </w:r>
          </w:p>
        </w:tc>
        <w:tc>
          <w:tcPr>
            <w:tcW w:w="440" w:type="dxa"/>
            <w:vAlign w:val="bottom"/>
          </w:tcPr>
          <w:p>
            <w:pPr>
              <w:spacing w:after="0"/>
              <w:rPr>
                <w:sz w:val="18"/>
                <w:szCs w:val="18"/>
                <w:color w:val="auto"/>
              </w:rPr>
            </w:pPr>
          </w:p>
        </w:tc>
        <w:tc>
          <w:tcPr>
            <w:tcW w:w="1180" w:type="dxa"/>
            <w:vAlign w:val="bottom"/>
            <w:gridSpan w:val="2"/>
          </w:tcPr>
          <w:p>
            <w:pPr>
              <w:jc w:val="right"/>
              <w:ind w:right="188"/>
              <w:spacing w:after="0"/>
              <w:rPr>
                <w:sz w:val="20"/>
                <w:szCs w:val="20"/>
                <w:color w:val="auto"/>
              </w:rPr>
            </w:pPr>
            <w:r>
              <w:rPr>
                <w:rFonts w:ascii="Arial" w:cs="Arial" w:eastAsia="Arial" w:hAnsi="Arial"/>
                <w:sz w:val="18"/>
                <w:szCs w:val="18"/>
                <w:color w:val="auto"/>
              </w:rPr>
              <w:t>37,966</w:t>
            </w:r>
          </w:p>
        </w:tc>
        <w:tc>
          <w:tcPr>
            <w:tcW w:w="440" w:type="dxa"/>
            <w:vAlign w:val="bottom"/>
          </w:tcPr>
          <w:p>
            <w:pPr>
              <w:spacing w:after="0"/>
              <w:rPr>
                <w:sz w:val="18"/>
                <w:szCs w:val="18"/>
                <w:color w:val="auto"/>
              </w:rPr>
            </w:pPr>
          </w:p>
        </w:tc>
        <w:tc>
          <w:tcPr>
            <w:tcW w:w="1220" w:type="dxa"/>
            <w:vAlign w:val="bottom"/>
          </w:tcPr>
          <w:p>
            <w:pPr>
              <w:jc w:val="right"/>
              <w:ind w:right="183"/>
              <w:spacing w:after="0"/>
              <w:rPr>
                <w:sz w:val="20"/>
                <w:szCs w:val="20"/>
                <w:color w:val="auto"/>
              </w:rPr>
            </w:pPr>
            <w:r>
              <w:rPr>
                <w:rFonts w:ascii="Arial" w:cs="Arial" w:eastAsia="Arial" w:hAnsi="Arial"/>
                <w:sz w:val="18"/>
                <w:szCs w:val="18"/>
                <w:color w:val="auto"/>
              </w:rPr>
              <w:t>48,291</w:t>
            </w:r>
          </w:p>
        </w:tc>
        <w:tc>
          <w:tcPr>
            <w:tcW w:w="460" w:type="dxa"/>
            <w:vAlign w:val="bottom"/>
          </w:tcPr>
          <w:p>
            <w:pPr>
              <w:spacing w:after="0"/>
              <w:rPr>
                <w:sz w:val="18"/>
                <w:szCs w:val="18"/>
                <w:color w:val="auto"/>
              </w:rPr>
            </w:pPr>
          </w:p>
        </w:tc>
        <w:tc>
          <w:tcPr>
            <w:tcW w:w="1220" w:type="dxa"/>
            <w:vAlign w:val="bottom"/>
            <w:gridSpan w:val="2"/>
          </w:tcPr>
          <w:p>
            <w:pPr>
              <w:jc w:val="right"/>
              <w:ind w:right="205"/>
              <w:spacing w:after="0"/>
              <w:rPr>
                <w:sz w:val="20"/>
                <w:szCs w:val="20"/>
                <w:color w:val="auto"/>
              </w:rPr>
            </w:pPr>
            <w:r>
              <w:rPr>
                <w:rFonts w:ascii="Arial" w:cs="Arial" w:eastAsia="Arial" w:hAnsi="Arial"/>
                <w:sz w:val="18"/>
                <w:szCs w:val="18"/>
                <w:color w:val="auto"/>
              </w:rPr>
              <w:t>89,702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taxes</w:t>
            </w: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180" w:type="dxa"/>
            <w:vAlign w:val="bottom"/>
            <w:tcBorders>
              <w:bottom w:val="single" w:sz="8" w:color="auto"/>
            </w:tcBorders>
            <w:gridSpan w:val="2"/>
            <w:shd w:val="clear" w:color="auto" w:fill="CCEEFF"/>
          </w:tcPr>
          <w:p>
            <w:pPr>
              <w:jc w:val="right"/>
              <w:ind w:right="128"/>
              <w:spacing w:after="0" w:line="202" w:lineRule="exact"/>
              <w:rPr>
                <w:sz w:val="20"/>
                <w:szCs w:val="20"/>
                <w:color w:val="auto"/>
              </w:rPr>
            </w:pPr>
            <w:r>
              <w:rPr>
                <w:rFonts w:ascii="Arial" w:cs="Arial" w:eastAsia="Arial" w:hAnsi="Arial"/>
                <w:sz w:val="18"/>
                <w:szCs w:val="18"/>
                <w:color w:val="auto"/>
              </w:rPr>
              <w:t>(756)</w:t>
            </w:r>
          </w:p>
        </w:tc>
        <w:tc>
          <w:tcPr>
            <w:tcW w:w="440" w:type="dxa"/>
            <w:vAlign w:val="bottom"/>
            <w:shd w:val="clear" w:color="auto" w:fill="CCEEFF"/>
          </w:tcPr>
          <w:p>
            <w:pPr>
              <w:spacing w:after="0"/>
              <w:rPr>
                <w:sz w:val="17"/>
                <w:szCs w:val="17"/>
                <w:color w:val="auto"/>
              </w:rPr>
            </w:pPr>
          </w:p>
        </w:tc>
        <w:tc>
          <w:tcPr>
            <w:tcW w:w="1180" w:type="dxa"/>
            <w:vAlign w:val="bottom"/>
            <w:tcBorders>
              <w:bottom w:val="single" w:sz="8" w:color="auto"/>
            </w:tcBorders>
            <w:gridSpan w:val="2"/>
            <w:shd w:val="clear" w:color="auto" w:fill="CCEEFF"/>
          </w:tcPr>
          <w:p>
            <w:pPr>
              <w:jc w:val="right"/>
              <w:ind w:right="128"/>
              <w:spacing w:after="0" w:line="202" w:lineRule="exact"/>
              <w:rPr>
                <w:sz w:val="20"/>
                <w:szCs w:val="20"/>
                <w:color w:val="auto"/>
              </w:rPr>
            </w:pPr>
            <w:r>
              <w:rPr>
                <w:rFonts w:ascii="Arial" w:cs="Arial" w:eastAsia="Arial" w:hAnsi="Arial"/>
                <w:sz w:val="18"/>
                <w:szCs w:val="18"/>
                <w:color w:val="auto"/>
              </w:rPr>
              <w:t>(11,276)</w:t>
            </w:r>
          </w:p>
        </w:tc>
        <w:tc>
          <w:tcPr>
            <w:tcW w:w="440" w:type="dxa"/>
            <w:vAlign w:val="bottom"/>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ind w:right="123"/>
              <w:spacing w:after="0" w:line="202" w:lineRule="exact"/>
              <w:rPr>
                <w:sz w:val="20"/>
                <w:szCs w:val="20"/>
                <w:color w:val="auto"/>
              </w:rPr>
            </w:pPr>
            <w:r>
              <w:rPr>
                <w:rFonts w:ascii="Arial" w:cs="Arial" w:eastAsia="Arial" w:hAnsi="Arial"/>
                <w:sz w:val="18"/>
                <w:szCs w:val="18"/>
                <w:color w:val="auto"/>
              </w:rPr>
              <w:t>(15,331)</w:t>
            </w:r>
          </w:p>
        </w:tc>
        <w:tc>
          <w:tcPr>
            <w:tcW w:w="460" w:type="dxa"/>
            <w:vAlign w:val="bottom"/>
            <w:shd w:val="clear" w:color="auto" w:fill="CCEEFF"/>
          </w:tcPr>
          <w:p>
            <w:pPr>
              <w:spacing w:after="0"/>
              <w:rPr>
                <w:sz w:val="17"/>
                <w:szCs w:val="17"/>
                <w:color w:val="auto"/>
              </w:rPr>
            </w:pPr>
          </w:p>
        </w:tc>
        <w:tc>
          <w:tcPr>
            <w:tcW w:w="1220" w:type="dxa"/>
            <w:vAlign w:val="bottom"/>
            <w:tcBorders>
              <w:bottom w:val="single" w:sz="8" w:color="auto"/>
            </w:tcBorders>
            <w:gridSpan w:val="2"/>
            <w:shd w:val="clear" w:color="auto" w:fill="CCEEFF"/>
          </w:tcPr>
          <w:p>
            <w:pPr>
              <w:jc w:val="right"/>
              <w:ind w:right="145"/>
              <w:spacing w:after="0" w:line="202" w:lineRule="exact"/>
              <w:rPr>
                <w:sz w:val="20"/>
                <w:szCs w:val="20"/>
                <w:color w:val="auto"/>
              </w:rPr>
            </w:pPr>
            <w:r>
              <w:rPr>
                <w:rFonts w:ascii="Arial" w:cs="Arial" w:eastAsia="Arial" w:hAnsi="Arial"/>
                <w:sz w:val="18"/>
                <w:szCs w:val="18"/>
                <w:color w:val="auto"/>
              </w:rPr>
              <w:t>(26,642)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40" w:type="dxa"/>
            <w:vAlign w:val="bottom"/>
          </w:tcPr>
          <w:p>
            <w:pPr>
              <w:ind w:left="400"/>
              <w:spacing w:after="0"/>
              <w:rPr>
                <w:sz w:val="20"/>
                <w:szCs w:val="20"/>
                <w:color w:val="auto"/>
              </w:rPr>
            </w:pPr>
            <w:r>
              <w:rPr>
                <w:rFonts w:ascii="Arial" w:cs="Arial" w:eastAsia="Arial" w:hAnsi="Arial"/>
                <w:sz w:val="18"/>
                <w:szCs w:val="18"/>
                <w:color w:val="auto"/>
              </w:rPr>
              <w:t>Net (loss) income</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80" w:type="dxa"/>
            <w:vAlign w:val="bottom"/>
            <w:tcBorders>
              <w:bottom w:val="single" w:sz="8" w:color="auto"/>
            </w:tcBorders>
            <w:gridSpan w:val="2"/>
          </w:tcPr>
          <w:p>
            <w:pPr>
              <w:jc w:val="right"/>
              <w:ind w:right="128"/>
              <w:spacing w:after="0"/>
              <w:rPr>
                <w:sz w:val="20"/>
                <w:szCs w:val="20"/>
                <w:color w:val="auto"/>
              </w:rPr>
            </w:pPr>
            <w:r>
              <w:rPr>
                <w:rFonts w:ascii="Arial" w:cs="Arial" w:eastAsia="Arial" w:hAnsi="Arial"/>
                <w:sz w:val="18"/>
                <w:szCs w:val="18"/>
                <w:color w:val="auto"/>
              </w:rPr>
              <w:t>$ (4,150)</w:t>
            </w:r>
          </w:p>
        </w:tc>
        <w:tc>
          <w:tcPr>
            <w:tcW w:w="4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2"/>
          </w:tcPr>
          <w:p>
            <w:pPr>
              <w:jc w:val="right"/>
              <w:ind w:right="188"/>
              <w:spacing w:after="0"/>
              <w:rPr>
                <w:sz w:val="20"/>
                <w:szCs w:val="20"/>
                <w:color w:val="auto"/>
              </w:rPr>
            </w:pPr>
            <w:r>
              <w:rPr>
                <w:rFonts w:ascii="Arial" w:cs="Arial" w:eastAsia="Arial" w:hAnsi="Arial"/>
                <w:sz w:val="18"/>
                <w:szCs w:val="18"/>
                <w:color w:val="auto"/>
              </w:rPr>
              <w:t>$ 26,690</w:t>
            </w:r>
          </w:p>
        </w:tc>
        <w:tc>
          <w:tcPr>
            <w:tcW w:w="440" w:type="dxa"/>
            <w:vAlign w:val="bottom"/>
          </w:tcPr>
          <w:p>
            <w:pPr>
              <w:spacing w:after="0"/>
              <w:rPr>
                <w:sz w:val="18"/>
                <w:szCs w:val="18"/>
                <w:color w:val="auto"/>
              </w:rPr>
            </w:pPr>
          </w:p>
        </w:tc>
        <w:tc>
          <w:tcPr>
            <w:tcW w:w="1220" w:type="dxa"/>
            <w:vAlign w:val="bottom"/>
            <w:tcBorders>
              <w:bottom w:val="single" w:sz="8" w:color="auto"/>
            </w:tcBorders>
          </w:tcPr>
          <w:p>
            <w:pPr>
              <w:jc w:val="right"/>
              <w:ind w:right="183"/>
              <w:spacing w:after="0"/>
              <w:rPr>
                <w:sz w:val="20"/>
                <w:szCs w:val="20"/>
                <w:color w:val="auto"/>
              </w:rPr>
            </w:pPr>
            <w:r>
              <w:rPr>
                <w:rFonts w:ascii="Arial" w:cs="Arial" w:eastAsia="Arial" w:hAnsi="Arial"/>
                <w:sz w:val="18"/>
                <w:szCs w:val="18"/>
                <w:color w:val="auto"/>
              </w:rPr>
              <w:t>$ 32,960</w:t>
            </w:r>
          </w:p>
        </w:tc>
        <w:tc>
          <w:tcPr>
            <w:tcW w:w="4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2"/>
          </w:tcPr>
          <w:p>
            <w:pPr>
              <w:jc w:val="right"/>
              <w:ind w:right="205"/>
              <w:spacing w:after="0"/>
              <w:rPr>
                <w:sz w:val="20"/>
                <w:szCs w:val="20"/>
                <w:color w:val="auto"/>
              </w:rPr>
            </w:pPr>
            <w:r>
              <w:rPr>
                <w:rFonts w:ascii="Arial" w:cs="Arial" w:eastAsia="Arial" w:hAnsi="Arial"/>
                <w:sz w:val="18"/>
                <w:szCs w:val="18"/>
                <w:color w:val="auto"/>
              </w:rPr>
              <w:t>$ 63,060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2"/>
        </w:trPr>
        <w:tc>
          <w:tcPr>
            <w:tcW w:w="20" w:type="dxa"/>
            <w:vAlign w:val="bottom"/>
          </w:tcPr>
          <w:p>
            <w:pPr>
              <w:spacing w:after="0"/>
              <w:rPr>
                <w:sz w:val="24"/>
                <w:szCs w:val="24"/>
                <w:color w:val="auto"/>
              </w:rPr>
            </w:pPr>
          </w:p>
        </w:tc>
        <w:tc>
          <w:tcPr>
            <w:tcW w:w="294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98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92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122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49"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RECONCILIATION OF GAAP MEASURES TO NON-GAAP MEASURES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6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4"/>
                <w:szCs w:val="14"/>
                <w:color w:val="auto"/>
              </w:rPr>
              <w:t>Fiscal 2008</w:t>
            </w:r>
          </w:p>
        </w:tc>
        <w:tc>
          <w:tcPr>
            <w:tcW w:w="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r>
      <w:tr>
        <w:trPr>
          <w:trHeight w:val="156"/>
        </w:trPr>
        <w:tc>
          <w:tcPr>
            <w:tcW w:w="4460" w:type="dxa"/>
            <w:vAlign w:val="bottom"/>
          </w:tcPr>
          <w:p>
            <w:pPr>
              <w:spacing w:after="0" w:line="155" w:lineRule="exact"/>
              <w:rPr>
                <w:sz w:val="20"/>
                <w:szCs w:val="20"/>
                <w:color w:val="auto"/>
              </w:rPr>
            </w:pPr>
            <w:r>
              <w:rPr>
                <w:rFonts w:ascii="Arial" w:cs="Arial" w:eastAsia="Arial" w:hAnsi="Arial"/>
                <w:sz w:val="14"/>
                <w:szCs w:val="14"/>
                <w:color w:val="auto"/>
              </w:rPr>
              <w:t>(in thousands)</w:t>
            </w:r>
          </w:p>
        </w:tc>
        <w:tc>
          <w:tcPr>
            <w:tcW w:w="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382"/>
              <w:spacing w:after="0" w:line="155" w:lineRule="exact"/>
              <w:rPr>
                <w:sz w:val="20"/>
                <w:szCs w:val="20"/>
                <w:color w:val="auto"/>
              </w:rPr>
            </w:pPr>
            <w:r>
              <w:rPr>
                <w:rFonts w:ascii="Arial" w:cs="Arial" w:eastAsia="Arial" w:hAnsi="Arial"/>
                <w:sz w:val="14"/>
                <w:szCs w:val="14"/>
                <w:color w:val="auto"/>
              </w:rPr>
              <w:t>Q1</w:t>
            </w: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408"/>
              <w:spacing w:after="0" w:line="155" w:lineRule="exact"/>
              <w:rPr>
                <w:sz w:val="20"/>
                <w:szCs w:val="20"/>
                <w:color w:val="auto"/>
              </w:rPr>
            </w:pPr>
            <w:r>
              <w:rPr>
                <w:rFonts w:ascii="Arial" w:cs="Arial" w:eastAsia="Arial" w:hAnsi="Arial"/>
                <w:sz w:val="14"/>
                <w:szCs w:val="14"/>
                <w:color w:val="auto"/>
              </w:rPr>
              <w:t>Q2</w:t>
            </w: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19"/>
              <w:spacing w:after="0" w:line="155" w:lineRule="exact"/>
              <w:rPr>
                <w:sz w:val="20"/>
                <w:szCs w:val="20"/>
                <w:color w:val="auto"/>
              </w:rPr>
            </w:pPr>
            <w:r>
              <w:rPr>
                <w:rFonts w:ascii="Arial" w:cs="Arial" w:eastAsia="Arial" w:hAnsi="Arial"/>
                <w:sz w:val="14"/>
                <w:szCs w:val="14"/>
                <w:color w:val="auto"/>
              </w:rPr>
              <w:t>Q3</w:t>
            </w: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19"/>
              <w:spacing w:after="0" w:line="155" w:lineRule="exact"/>
              <w:rPr>
                <w:sz w:val="20"/>
                <w:szCs w:val="20"/>
                <w:color w:val="auto"/>
              </w:rPr>
            </w:pPr>
            <w:r>
              <w:rPr>
                <w:rFonts w:ascii="Arial" w:cs="Arial" w:eastAsia="Arial" w:hAnsi="Arial"/>
                <w:sz w:val="14"/>
                <w:szCs w:val="14"/>
                <w:color w:val="auto"/>
              </w:rPr>
              <w:t>Q4</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408"/>
              <w:spacing w:after="0" w:line="155" w:lineRule="exact"/>
              <w:rPr>
                <w:sz w:val="20"/>
                <w:szCs w:val="20"/>
                <w:color w:val="auto"/>
              </w:rPr>
            </w:pPr>
            <w:r>
              <w:rPr>
                <w:rFonts w:ascii="Arial" w:cs="Arial" w:eastAsia="Arial" w:hAnsi="Arial"/>
                <w:sz w:val="14"/>
                <w:szCs w:val="14"/>
                <w:color w:val="auto"/>
              </w:rPr>
              <w:t>Total</w:t>
            </w:r>
          </w:p>
        </w:tc>
      </w:tr>
      <w:tr>
        <w:trPr>
          <w:trHeight w:val="196"/>
        </w:trPr>
        <w:tc>
          <w:tcPr>
            <w:tcW w:w="44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EBITDA (1)</w:t>
            </w:r>
          </w:p>
        </w:tc>
        <w:tc>
          <w:tcPr>
            <w:tcW w:w="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03"/>
        </w:trPr>
        <w:tc>
          <w:tcPr>
            <w:tcW w:w="4460" w:type="dxa"/>
            <w:vAlign w:val="bottom"/>
          </w:tcPr>
          <w:p>
            <w:pPr>
              <w:ind w:left="220"/>
              <w:spacing w:after="0" w:line="202" w:lineRule="exact"/>
              <w:rPr>
                <w:sz w:val="20"/>
                <w:szCs w:val="20"/>
                <w:color w:val="auto"/>
              </w:rPr>
            </w:pPr>
            <w:r>
              <w:rPr>
                <w:rFonts w:ascii="Arial" w:cs="Arial" w:eastAsia="Arial" w:hAnsi="Arial"/>
                <w:sz w:val="18"/>
                <w:szCs w:val="18"/>
                <w:color w:val="auto"/>
              </w:rPr>
              <w:t>Net income</w:t>
            </w:r>
          </w:p>
        </w:tc>
        <w:tc>
          <w:tcPr>
            <w:tcW w:w="1120" w:type="dxa"/>
            <w:vAlign w:val="bottom"/>
            <w:gridSpan w:val="2"/>
          </w:tcPr>
          <w:p>
            <w:pPr>
              <w:jc w:val="right"/>
              <w:ind w:right="202"/>
              <w:spacing w:after="0" w:line="202" w:lineRule="exact"/>
              <w:rPr>
                <w:sz w:val="20"/>
                <w:szCs w:val="20"/>
                <w:color w:val="auto"/>
              </w:rPr>
            </w:pPr>
            <w:r>
              <w:rPr>
                <w:rFonts w:ascii="Arial" w:cs="Arial" w:eastAsia="Arial" w:hAnsi="Arial"/>
                <w:sz w:val="18"/>
                <w:szCs w:val="18"/>
                <w:color w:val="auto"/>
              </w:rPr>
              <w:t>$36,370</w:t>
            </w:r>
          </w:p>
        </w:tc>
        <w:tc>
          <w:tcPr>
            <w:tcW w:w="1620" w:type="dxa"/>
            <w:vAlign w:val="bottom"/>
            <w:gridSpan w:val="4"/>
          </w:tcPr>
          <w:p>
            <w:pPr>
              <w:jc w:val="right"/>
              <w:ind w:right="228"/>
              <w:spacing w:after="0" w:line="202" w:lineRule="exact"/>
              <w:rPr>
                <w:sz w:val="20"/>
                <w:szCs w:val="20"/>
                <w:color w:val="auto"/>
              </w:rPr>
            </w:pPr>
            <w:r>
              <w:rPr>
                <w:rFonts w:ascii="Arial" w:cs="Arial" w:eastAsia="Arial" w:hAnsi="Arial"/>
                <w:sz w:val="18"/>
                <w:szCs w:val="18"/>
                <w:color w:val="auto"/>
              </w:rPr>
              <w:t>$26,690</w:t>
            </w: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720" w:type="dxa"/>
            <w:vAlign w:val="bottom"/>
            <w:gridSpan w:val="4"/>
          </w:tcPr>
          <w:p>
            <w:pPr>
              <w:jc w:val="right"/>
              <w:ind w:right="228"/>
              <w:spacing w:after="0" w:line="202" w:lineRule="exact"/>
              <w:rPr>
                <w:sz w:val="20"/>
                <w:szCs w:val="20"/>
                <w:color w:val="auto"/>
              </w:rPr>
            </w:pPr>
            <w:r>
              <w:rPr>
                <w:rFonts w:ascii="Arial" w:cs="Arial" w:eastAsia="Arial" w:hAnsi="Arial"/>
                <w:sz w:val="18"/>
                <w:szCs w:val="18"/>
                <w:color w:val="auto"/>
              </w:rPr>
              <w:t>$ 63,060</w:t>
            </w:r>
          </w:p>
        </w:tc>
      </w:tr>
      <w:tr>
        <w:trPr>
          <w:trHeight w:val="203"/>
        </w:trPr>
        <w:tc>
          <w:tcPr>
            <w:tcW w:w="446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Interest expense</w:t>
            </w:r>
          </w:p>
        </w:tc>
        <w:tc>
          <w:tcPr>
            <w:tcW w:w="1120" w:type="dxa"/>
            <w:vAlign w:val="bottom"/>
            <w:gridSpan w:val="2"/>
            <w:shd w:val="clear" w:color="auto" w:fill="CCEEFF"/>
          </w:tcPr>
          <w:p>
            <w:pPr>
              <w:jc w:val="right"/>
              <w:ind w:right="202"/>
              <w:spacing w:after="0" w:line="202" w:lineRule="exact"/>
              <w:rPr>
                <w:sz w:val="20"/>
                <w:szCs w:val="20"/>
                <w:color w:val="auto"/>
              </w:rPr>
            </w:pPr>
            <w:r>
              <w:rPr>
                <w:rFonts w:ascii="Arial" w:cs="Arial" w:eastAsia="Arial" w:hAnsi="Arial"/>
                <w:sz w:val="18"/>
                <w:szCs w:val="18"/>
                <w:color w:val="auto"/>
              </w:rPr>
              <w:t>6,720</w:t>
            </w:r>
          </w:p>
        </w:tc>
        <w:tc>
          <w:tcPr>
            <w:tcW w:w="1620" w:type="dxa"/>
            <w:vAlign w:val="bottom"/>
            <w:gridSpan w:val="4"/>
            <w:shd w:val="clear" w:color="auto" w:fill="CCEEFF"/>
          </w:tcPr>
          <w:p>
            <w:pPr>
              <w:jc w:val="right"/>
              <w:ind w:right="228"/>
              <w:spacing w:after="0" w:line="202" w:lineRule="exact"/>
              <w:rPr>
                <w:sz w:val="20"/>
                <w:szCs w:val="20"/>
                <w:color w:val="auto"/>
              </w:rPr>
            </w:pPr>
            <w:r>
              <w:rPr>
                <w:rFonts w:ascii="Arial" w:cs="Arial" w:eastAsia="Arial" w:hAnsi="Arial"/>
                <w:sz w:val="18"/>
                <w:szCs w:val="18"/>
                <w:color w:val="auto"/>
              </w:rPr>
              <w:t>6,747</w:t>
            </w:r>
          </w:p>
        </w:tc>
        <w:tc>
          <w:tcPr>
            <w:tcW w:w="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720" w:type="dxa"/>
            <w:vAlign w:val="bottom"/>
            <w:gridSpan w:val="4"/>
            <w:shd w:val="clear" w:color="auto" w:fill="CCEEFF"/>
          </w:tcPr>
          <w:p>
            <w:pPr>
              <w:jc w:val="right"/>
              <w:ind w:right="228"/>
              <w:spacing w:after="0" w:line="202" w:lineRule="exact"/>
              <w:rPr>
                <w:sz w:val="20"/>
                <w:szCs w:val="20"/>
                <w:color w:val="auto"/>
              </w:rPr>
            </w:pPr>
            <w:r>
              <w:rPr>
                <w:rFonts w:ascii="Arial" w:cs="Arial" w:eastAsia="Arial" w:hAnsi="Arial"/>
                <w:sz w:val="18"/>
                <w:szCs w:val="18"/>
                <w:color w:val="auto"/>
              </w:rPr>
              <w:t>13,467</w:t>
            </w:r>
          </w:p>
        </w:tc>
      </w:tr>
      <w:tr>
        <w:trPr>
          <w:trHeight w:val="203"/>
        </w:trPr>
        <w:tc>
          <w:tcPr>
            <w:tcW w:w="4460" w:type="dxa"/>
            <w:vAlign w:val="bottom"/>
          </w:tcPr>
          <w:p>
            <w:pPr>
              <w:ind w:left="420"/>
              <w:spacing w:after="0" w:line="202" w:lineRule="exact"/>
              <w:rPr>
                <w:sz w:val="20"/>
                <w:szCs w:val="20"/>
                <w:color w:val="auto"/>
              </w:rPr>
            </w:pPr>
            <w:r>
              <w:rPr>
                <w:rFonts w:ascii="Arial" w:cs="Arial" w:eastAsia="Arial" w:hAnsi="Arial"/>
                <w:sz w:val="18"/>
                <w:szCs w:val="18"/>
                <w:color w:val="auto"/>
              </w:rPr>
              <w:t>Income taxes</w:t>
            </w:r>
          </w:p>
        </w:tc>
        <w:tc>
          <w:tcPr>
            <w:tcW w:w="1120" w:type="dxa"/>
            <w:vAlign w:val="bottom"/>
            <w:gridSpan w:val="2"/>
          </w:tcPr>
          <w:p>
            <w:pPr>
              <w:jc w:val="right"/>
              <w:ind w:right="202"/>
              <w:spacing w:after="0" w:line="202" w:lineRule="exact"/>
              <w:rPr>
                <w:sz w:val="20"/>
                <w:szCs w:val="20"/>
                <w:color w:val="auto"/>
              </w:rPr>
            </w:pPr>
            <w:r>
              <w:rPr>
                <w:rFonts w:ascii="Arial" w:cs="Arial" w:eastAsia="Arial" w:hAnsi="Arial"/>
                <w:sz w:val="18"/>
                <w:szCs w:val="18"/>
                <w:color w:val="auto"/>
              </w:rPr>
              <w:t>15,366</w:t>
            </w:r>
          </w:p>
        </w:tc>
        <w:tc>
          <w:tcPr>
            <w:tcW w:w="1620" w:type="dxa"/>
            <w:vAlign w:val="bottom"/>
            <w:gridSpan w:val="4"/>
          </w:tcPr>
          <w:p>
            <w:pPr>
              <w:jc w:val="right"/>
              <w:ind w:right="228"/>
              <w:spacing w:after="0" w:line="202" w:lineRule="exact"/>
              <w:rPr>
                <w:sz w:val="20"/>
                <w:szCs w:val="20"/>
                <w:color w:val="auto"/>
              </w:rPr>
            </w:pPr>
            <w:r>
              <w:rPr>
                <w:rFonts w:ascii="Arial" w:cs="Arial" w:eastAsia="Arial" w:hAnsi="Arial"/>
                <w:sz w:val="18"/>
                <w:szCs w:val="18"/>
                <w:color w:val="auto"/>
              </w:rPr>
              <w:t>11,276</w:t>
            </w: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720" w:type="dxa"/>
            <w:vAlign w:val="bottom"/>
            <w:gridSpan w:val="4"/>
          </w:tcPr>
          <w:p>
            <w:pPr>
              <w:jc w:val="right"/>
              <w:ind w:right="228"/>
              <w:spacing w:after="0" w:line="202" w:lineRule="exact"/>
              <w:rPr>
                <w:sz w:val="20"/>
                <w:szCs w:val="20"/>
                <w:color w:val="auto"/>
              </w:rPr>
            </w:pPr>
            <w:r>
              <w:rPr>
                <w:rFonts w:ascii="Arial" w:cs="Arial" w:eastAsia="Arial" w:hAnsi="Arial"/>
                <w:sz w:val="18"/>
                <w:szCs w:val="18"/>
                <w:color w:val="auto"/>
              </w:rPr>
              <w:t>26,642</w:t>
            </w:r>
          </w:p>
        </w:tc>
      </w:tr>
      <w:tr>
        <w:trPr>
          <w:trHeight w:val="203"/>
        </w:trPr>
        <w:tc>
          <w:tcPr>
            <w:tcW w:w="446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Depreciation and amortization</w:t>
            </w:r>
          </w:p>
        </w:tc>
        <w:tc>
          <w:tcPr>
            <w:tcW w:w="1120" w:type="dxa"/>
            <w:vAlign w:val="bottom"/>
            <w:tcBorders>
              <w:bottom w:val="single" w:sz="8" w:color="auto"/>
            </w:tcBorders>
            <w:gridSpan w:val="2"/>
            <w:shd w:val="clear" w:color="auto" w:fill="CCEEFF"/>
          </w:tcPr>
          <w:p>
            <w:pPr>
              <w:jc w:val="right"/>
              <w:ind w:right="202"/>
              <w:spacing w:after="0" w:line="202" w:lineRule="exact"/>
              <w:rPr>
                <w:sz w:val="20"/>
                <w:szCs w:val="20"/>
                <w:color w:val="auto"/>
              </w:rPr>
            </w:pPr>
            <w:r>
              <w:rPr>
                <w:rFonts w:ascii="Arial" w:cs="Arial" w:eastAsia="Arial" w:hAnsi="Arial"/>
                <w:sz w:val="18"/>
                <w:szCs w:val="18"/>
                <w:color w:val="auto"/>
              </w:rPr>
              <w:t>14,168</w:t>
            </w:r>
          </w:p>
        </w:tc>
        <w:tc>
          <w:tcPr>
            <w:tcW w:w="1620" w:type="dxa"/>
            <w:vAlign w:val="bottom"/>
            <w:tcBorders>
              <w:bottom w:val="single" w:sz="8" w:color="auto"/>
            </w:tcBorders>
            <w:gridSpan w:val="4"/>
            <w:shd w:val="clear" w:color="auto" w:fill="CCEEFF"/>
          </w:tcPr>
          <w:p>
            <w:pPr>
              <w:jc w:val="right"/>
              <w:ind w:right="228"/>
              <w:spacing w:after="0" w:line="202" w:lineRule="exact"/>
              <w:rPr>
                <w:sz w:val="20"/>
                <w:szCs w:val="20"/>
                <w:color w:val="auto"/>
              </w:rPr>
            </w:pPr>
            <w:r>
              <w:rPr>
                <w:rFonts w:ascii="Arial" w:cs="Arial" w:eastAsia="Arial" w:hAnsi="Arial"/>
                <w:sz w:val="18"/>
                <w:szCs w:val="18"/>
                <w:color w:val="auto"/>
              </w:rPr>
              <w:t>15,501</w:t>
            </w:r>
          </w:p>
        </w:tc>
        <w:tc>
          <w:tcPr>
            <w:tcW w:w="40" w:type="dxa"/>
            <w:vAlign w:val="bottom"/>
            <w:tcBorders>
              <w:bottom w:val="single" w:sz="8" w:color="auto"/>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spacing w:after="0"/>
              <w:rPr>
                <w:sz w:val="17"/>
                <w:szCs w:val="17"/>
                <w:color w:val="auto"/>
              </w:rPr>
            </w:pPr>
          </w:p>
        </w:tc>
        <w:tc>
          <w:tcPr>
            <w:tcW w:w="1720" w:type="dxa"/>
            <w:vAlign w:val="bottom"/>
            <w:tcBorders>
              <w:bottom w:val="single" w:sz="8" w:color="auto"/>
            </w:tcBorders>
            <w:gridSpan w:val="4"/>
            <w:shd w:val="clear" w:color="auto" w:fill="CCEEFF"/>
          </w:tcPr>
          <w:p>
            <w:pPr>
              <w:jc w:val="right"/>
              <w:ind w:right="228"/>
              <w:spacing w:after="0" w:line="202" w:lineRule="exact"/>
              <w:rPr>
                <w:sz w:val="20"/>
                <w:szCs w:val="20"/>
                <w:color w:val="auto"/>
              </w:rPr>
            </w:pPr>
            <w:r>
              <w:rPr>
                <w:rFonts w:ascii="Arial" w:cs="Arial" w:eastAsia="Arial" w:hAnsi="Arial"/>
                <w:sz w:val="18"/>
                <w:szCs w:val="18"/>
                <w:color w:val="auto"/>
              </w:rPr>
              <w:t>29,669</w:t>
            </w:r>
          </w:p>
        </w:tc>
      </w:tr>
      <w:tr>
        <w:trPr>
          <w:trHeight w:val="426"/>
        </w:trPr>
        <w:tc>
          <w:tcPr>
            <w:tcW w:w="4460" w:type="dxa"/>
            <w:vAlign w:val="bottom"/>
          </w:tcPr>
          <w:p>
            <w:pPr>
              <w:ind w:left="220"/>
              <w:spacing w:after="0"/>
              <w:rPr>
                <w:sz w:val="20"/>
                <w:szCs w:val="20"/>
                <w:color w:val="auto"/>
              </w:rPr>
            </w:pPr>
            <w:r>
              <w:rPr>
                <w:rFonts w:ascii="Arial" w:cs="Arial" w:eastAsia="Arial" w:hAnsi="Arial"/>
                <w:sz w:val="18"/>
                <w:szCs w:val="18"/>
                <w:color w:val="auto"/>
              </w:rPr>
              <w:t>EBITDA (non-GAAP measure)</w:t>
            </w:r>
          </w:p>
        </w:tc>
        <w:tc>
          <w:tcPr>
            <w:tcW w:w="1120" w:type="dxa"/>
            <w:vAlign w:val="bottom"/>
            <w:gridSpan w:val="2"/>
          </w:tcPr>
          <w:p>
            <w:pPr>
              <w:jc w:val="right"/>
              <w:ind w:right="202"/>
              <w:spacing w:after="0"/>
              <w:rPr>
                <w:sz w:val="20"/>
                <w:szCs w:val="20"/>
                <w:color w:val="auto"/>
              </w:rPr>
            </w:pPr>
            <w:r>
              <w:rPr>
                <w:rFonts w:ascii="Arial" w:cs="Arial" w:eastAsia="Arial" w:hAnsi="Arial"/>
                <w:sz w:val="18"/>
                <w:szCs w:val="18"/>
                <w:color w:val="auto"/>
              </w:rPr>
              <w:t>$72,624</w:t>
            </w:r>
          </w:p>
        </w:tc>
        <w:tc>
          <w:tcPr>
            <w:tcW w:w="1620" w:type="dxa"/>
            <w:vAlign w:val="bottom"/>
            <w:gridSpan w:val="4"/>
          </w:tcPr>
          <w:p>
            <w:pPr>
              <w:jc w:val="right"/>
              <w:ind w:right="228"/>
              <w:spacing w:after="0"/>
              <w:rPr>
                <w:sz w:val="20"/>
                <w:szCs w:val="20"/>
                <w:color w:val="auto"/>
              </w:rPr>
            </w:pPr>
            <w:r>
              <w:rPr>
                <w:rFonts w:ascii="Arial" w:cs="Arial" w:eastAsia="Arial" w:hAnsi="Arial"/>
                <w:sz w:val="18"/>
                <w:szCs w:val="18"/>
                <w:color w:val="auto"/>
              </w:rPr>
              <w:t>$60,214</w:t>
            </w: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jc w:val="right"/>
              <w:ind w:right="199"/>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jc w:val="right"/>
              <w:ind w:right="219"/>
              <w:spacing w:after="0"/>
              <w:rPr>
                <w:sz w:val="20"/>
                <w:szCs w:val="20"/>
                <w:color w:val="auto"/>
              </w:rPr>
            </w:pPr>
            <w:r>
              <w:rPr>
                <w:rFonts w:ascii="Arial" w:cs="Arial" w:eastAsia="Arial" w:hAnsi="Arial"/>
                <w:sz w:val="18"/>
                <w:szCs w:val="18"/>
                <w:color w:val="auto"/>
              </w:rPr>
              <w:t>$—</w:t>
            </w:r>
          </w:p>
        </w:tc>
        <w:tc>
          <w:tcPr>
            <w:tcW w:w="1720" w:type="dxa"/>
            <w:vAlign w:val="bottom"/>
            <w:gridSpan w:val="4"/>
          </w:tcPr>
          <w:p>
            <w:pPr>
              <w:jc w:val="right"/>
              <w:ind w:right="228"/>
              <w:spacing w:after="0"/>
              <w:rPr>
                <w:sz w:val="20"/>
                <w:szCs w:val="20"/>
                <w:color w:val="auto"/>
              </w:rPr>
            </w:pPr>
            <w:r>
              <w:rPr>
                <w:rFonts w:ascii="Arial" w:cs="Arial" w:eastAsia="Arial" w:hAnsi="Arial"/>
                <w:sz w:val="18"/>
                <w:szCs w:val="18"/>
                <w:color w:val="auto"/>
              </w:rPr>
              <w:t>$132,838</w:t>
            </w:r>
          </w:p>
        </w:tc>
      </w:tr>
      <w:tr>
        <w:trPr>
          <w:trHeight w:val="351"/>
        </w:trPr>
        <w:tc>
          <w:tcPr>
            <w:tcW w:w="4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4"/>
                <w:szCs w:val="14"/>
                <w:color w:val="auto"/>
              </w:rPr>
              <w:t>Fiscal 2009</w:t>
            </w:r>
          </w:p>
        </w:tc>
        <w:tc>
          <w:tcPr>
            <w:tcW w:w="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r>
      <w:tr>
        <w:trPr>
          <w:trHeight w:val="156"/>
        </w:trPr>
        <w:tc>
          <w:tcPr>
            <w:tcW w:w="4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00" w:type="dxa"/>
            <w:vAlign w:val="bottom"/>
            <w:tcBorders>
              <w:bottom w:val="single" w:sz="8" w:color="auto"/>
            </w:tcBorders>
          </w:tcPr>
          <w:p>
            <w:pPr>
              <w:jc w:val="right"/>
              <w:ind w:right="362"/>
              <w:spacing w:after="0" w:line="155" w:lineRule="exact"/>
              <w:rPr>
                <w:sz w:val="20"/>
                <w:szCs w:val="20"/>
                <w:color w:val="auto"/>
              </w:rPr>
            </w:pPr>
            <w:r>
              <w:rPr>
                <w:rFonts w:ascii="Arial" w:cs="Arial" w:eastAsia="Arial" w:hAnsi="Arial"/>
                <w:sz w:val="14"/>
                <w:szCs w:val="14"/>
                <w:color w:val="auto"/>
              </w:rPr>
              <w:t>Q1</w:t>
            </w:r>
          </w:p>
        </w:tc>
        <w:tc>
          <w:tcPr>
            <w:tcW w:w="40" w:type="dxa"/>
            <w:vAlign w:val="bottom"/>
            <w:tcBorders>
              <w:bottom w:val="single" w:sz="8" w:color="auto"/>
            </w:tcBorders>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00" w:type="dxa"/>
            <w:vAlign w:val="bottom"/>
            <w:tcBorders>
              <w:bottom w:val="single" w:sz="8" w:color="auto"/>
            </w:tcBorders>
          </w:tcPr>
          <w:p>
            <w:pPr>
              <w:jc w:val="right"/>
              <w:ind w:right="368"/>
              <w:spacing w:after="0" w:line="155" w:lineRule="exact"/>
              <w:rPr>
                <w:sz w:val="20"/>
                <w:szCs w:val="20"/>
                <w:color w:val="auto"/>
              </w:rPr>
            </w:pPr>
            <w:r>
              <w:rPr>
                <w:rFonts w:ascii="Arial" w:cs="Arial" w:eastAsia="Arial" w:hAnsi="Arial"/>
                <w:sz w:val="14"/>
                <w:szCs w:val="14"/>
                <w:color w:val="auto"/>
              </w:rPr>
              <w:t>Q2</w:t>
            </w:r>
          </w:p>
        </w:tc>
        <w:tc>
          <w:tcPr>
            <w:tcW w:w="40" w:type="dxa"/>
            <w:vAlign w:val="bottom"/>
            <w:tcBorders>
              <w:bottom w:val="single" w:sz="8" w:color="auto"/>
            </w:tcBorders>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Borders>
              <w:bottom w:val="single" w:sz="8" w:color="auto"/>
            </w:tcBorders>
          </w:tcPr>
          <w:p>
            <w:pPr>
              <w:jc w:val="right"/>
              <w:ind w:right="159"/>
              <w:spacing w:after="0" w:line="155" w:lineRule="exact"/>
              <w:rPr>
                <w:sz w:val="20"/>
                <w:szCs w:val="20"/>
                <w:color w:val="auto"/>
              </w:rPr>
            </w:pPr>
            <w:r>
              <w:rPr>
                <w:rFonts w:ascii="Arial" w:cs="Arial" w:eastAsia="Arial" w:hAnsi="Arial"/>
                <w:sz w:val="14"/>
                <w:szCs w:val="14"/>
                <w:color w:val="auto"/>
              </w:rPr>
              <w:t>Q3</w:t>
            </w:r>
          </w:p>
        </w:tc>
        <w:tc>
          <w:tcPr>
            <w:tcW w:w="60" w:type="dxa"/>
            <w:vAlign w:val="bottom"/>
            <w:tcBorders>
              <w:bottom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Borders>
              <w:bottom w:val="single" w:sz="8" w:color="auto"/>
            </w:tcBorders>
          </w:tcPr>
          <w:p>
            <w:pPr>
              <w:jc w:val="right"/>
              <w:ind w:right="139"/>
              <w:spacing w:after="0" w:line="155" w:lineRule="exact"/>
              <w:rPr>
                <w:sz w:val="20"/>
                <w:szCs w:val="20"/>
                <w:color w:val="auto"/>
              </w:rPr>
            </w:pPr>
            <w:r>
              <w:rPr>
                <w:rFonts w:ascii="Arial" w:cs="Arial" w:eastAsia="Arial" w:hAnsi="Arial"/>
                <w:sz w:val="14"/>
                <w:szCs w:val="14"/>
                <w:color w:val="auto"/>
              </w:rPr>
              <w:t>Q4</w:t>
            </w:r>
          </w:p>
        </w:tc>
        <w:tc>
          <w:tcPr>
            <w:tcW w:w="80" w:type="dxa"/>
            <w:vAlign w:val="bottom"/>
            <w:tcBorders>
              <w:bottom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Borders>
              <w:bottom w:val="single" w:sz="8" w:color="auto"/>
            </w:tcBorders>
          </w:tcPr>
          <w:p>
            <w:pPr>
              <w:jc w:val="right"/>
              <w:ind w:right="348"/>
              <w:spacing w:after="0" w:line="155" w:lineRule="exact"/>
              <w:rPr>
                <w:sz w:val="20"/>
                <w:szCs w:val="20"/>
                <w:color w:val="auto"/>
              </w:rPr>
            </w:pPr>
            <w:r>
              <w:rPr>
                <w:rFonts w:ascii="Arial" w:cs="Arial" w:eastAsia="Arial" w:hAnsi="Arial"/>
                <w:sz w:val="14"/>
                <w:szCs w:val="14"/>
                <w:color w:val="auto"/>
              </w:rPr>
              <w:t>Total</w:t>
            </w:r>
          </w:p>
        </w:tc>
      </w:tr>
      <w:tr>
        <w:trPr>
          <w:trHeight w:val="196"/>
        </w:trPr>
        <w:tc>
          <w:tcPr>
            <w:tcW w:w="44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EBITDA (1)</w:t>
            </w:r>
          </w:p>
        </w:tc>
        <w:tc>
          <w:tcPr>
            <w:tcW w:w="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03"/>
        </w:trPr>
        <w:tc>
          <w:tcPr>
            <w:tcW w:w="4460" w:type="dxa"/>
            <w:vAlign w:val="bottom"/>
          </w:tcPr>
          <w:p>
            <w:pPr>
              <w:ind w:left="220"/>
              <w:spacing w:after="0" w:line="202" w:lineRule="exact"/>
              <w:rPr>
                <w:sz w:val="20"/>
                <w:szCs w:val="20"/>
                <w:color w:val="auto"/>
              </w:rPr>
            </w:pPr>
            <w:r>
              <w:rPr>
                <w:rFonts w:ascii="Arial" w:cs="Arial" w:eastAsia="Arial" w:hAnsi="Arial"/>
                <w:sz w:val="18"/>
                <w:szCs w:val="18"/>
                <w:color w:val="auto"/>
              </w:rPr>
              <w:t>Net income (loss)</w:t>
            </w:r>
          </w:p>
        </w:tc>
        <w:tc>
          <w:tcPr>
            <w:tcW w:w="1120" w:type="dxa"/>
            <w:vAlign w:val="bottom"/>
            <w:gridSpan w:val="2"/>
          </w:tcPr>
          <w:p>
            <w:pPr>
              <w:jc w:val="right"/>
              <w:ind w:right="182"/>
              <w:spacing w:after="0" w:line="202" w:lineRule="exact"/>
              <w:rPr>
                <w:sz w:val="20"/>
                <w:szCs w:val="20"/>
                <w:color w:val="auto"/>
              </w:rPr>
            </w:pPr>
            <w:r>
              <w:rPr>
                <w:rFonts w:ascii="Arial" w:cs="Arial" w:eastAsia="Arial" w:hAnsi="Arial"/>
                <w:sz w:val="18"/>
                <w:szCs w:val="18"/>
                <w:color w:val="auto"/>
              </w:rPr>
              <w:t>$37,110</w:t>
            </w:r>
          </w:p>
        </w:tc>
        <w:tc>
          <w:tcPr>
            <w:tcW w:w="1620" w:type="dxa"/>
            <w:vAlign w:val="bottom"/>
            <w:gridSpan w:val="4"/>
          </w:tcPr>
          <w:p>
            <w:pPr>
              <w:jc w:val="right"/>
              <w:ind w:right="128"/>
              <w:spacing w:after="0" w:line="202" w:lineRule="exact"/>
              <w:rPr>
                <w:sz w:val="20"/>
                <w:szCs w:val="20"/>
                <w:color w:val="auto"/>
              </w:rPr>
            </w:pPr>
            <w:r>
              <w:rPr>
                <w:rFonts w:ascii="Arial" w:cs="Arial" w:eastAsia="Arial" w:hAnsi="Arial"/>
                <w:sz w:val="18"/>
                <w:szCs w:val="18"/>
                <w:color w:val="auto"/>
              </w:rPr>
              <w:t>$ (4,150)</w:t>
            </w: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720" w:type="dxa"/>
            <w:vAlign w:val="bottom"/>
            <w:gridSpan w:val="4"/>
          </w:tcPr>
          <w:p>
            <w:pPr>
              <w:jc w:val="right"/>
              <w:ind w:right="228"/>
              <w:spacing w:after="0" w:line="202" w:lineRule="exact"/>
              <w:rPr>
                <w:sz w:val="20"/>
                <w:szCs w:val="20"/>
                <w:color w:val="auto"/>
              </w:rPr>
            </w:pPr>
            <w:r>
              <w:rPr>
                <w:rFonts w:ascii="Arial" w:cs="Arial" w:eastAsia="Arial" w:hAnsi="Arial"/>
                <w:sz w:val="18"/>
                <w:szCs w:val="18"/>
                <w:color w:val="auto"/>
              </w:rPr>
              <w:t>$32,960</w:t>
            </w:r>
          </w:p>
        </w:tc>
      </w:tr>
      <w:tr>
        <w:trPr>
          <w:trHeight w:val="203"/>
        </w:trPr>
        <w:tc>
          <w:tcPr>
            <w:tcW w:w="446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Interest expense</w:t>
            </w:r>
          </w:p>
        </w:tc>
        <w:tc>
          <w:tcPr>
            <w:tcW w:w="1120" w:type="dxa"/>
            <w:vAlign w:val="bottom"/>
            <w:gridSpan w:val="2"/>
            <w:shd w:val="clear" w:color="auto" w:fill="CCEEFF"/>
          </w:tcPr>
          <w:p>
            <w:pPr>
              <w:jc w:val="right"/>
              <w:ind w:right="182"/>
              <w:spacing w:after="0" w:line="202" w:lineRule="exact"/>
              <w:rPr>
                <w:sz w:val="20"/>
                <w:szCs w:val="20"/>
                <w:color w:val="auto"/>
              </w:rPr>
            </w:pPr>
            <w:r>
              <w:rPr>
                <w:rFonts w:ascii="Arial" w:cs="Arial" w:eastAsia="Arial" w:hAnsi="Arial"/>
                <w:sz w:val="18"/>
                <w:szCs w:val="18"/>
                <w:color w:val="auto"/>
              </w:rPr>
              <w:t>6,361</w:t>
            </w:r>
          </w:p>
        </w:tc>
        <w:tc>
          <w:tcPr>
            <w:tcW w:w="1620" w:type="dxa"/>
            <w:vAlign w:val="bottom"/>
            <w:gridSpan w:val="4"/>
            <w:shd w:val="clear" w:color="auto" w:fill="CCEEFF"/>
          </w:tcPr>
          <w:p>
            <w:pPr>
              <w:jc w:val="right"/>
              <w:ind w:right="188"/>
              <w:spacing w:after="0" w:line="202" w:lineRule="exact"/>
              <w:rPr>
                <w:sz w:val="20"/>
                <w:szCs w:val="20"/>
                <w:color w:val="auto"/>
              </w:rPr>
            </w:pPr>
            <w:r>
              <w:rPr>
                <w:rFonts w:ascii="Arial" w:cs="Arial" w:eastAsia="Arial" w:hAnsi="Arial"/>
                <w:sz w:val="18"/>
                <w:szCs w:val="18"/>
                <w:color w:val="auto"/>
              </w:rPr>
              <w:t>6,314</w:t>
            </w:r>
          </w:p>
        </w:tc>
        <w:tc>
          <w:tcPr>
            <w:tcW w:w="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720" w:type="dxa"/>
            <w:vAlign w:val="bottom"/>
            <w:gridSpan w:val="4"/>
            <w:shd w:val="clear" w:color="auto" w:fill="CCEEFF"/>
          </w:tcPr>
          <w:p>
            <w:pPr>
              <w:jc w:val="right"/>
              <w:ind w:right="228"/>
              <w:spacing w:after="0" w:line="202" w:lineRule="exact"/>
              <w:rPr>
                <w:sz w:val="20"/>
                <w:szCs w:val="20"/>
                <w:color w:val="auto"/>
              </w:rPr>
            </w:pPr>
            <w:r>
              <w:rPr>
                <w:rFonts w:ascii="Arial" w:cs="Arial" w:eastAsia="Arial" w:hAnsi="Arial"/>
                <w:sz w:val="18"/>
                <w:szCs w:val="18"/>
                <w:color w:val="auto"/>
              </w:rPr>
              <w:t>12,675</w:t>
            </w:r>
          </w:p>
        </w:tc>
      </w:tr>
      <w:tr>
        <w:trPr>
          <w:trHeight w:val="203"/>
        </w:trPr>
        <w:tc>
          <w:tcPr>
            <w:tcW w:w="4460" w:type="dxa"/>
            <w:vAlign w:val="bottom"/>
          </w:tcPr>
          <w:p>
            <w:pPr>
              <w:ind w:left="420"/>
              <w:spacing w:after="0" w:line="202" w:lineRule="exact"/>
              <w:rPr>
                <w:sz w:val="20"/>
                <w:szCs w:val="20"/>
                <w:color w:val="auto"/>
              </w:rPr>
            </w:pPr>
            <w:r>
              <w:rPr>
                <w:rFonts w:ascii="Arial" w:cs="Arial" w:eastAsia="Arial" w:hAnsi="Arial"/>
                <w:sz w:val="18"/>
                <w:szCs w:val="18"/>
                <w:color w:val="auto"/>
              </w:rPr>
              <w:t>Income taxes</w:t>
            </w:r>
          </w:p>
        </w:tc>
        <w:tc>
          <w:tcPr>
            <w:tcW w:w="1120" w:type="dxa"/>
            <w:vAlign w:val="bottom"/>
            <w:gridSpan w:val="2"/>
          </w:tcPr>
          <w:p>
            <w:pPr>
              <w:jc w:val="right"/>
              <w:ind w:right="182"/>
              <w:spacing w:after="0" w:line="202" w:lineRule="exact"/>
              <w:rPr>
                <w:sz w:val="20"/>
                <w:szCs w:val="20"/>
                <w:color w:val="auto"/>
              </w:rPr>
            </w:pPr>
            <w:r>
              <w:rPr>
                <w:rFonts w:ascii="Arial" w:cs="Arial" w:eastAsia="Arial" w:hAnsi="Arial"/>
                <w:sz w:val="18"/>
                <w:szCs w:val="18"/>
                <w:color w:val="auto"/>
              </w:rPr>
              <w:t>14,575</w:t>
            </w:r>
          </w:p>
        </w:tc>
        <w:tc>
          <w:tcPr>
            <w:tcW w:w="1620" w:type="dxa"/>
            <w:vAlign w:val="bottom"/>
            <w:gridSpan w:val="4"/>
          </w:tcPr>
          <w:p>
            <w:pPr>
              <w:jc w:val="right"/>
              <w:ind w:right="188"/>
              <w:spacing w:after="0" w:line="202" w:lineRule="exact"/>
              <w:rPr>
                <w:sz w:val="20"/>
                <w:szCs w:val="20"/>
                <w:color w:val="auto"/>
              </w:rPr>
            </w:pPr>
            <w:r>
              <w:rPr>
                <w:rFonts w:ascii="Arial" w:cs="Arial" w:eastAsia="Arial" w:hAnsi="Arial"/>
                <w:sz w:val="18"/>
                <w:szCs w:val="18"/>
                <w:color w:val="auto"/>
              </w:rPr>
              <w:t>756</w:t>
            </w: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720" w:type="dxa"/>
            <w:vAlign w:val="bottom"/>
            <w:gridSpan w:val="4"/>
          </w:tcPr>
          <w:p>
            <w:pPr>
              <w:jc w:val="right"/>
              <w:ind w:right="228"/>
              <w:spacing w:after="0" w:line="202" w:lineRule="exact"/>
              <w:rPr>
                <w:sz w:val="20"/>
                <w:szCs w:val="20"/>
                <w:color w:val="auto"/>
              </w:rPr>
            </w:pPr>
            <w:r>
              <w:rPr>
                <w:rFonts w:ascii="Arial" w:cs="Arial" w:eastAsia="Arial" w:hAnsi="Arial"/>
                <w:sz w:val="18"/>
                <w:szCs w:val="18"/>
                <w:color w:val="auto"/>
              </w:rPr>
              <w:t>15,331</w:t>
            </w:r>
          </w:p>
        </w:tc>
      </w:tr>
      <w:tr>
        <w:trPr>
          <w:trHeight w:val="203"/>
        </w:trPr>
        <w:tc>
          <w:tcPr>
            <w:tcW w:w="446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Depreciation and amortization</w:t>
            </w:r>
          </w:p>
        </w:tc>
        <w:tc>
          <w:tcPr>
            <w:tcW w:w="20" w:type="dxa"/>
            <w:vAlign w:val="bottom"/>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182"/>
              <w:spacing w:after="0" w:line="202" w:lineRule="exact"/>
              <w:rPr>
                <w:sz w:val="20"/>
                <w:szCs w:val="20"/>
                <w:color w:val="auto"/>
              </w:rPr>
            </w:pPr>
            <w:r>
              <w:rPr>
                <w:rFonts w:ascii="Arial" w:cs="Arial" w:eastAsia="Arial" w:hAnsi="Arial"/>
                <w:sz w:val="18"/>
                <w:szCs w:val="18"/>
                <w:color w:val="auto"/>
              </w:rPr>
              <w:t>13,712</w:t>
            </w:r>
          </w:p>
        </w:tc>
        <w:tc>
          <w:tcPr>
            <w:tcW w:w="1620" w:type="dxa"/>
            <w:vAlign w:val="bottom"/>
            <w:tcBorders>
              <w:bottom w:val="single" w:sz="8" w:color="auto"/>
            </w:tcBorders>
            <w:gridSpan w:val="4"/>
            <w:shd w:val="clear" w:color="auto" w:fill="CCEEFF"/>
          </w:tcPr>
          <w:p>
            <w:pPr>
              <w:jc w:val="right"/>
              <w:ind w:right="168"/>
              <w:spacing w:after="0" w:line="202" w:lineRule="exact"/>
              <w:rPr>
                <w:sz w:val="20"/>
                <w:szCs w:val="20"/>
                <w:color w:val="auto"/>
              </w:rPr>
            </w:pPr>
            <w:r>
              <w:rPr>
                <w:rFonts w:ascii="Arial" w:cs="Arial" w:eastAsia="Arial" w:hAnsi="Arial"/>
                <w:sz w:val="18"/>
                <w:szCs w:val="18"/>
                <w:color w:val="auto"/>
              </w:rPr>
              <w:t>13,481</w:t>
            </w:r>
          </w:p>
        </w:tc>
        <w:tc>
          <w:tcPr>
            <w:tcW w:w="40" w:type="dxa"/>
            <w:vAlign w:val="bottom"/>
            <w:tcBorders>
              <w:bottom w:val="single" w:sz="8" w:color="auto"/>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spacing w:after="0"/>
              <w:rPr>
                <w:sz w:val="17"/>
                <w:szCs w:val="17"/>
                <w:color w:val="auto"/>
              </w:rPr>
            </w:pPr>
          </w:p>
        </w:tc>
        <w:tc>
          <w:tcPr>
            <w:tcW w:w="1720" w:type="dxa"/>
            <w:vAlign w:val="bottom"/>
            <w:tcBorders>
              <w:bottom w:val="single" w:sz="8" w:color="auto"/>
            </w:tcBorders>
            <w:gridSpan w:val="4"/>
            <w:shd w:val="clear" w:color="auto" w:fill="CCEEFF"/>
          </w:tcPr>
          <w:p>
            <w:pPr>
              <w:jc w:val="right"/>
              <w:ind w:right="228"/>
              <w:spacing w:after="0" w:line="202" w:lineRule="exact"/>
              <w:rPr>
                <w:sz w:val="20"/>
                <w:szCs w:val="20"/>
                <w:color w:val="auto"/>
              </w:rPr>
            </w:pPr>
            <w:r>
              <w:rPr>
                <w:rFonts w:ascii="Arial" w:cs="Arial" w:eastAsia="Arial" w:hAnsi="Arial"/>
                <w:sz w:val="18"/>
                <w:szCs w:val="18"/>
                <w:color w:val="auto"/>
              </w:rPr>
              <w:t>27,193</w:t>
            </w:r>
          </w:p>
        </w:tc>
      </w:tr>
      <w:tr>
        <w:trPr>
          <w:trHeight w:val="426"/>
        </w:trPr>
        <w:tc>
          <w:tcPr>
            <w:tcW w:w="4460" w:type="dxa"/>
            <w:vAlign w:val="bottom"/>
          </w:tcPr>
          <w:p>
            <w:pPr>
              <w:ind w:left="220"/>
              <w:spacing w:after="0"/>
              <w:rPr>
                <w:sz w:val="20"/>
                <w:szCs w:val="20"/>
                <w:color w:val="auto"/>
              </w:rPr>
            </w:pPr>
            <w:r>
              <w:rPr>
                <w:rFonts w:ascii="Arial" w:cs="Arial" w:eastAsia="Arial" w:hAnsi="Arial"/>
                <w:sz w:val="18"/>
                <w:szCs w:val="18"/>
                <w:color w:val="auto"/>
              </w:rPr>
              <w:t>EBITDA (non-GAAP measure)</w:t>
            </w:r>
          </w:p>
        </w:tc>
        <w:tc>
          <w:tcPr>
            <w:tcW w:w="1120" w:type="dxa"/>
            <w:vAlign w:val="bottom"/>
            <w:gridSpan w:val="2"/>
          </w:tcPr>
          <w:p>
            <w:pPr>
              <w:jc w:val="right"/>
              <w:ind w:right="182"/>
              <w:spacing w:after="0"/>
              <w:rPr>
                <w:sz w:val="20"/>
                <w:szCs w:val="20"/>
                <w:color w:val="auto"/>
              </w:rPr>
            </w:pPr>
            <w:r>
              <w:rPr>
                <w:rFonts w:ascii="Arial" w:cs="Arial" w:eastAsia="Arial" w:hAnsi="Arial"/>
                <w:sz w:val="18"/>
                <w:szCs w:val="18"/>
                <w:color w:val="auto"/>
              </w:rPr>
              <w:t>$71,758</w:t>
            </w:r>
          </w:p>
        </w:tc>
        <w:tc>
          <w:tcPr>
            <w:tcW w:w="1620" w:type="dxa"/>
            <w:vAlign w:val="bottom"/>
            <w:gridSpan w:val="4"/>
          </w:tcPr>
          <w:p>
            <w:pPr>
              <w:jc w:val="right"/>
              <w:ind w:right="168"/>
              <w:spacing w:after="0"/>
              <w:rPr>
                <w:sz w:val="20"/>
                <w:szCs w:val="20"/>
                <w:color w:val="auto"/>
              </w:rPr>
            </w:pPr>
            <w:r>
              <w:rPr>
                <w:rFonts w:ascii="Arial" w:cs="Arial" w:eastAsia="Arial" w:hAnsi="Arial"/>
                <w:sz w:val="18"/>
                <w:szCs w:val="18"/>
                <w:color w:val="auto"/>
              </w:rPr>
              <w:t>$16,401</w:t>
            </w: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jc w:val="right"/>
              <w:ind w:right="159"/>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jc w:val="right"/>
              <w:ind w:right="139"/>
              <w:spacing w:after="0"/>
              <w:rPr>
                <w:sz w:val="20"/>
                <w:szCs w:val="20"/>
                <w:color w:val="auto"/>
              </w:rPr>
            </w:pPr>
            <w:r>
              <w:rPr>
                <w:rFonts w:ascii="Arial" w:cs="Arial" w:eastAsia="Arial" w:hAnsi="Arial"/>
                <w:sz w:val="18"/>
                <w:szCs w:val="18"/>
                <w:color w:val="auto"/>
              </w:rPr>
              <w:t>$—</w:t>
            </w:r>
          </w:p>
        </w:tc>
        <w:tc>
          <w:tcPr>
            <w:tcW w:w="1720" w:type="dxa"/>
            <w:vAlign w:val="bottom"/>
            <w:gridSpan w:val="4"/>
          </w:tcPr>
          <w:p>
            <w:pPr>
              <w:jc w:val="right"/>
              <w:ind w:right="228"/>
              <w:spacing w:after="0"/>
              <w:rPr>
                <w:sz w:val="20"/>
                <w:szCs w:val="20"/>
                <w:color w:val="auto"/>
              </w:rPr>
            </w:pPr>
            <w:r>
              <w:rPr>
                <w:rFonts w:ascii="Arial" w:cs="Arial" w:eastAsia="Arial" w:hAnsi="Arial"/>
                <w:sz w:val="18"/>
                <w:szCs w:val="18"/>
                <w:color w:val="auto"/>
              </w:rPr>
              <w:t>$88,159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130365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right="120" w:hanging="452"/>
        <w:spacing w:after="0" w:line="237"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Brady is presenting EBITDA because it is used by many of our investors and lenders, and is presented as a convenience to them. EBITDA represents net income before interest expense, income taxes and depreciation and amortization. EBITDA is not a calculation based on generally accepted accounting principles (GAAP). The amounts included in the EBITDA calculation, however, are derived from amounts included in the Condensed Consolidated Statements of Income data. EBITDA should not be considered as an alternative to net income or operating income as an indicator of the company’s operating performance, or as an alternative to operating cash flows as a measure of liquidity. The EBITDA measure presented may not always be comparable to similarly titled measures reported by other companies due to differences in the components of the calculation.</w:t>
      </w:r>
    </w:p>
    <w:sectPr>
      <w:pgSz w:w="11900" w:h="16838" w:orient="portrait"/>
      <w:cols w:equalWidth="0" w:num="1">
        <w:col w:w="11420"/>
      </w:cols>
      <w:pgMar w:left="240" w:top="92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414"/>
    </w:lvl>
  </w:abstractNum>
  <w:abstractNum w:abstractNumId="1">
    <w:nsid w:val="74B0DC51"/>
    <w:multiLevelType w:val="hybridMultilevel"/>
    <w:lvl w:ilvl="0">
      <w:lvlJc w:val="left"/>
      <w:lvlText w:val="o"/>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2019-12-10T05:34:29Z</dcterms:created>
  <dcterms:modified xsi:type="dcterms:W3CDTF">2019-12-10T05:34:29Z</dcterms:modified>
</cp:coreProperties>
</file>