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8"/>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192405</wp:posOffset>
            </wp:positionV>
            <wp:extent cx="1600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43"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163830</wp:posOffset>
            </wp:positionV>
            <wp:extent cx="1600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1" w:lineRule="exact"/>
        <w:rPr>
          <w:sz w:val="24"/>
          <w:szCs w:val="24"/>
          <w:color w:val="auto"/>
        </w:rPr>
      </w:pPr>
    </w:p>
    <w:p>
      <w:pPr>
        <w:jc w:val="center"/>
        <w:ind w:right="-58"/>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Date of Report (Date of earliest event reported): May 22,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198755</wp:posOffset>
            </wp:positionV>
            <wp:extent cx="1600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52" w:lineRule="exact"/>
        <w:rPr>
          <w:sz w:val="24"/>
          <w:szCs w:val="24"/>
          <w:color w:val="auto"/>
        </w:rPr>
      </w:pPr>
    </w:p>
    <w:tbl>
      <w:tblPr>
        <w:tblLayout w:type="fixed"/>
        <w:tblInd w:w="2379" w:type="dxa"/>
        <w:tblCellMar>
          <w:top w:w="0" w:type="dxa"/>
          <w:left w:w="0" w:type="dxa"/>
          <w:bottom w:w="0" w:type="dxa"/>
          <w:right w:w="0" w:type="dxa"/>
        </w:tblCellMar>
      </w:tblPr>
      <w:tr>
        <w:trPr>
          <w:trHeight w:val="468"/>
        </w:trPr>
        <w:tc>
          <w:tcPr>
            <w:tcW w:w="960" w:type="dxa"/>
            <w:vAlign w:val="bottom"/>
          </w:tcPr>
          <w:p>
            <w:pPr>
              <w:spacing w:after="0"/>
              <w:rPr>
                <w:sz w:val="24"/>
                <w:szCs w:val="2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39"/>
                <w:szCs w:val="39"/>
                <w:b w:val="1"/>
                <w:bCs w:val="1"/>
                <w:color w:val="auto"/>
                <w:w w:val="99"/>
              </w:rPr>
              <w:t>BRADY CORPORATION</w:t>
            </w:r>
          </w:p>
        </w:tc>
      </w:tr>
      <w:tr>
        <w:trPr>
          <w:trHeight w:val="209"/>
        </w:trPr>
        <w:tc>
          <w:tcPr>
            <w:tcW w:w="960" w:type="dxa"/>
            <w:vAlign w:val="bottom"/>
          </w:tcPr>
          <w:p>
            <w:pPr>
              <w:spacing w:after="0"/>
              <w:rPr>
                <w:sz w:val="18"/>
                <w:szCs w:val="18"/>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229"/>
        </w:trPr>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20" w:type="dxa"/>
            <w:vAlign w:val="bottom"/>
          </w:tcPr>
          <w:p>
            <w:pPr>
              <w:spacing w:after="0"/>
              <w:rPr>
                <w:sz w:val="19"/>
                <w:szCs w:val="19"/>
                <w:color w:val="auto"/>
              </w:rPr>
            </w:pPr>
          </w:p>
        </w:tc>
      </w:tr>
      <w:tr>
        <w:trPr>
          <w:trHeight w:val="257"/>
        </w:trPr>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1"/>
              </w:rPr>
              <w:t>Commission File Number 1-14959</w:t>
            </w:r>
          </w:p>
        </w:tc>
      </w:tr>
      <w:tr>
        <w:trPr>
          <w:trHeight w:val="627"/>
        </w:trPr>
        <w:tc>
          <w:tcPr>
            <w:tcW w:w="96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Wisconsin</w:t>
            </w:r>
          </w:p>
        </w:tc>
        <w:tc>
          <w:tcPr>
            <w:tcW w:w="5840" w:type="dxa"/>
            <w:vAlign w:val="bottom"/>
            <w:gridSpan w:val="3"/>
          </w:tcPr>
          <w:p>
            <w:pPr>
              <w:jc w:val="center"/>
              <w:ind w:left="4720"/>
              <w:spacing w:after="0"/>
              <w:rPr>
                <w:sz w:val="20"/>
                <w:szCs w:val="20"/>
                <w:color w:val="auto"/>
              </w:rPr>
            </w:pPr>
            <w:r>
              <w:rPr>
                <w:rFonts w:ascii="Arial" w:cs="Arial" w:eastAsia="Arial" w:hAnsi="Arial"/>
                <w:sz w:val="16"/>
                <w:szCs w:val="16"/>
                <w:b w:val="1"/>
                <w:bCs w:val="1"/>
                <w:color w:val="auto"/>
                <w:w w:val="91"/>
              </w:rPr>
              <w:t>39-0971239</w:t>
            </w:r>
          </w:p>
        </w:tc>
      </w:tr>
      <w:tr>
        <w:trPr>
          <w:trHeight w:val="161"/>
        </w:trPr>
        <w:tc>
          <w:tcPr>
            <w:tcW w:w="9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(State of</w:t>
            </w:r>
          </w:p>
        </w:tc>
        <w:tc>
          <w:tcPr>
            <w:tcW w:w="1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(IRS Employer</w:t>
            </w:r>
          </w:p>
        </w:tc>
      </w:tr>
      <w:tr>
        <w:trPr>
          <w:trHeight w:val="160"/>
        </w:trPr>
        <w:tc>
          <w:tcPr>
            <w:tcW w:w="960" w:type="dxa"/>
            <w:vAlign w:val="bottom"/>
          </w:tcPr>
          <w:p>
            <w:pPr>
              <w:jc w:val="center"/>
              <w:ind w:right="90"/>
              <w:spacing w:after="0"/>
              <w:rPr>
                <w:sz w:val="20"/>
                <w:szCs w:val="20"/>
                <w:color w:val="auto"/>
              </w:rPr>
            </w:pPr>
            <w:r>
              <w:rPr>
                <w:rFonts w:ascii="Arial" w:cs="Arial" w:eastAsia="Arial" w:hAnsi="Arial"/>
                <w:sz w:val="13"/>
                <w:szCs w:val="13"/>
                <w:b w:val="1"/>
                <w:bCs w:val="1"/>
                <w:color w:val="auto"/>
                <w:w w:val="90"/>
              </w:rPr>
              <w:t>Incorporation)</w:t>
            </w:r>
          </w:p>
        </w:tc>
        <w:tc>
          <w:tcPr>
            <w:tcW w:w="1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Identification No.)</w:t>
            </w:r>
          </w:p>
        </w:tc>
      </w:tr>
      <w:tr>
        <w:trPr>
          <w:trHeight w:val="193"/>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6555 West Good Hope Road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7"/>
        </w:trPr>
        <w:tc>
          <w:tcPr>
            <w:tcW w:w="960" w:type="dxa"/>
            <w:vAlign w:val="bottom"/>
          </w:tcPr>
          <w:p>
            <w:pPr>
              <w:spacing w:after="0"/>
              <w:rPr>
                <w:sz w:val="14"/>
                <w:szCs w:val="1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3"/>
                <w:szCs w:val="13"/>
                <w:b w:val="1"/>
                <w:bCs w:val="1"/>
                <w:color w:val="auto"/>
                <w:w w:val="89"/>
              </w:rPr>
              <w:t>(Address of Principal Executive Offices and Zip Code)</w:t>
            </w:r>
          </w:p>
        </w:tc>
      </w:tr>
      <w:tr>
        <w:trPr>
          <w:trHeight w:val="336"/>
        </w:trPr>
        <w:tc>
          <w:tcPr>
            <w:tcW w:w="960" w:type="dxa"/>
            <w:vAlign w:val="bottom"/>
          </w:tcPr>
          <w:p>
            <w:pPr>
              <w:spacing w:after="0"/>
              <w:rPr>
                <w:sz w:val="24"/>
                <w:szCs w:val="24"/>
                <w:color w:val="auto"/>
              </w:rPr>
            </w:pPr>
          </w:p>
        </w:tc>
        <w:tc>
          <w:tcPr>
            <w:tcW w:w="3620" w:type="dxa"/>
            <w:vAlign w:val="bottom"/>
            <w:gridSpan w:val="2"/>
          </w:tcPr>
          <w:p>
            <w:pPr>
              <w:jc w:val="center"/>
              <w:ind w:left="1000"/>
              <w:spacing w:after="0"/>
              <w:rPr>
                <w:sz w:val="20"/>
                <w:szCs w:val="20"/>
                <w:color w:val="auto"/>
              </w:rPr>
            </w:pPr>
            <w:r>
              <w:rPr>
                <w:rFonts w:ascii="Arial" w:cs="Arial" w:eastAsia="Arial" w:hAnsi="Arial"/>
                <w:sz w:val="16"/>
                <w:szCs w:val="16"/>
                <w:b w:val="1"/>
                <w:bCs w:val="1"/>
                <w:color w:val="auto"/>
                <w:w w:val="91"/>
              </w:rPr>
              <w:t>(414) 358-6600</w:t>
            </w:r>
          </w:p>
        </w:tc>
        <w:tc>
          <w:tcPr>
            <w:tcW w:w="222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40" w:type="dxa"/>
            <w:vAlign w:val="bottom"/>
            <w:gridSpan w:val="2"/>
          </w:tcPr>
          <w:p>
            <w:pPr>
              <w:jc w:val="center"/>
              <w:ind w:right="2156"/>
              <w:spacing w:after="0"/>
              <w:rPr>
                <w:sz w:val="20"/>
                <w:szCs w:val="20"/>
                <w:color w:val="auto"/>
              </w:rPr>
            </w:pPr>
            <w:r>
              <w:rPr>
                <w:rFonts w:ascii="Arial" w:cs="Arial" w:eastAsia="Arial" w:hAnsi="Arial"/>
                <w:sz w:val="13"/>
                <w:szCs w:val="13"/>
                <w:b w:val="1"/>
                <w:bCs w:val="1"/>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159385</wp:posOffset>
            </wp:positionV>
            <wp:extent cx="1600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3" w:lineRule="exact"/>
        <w:rPr>
          <w:sz w:val="24"/>
          <w:szCs w:val="24"/>
          <w:color w:val="auto"/>
        </w:rPr>
      </w:pPr>
    </w:p>
    <w:p>
      <w:pPr>
        <w:ind w:left="479"/>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319"/>
          </w:cols>
          <w:pgMar w:left="261" w:top="670" w:right="319" w:bottom="1440" w:gutter="0" w:footer="0" w:header="0"/>
        </w:sectPr>
      </w:pPr>
    </w:p>
    <w:bookmarkStart w:id="1" w:name="page2"/>
    <w:bookmarkEnd w:id="1"/>
    <w:p>
      <w:pPr>
        <w:ind w:left="20"/>
        <w:spacing w:after="0"/>
        <w:tabs>
          <w:tab w:leader="none" w:pos="940"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6" w:lineRule="exact"/>
        <w:rPr>
          <w:sz w:val="20"/>
          <w:szCs w:val="20"/>
          <w:color w:val="auto"/>
        </w:rPr>
      </w:pPr>
    </w:p>
    <w:p>
      <w:pPr>
        <w:ind w:right="20" w:firstLine="290"/>
        <w:spacing w:after="0" w:line="279" w:lineRule="auto"/>
        <w:rPr>
          <w:sz w:val="20"/>
          <w:szCs w:val="20"/>
          <w:color w:val="auto"/>
        </w:rPr>
      </w:pPr>
      <w:r>
        <w:rPr>
          <w:rFonts w:ascii="Arial" w:cs="Arial" w:eastAsia="Arial" w:hAnsi="Arial"/>
          <w:sz w:val="16"/>
          <w:szCs w:val="16"/>
          <w:color w:val="auto"/>
        </w:rPr>
        <w:t>On May 22, 2014, Brady Corporation (the “Company”) issued a press release announcing its fiscal 2014 third quarter financial results. A copy of the press release is being furnished to the Securities and Exchange Commission as Exhibit 99.1 attached hereto and is incorporated herein by reference.</w:t>
      </w:r>
    </w:p>
    <w:p>
      <w:pPr>
        <w:spacing w:after="0" w:line="103"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filed as Exhibits to this Report.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80" w:type="dxa"/>
            <w:vAlign w:val="bottom"/>
            <w:gridSpan w:val="2"/>
          </w:tcPr>
          <w:p>
            <w:pPr>
              <w:ind w:left="20"/>
              <w:spacing w:after="0"/>
              <w:rPr>
                <w:sz w:val="20"/>
                <w:szCs w:val="20"/>
                <w:color w:val="auto"/>
              </w:rPr>
            </w:pPr>
            <w:r>
              <w:rPr>
                <w:rFonts w:ascii="Arial" w:cs="Arial" w:eastAsia="Arial" w:hAnsi="Arial"/>
                <w:sz w:val="16"/>
                <w:szCs w:val="16"/>
                <w:color w:val="auto"/>
              </w:rPr>
              <w:t>Exhibit No. Description of Exhibit</w:t>
            </w:r>
          </w:p>
        </w:tc>
        <w:tc>
          <w:tcPr>
            <w:tcW w:w="0" w:type="dxa"/>
            <w:vAlign w:val="bottom"/>
          </w:tcPr>
          <w:p>
            <w:pPr>
              <w:spacing w:after="0"/>
              <w:rPr>
                <w:sz w:val="1"/>
                <w:szCs w:val="1"/>
                <w:color w:val="auto"/>
              </w:rPr>
            </w:pPr>
          </w:p>
        </w:tc>
      </w:tr>
      <w:tr>
        <w:trPr>
          <w:trHeight w:val="24"/>
        </w:trPr>
        <w:tc>
          <w:tcPr>
            <w:tcW w:w="58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0" w:type="dxa"/>
            <w:vAlign w:val="bottom"/>
          </w:tcPr>
          <w:p>
            <w:pPr>
              <w:ind w:left="20"/>
              <w:spacing w:after="0"/>
              <w:rPr>
                <w:sz w:val="20"/>
                <w:szCs w:val="20"/>
                <w:color w:val="auto"/>
              </w:rPr>
            </w:pPr>
            <w:r>
              <w:rPr>
                <w:rFonts w:ascii="Arial" w:cs="Arial" w:eastAsia="Arial" w:hAnsi="Arial"/>
                <w:sz w:val="16"/>
                <w:szCs w:val="16"/>
                <w:color w:val="auto"/>
              </w:rPr>
              <w:t>99.1</w:t>
            </w:r>
          </w:p>
        </w:tc>
        <w:tc>
          <w:tcPr>
            <w:tcW w:w="8100" w:type="dxa"/>
            <w:vAlign w:val="bottom"/>
            <w:vMerge w:val="restart"/>
          </w:tcPr>
          <w:p>
            <w:pPr>
              <w:ind w:left="280"/>
              <w:spacing w:after="0"/>
              <w:rPr>
                <w:sz w:val="20"/>
                <w:szCs w:val="20"/>
                <w:color w:val="auto"/>
              </w:rPr>
            </w:pPr>
            <w:r>
              <w:rPr>
                <w:rFonts w:ascii="Arial" w:cs="Arial" w:eastAsia="Arial" w:hAnsi="Arial"/>
                <w:sz w:val="16"/>
                <w:szCs w:val="16"/>
                <w:color w:val="auto"/>
              </w:rPr>
              <w:t>Press Release of Brady Corporation, dated May 22, 2014, relating to third quarter fiscal 2014 financial results.</w:t>
            </w:r>
          </w:p>
        </w:tc>
        <w:tc>
          <w:tcPr>
            <w:tcW w:w="0" w:type="dxa"/>
            <w:vAlign w:val="bottom"/>
          </w:tcPr>
          <w:p>
            <w:pPr>
              <w:spacing w:after="0"/>
              <w:rPr>
                <w:sz w:val="1"/>
                <w:szCs w:val="1"/>
                <w:color w:val="auto"/>
              </w:rPr>
            </w:pPr>
          </w:p>
        </w:tc>
      </w:tr>
      <w:tr>
        <w:trPr>
          <w:trHeight w:val="72"/>
        </w:trPr>
        <w:tc>
          <w:tcPr>
            <w:tcW w:w="580" w:type="dxa"/>
            <w:vAlign w:val="bottom"/>
          </w:tcPr>
          <w:p>
            <w:pPr>
              <w:spacing w:after="0"/>
              <w:rPr>
                <w:sz w:val="6"/>
                <w:szCs w:val="6"/>
                <w:color w:val="auto"/>
              </w:rPr>
            </w:pPr>
          </w:p>
        </w:tc>
        <w:tc>
          <w:tcPr>
            <w:tcW w:w="8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9"/>
        </w:trPr>
        <w:tc>
          <w:tcPr>
            <w:tcW w:w="580" w:type="dxa"/>
            <w:vAlign w:val="bottom"/>
          </w:tcPr>
          <w:p>
            <w:pPr>
              <w:ind w:left="20"/>
              <w:spacing w:after="0"/>
              <w:rPr>
                <w:sz w:val="20"/>
                <w:szCs w:val="20"/>
                <w:color w:val="auto"/>
              </w:rPr>
            </w:pPr>
            <w:r>
              <w:rPr>
                <w:rFonts w:ascii="Arial" w:cs="Arial" w:eastAsia="Arial" w:hAnsi="Arial"/>
                <w:sz w:val="16"/>
                <w:szCs w:val="16"/>
                <w:color w:val="auto"/>
              </w:rPr>
              <w:t>99.2</w:t>
            </w:r>
          </w:p>
        </w:tc>
        <w:tc>
          <w:tcPr>
            <w:tcW w:w="8100" w:type="dxa"/>
            <w:vAlign w:val="bottom"/>
          </w:tcPr>
          <w:p>
            <w:pPr>
              <w:ind w:left="280"/>
              <w:spacing w:after="0"/>
              <w:rPr>
                <w:sz w:val="20"/>
                <w:szCs w:val="20"/>
                <w:color w:val="auto"/>
              </w:rPr>
            </w:pPr>
            <w:r>
              <w:rPr>
                <w:rFonts w:ascii="Arial" w:cs="Arial" w:eastAsia="Arial" w:hAnsi="Arial"/>
                <w:sz w:val="16"/>
                <w:szCs w:val="16"/>
                <w:color w:val="auto"/>
                <w:w w:val="94"/>
              </w:rPr>
              <w:t>Informational slides provided by Brady Corporation, dated May 22, 2014, relating to third quarter fiscal 2014 financial</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8100" w:type="dxa"/>
            <w:vAlign w:val="bottom"/>
          </w:tcPr>
          <w:p>
            <w:pPr>
              <w:ind w:left="280"/>
              <w:spacing w:after="0"/>
              <w:rPr>
                <w:sz w:val="20"/>
                <w:szCs w:val="20"/>
                <w:color w:val="auto"/>
              </w:rPr>
            </w:pPr>
            <w:r>
              <w:rPr>
                <w:rFonts w:ascii="Arial" w:cs="Arial" w:eastAsia="Arial" w:hAnsi="Arial"/>
                <w:sz w:val="16"/>
                <w:szCs w:val="16"/>
                <w:color w:val="auto"/>
              </w:rPr>
              <w:t>results.</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5940" w:val="left"/>
        </w:tabs>
        <w:rPr>
          <w:sz w:val="20"/>
          <w:szCs w:val="20"/>
          <w:color w:val="auto"/>
        </w:rPr>
      </w:pPr>
      <w:r>
        <w:rPr>
          <w:rFonts w:ascii="Arial" w:cs="Arial" w:eastAsia="Arial" w:hAnsi="Arial"/>
          <w:sz w:val="16"/>
          <w:szCs w:val="16"/>
          <w:color w:val="auto"/>
        </w:rPr>
        <w:t>Date: May 22, 2014</w:t>
      </w:r>
      <w:r>
        <w:rPr>
          <w:sz w:val="20"/>
          <w:szCs w:val="20"/>
          <w:color w:val="auto"/>
        </w:rPr>
        <w:tab/>
      </w:r>
      <w:r>
        <w:rPr>
          <w:rFonts w:ascii="Arial" w:cs="Arial" w:eastAsia="Arial" w:hAnsi="Arial"/>
          <w:sz w:val="14"/>
          <w:szCs w:val="14"/>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29210</wp:posOffset>
            </wp:positionV>
            <wp:extent cx="3484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Thomas J. Felmer</w:t>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Interim President &amp; Chief Executive Officer and Chief Financial Officer</w:t>
      </w:r>
    </w:p>
    <w:p>
      <w:pPr>
        <w:sectPr>
          <w:pgSz w:w="11900" w:h="16838" w:orient="portrait"/>
          <w:cols w:equalWidth="0" w:num="1">
            <w:col w:w="11440"/>
          </w:cols>
          <w:pgMar w:left="240" w:top="682"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920" w:type="dxa"/>
            <w:vAlign w:val="bottom"/>
          </w:tcPr>
          <w:p>
            <w:pPr>
              <w:spacing w:after="0"/>
              <w:rPr>
                <w:sz w:val="17"/>
                <w:szCs w:val="17"/>
                <w:color w:val="auto"/>
              </w:rPr>
            </w:pPr>
          </w:p>
        </w:tc>
        <w:tc>
          <w:tcPr>
            <w:tcW w:w="7760" w:type="dxa"/>
            <w:vAlign w:val="bottom"/>
          </w:tcPr>
          <w:p>
            <w:pPr>
              <w:ind w:left="4200"/>
              <w:spacing w:after="0"/>
              <w:rPr>
                <w:sz w:val="20"/>
                <w:szCs w:val="20"/>
                <w:color w:val="auto"/>
              </w:rPr>
            </w:pPr>
            <w:r>
              <w:rPr>
                <w:rFonts w:ascii="Arial" w:cs="Arial" w:eastAsia="Arial" w:hAnsi="Arial"/>
                <w:sz w:val="16"/>
                <w:szCs w:val="16"/>
                <w:color w:val="auto"/>
              </w:rPr>
              <w:t>EXHIBIT INDEX</w:t>
            </w:r>
          </w:p>
        </w:tc>
        <w:tc>
          <w:tcPr>
            <w:tcW w:w="0" w:type="dxa"/>
            <w:vAlign w:val="bottom"/>
          </w:tcPr>
          <w:p>
            <w:pPr>
              <w:spacing w:after="0"/>
              <w:rPr>
                <w:sz w:val="1"/>
                <w:szCs w:val="1"/>
                <w:color w:val="auto"/>
              </w:rPr>
            </w:pPr>
          </w:p>
        </w:tc>
      </w:tr>
      <w:tr>
        <w:trPr>
          <w:trHeight w:val="511"/>
        </w:trPr>
        <w:tc>
          <w:tcPr>
            <w:tcW w:w="920" w:type="dxa"/>
            <w:vAlign w:val="bottom"/>
          </w:tcPr>
          <w:p>
            <w:pPr>
              <w:ind w:left="20"/>
              <w:spacing w:after="0"/>
              <w:rPr>
                <w:sz w:val="20"/>
                <w:szCs w:val="20"/>
                <w:color w:val="auto"/>
              </w:rPr>
            </w:pPr>
            <w:r>
              <w:rPr>
                <w:rFonts w:ascii="Arial" w:cs="Arial" w:eastAsia="Arial" w:hAnsi="Arial"/>
                <w:sz w:val="14"/>
                <w:szCs w:val="14"/>
                <w:color w:val="auto"/>
              </w:rPr>
              <w:t>EXHIBIT</w:t>
            </w:r>
          </w:p>
        </w:tc>
        <w:tc>
          <w:tcPr>
            <w:tcW w:w="7760" w:type="dxa"/>
            <w:vAlign w:val="bottom"/>
            <w:vMerge w:val="restart"/>
          </w:tcPr>
          <w:p>
            <w:pPr>
              <w:ind w:left="28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9"/>
        </w:trPr>
        <w:tc>
          <w:tcPr>
            <w:tcW w:w="920" w:type="dxa"/>
            <w:vAlign w:val="bottom"/>
          </w:tcPr>
          <w:p>
            <w:pPr>
              <w:ind w:left="20"/>
              <w:spacing w:after="0"/>
              <w:rPr>
                <w:sz w:val="20"/>
                <w:szCs w:val="20"/>
                <w:color w:val="auto"/>
              </w:rPr>
            </w:pPr>
            <w:r>
              <w:rPr>
                <w:rFonts w:ascii="Arial" w:cs="Arial" w:eastAsia="Arial" w:hAnsi="Arial"/>
                <w:sz w:val="14"/>
                <w:szCs w:val="14"/>
                <w:color w:val="auto"/>
              </w:rPr>
              <w:t>NUMBER</w:t>
            </w:r>
          </w:p>
        </w:tc>
        <w:tc>
          <w:tcPr>
            <w:tcW w:w="7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20" w:type="dxa"/>
            <w:vAlign w:val="bottom"/>
            <w:tcBorders>
              <w:bottom w:val="single" w:sz="8" w:color="auto"/>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6"/>
                <w:szCs w:val="16"/>
                <w:color w:val="auto"/>
              </w:rPr>
              <w:t>99.1</w:t>
            </w:r>
          </w:p>
        </w:tc>
        <w:tc>
          <w:tcPr>
            <w:tcW w:w="7760" w:type="dxa"/>
            <w:vAlign w:val="bottom"/>
            <w:vMerge w:val="restart"/>
          </w:tcPr>
          <w:p>
            <w:pPr>
              <w:ind w:left="280"/>
              <w:spacing w:after="0"/>
              <w:rPr>
                <w:sz w:val="20"/>
                <w:szCs w:val="20"/>
                <w:color w:val="auto"/>
              </w:rPr>
            </w:pPr>
            <w:r>
              <w:rPr>
                <w:rFonts w:ascii="Arial" w:cs="Arial" w:eastAsia="Arial" w:hAnsi="Arial"/>
                <w:sz w:val="16"/>
                <w:szCs w:val="16"/>
                <w:color w:val="auto"/>
                <w:w w:val="96"/>
              </w:rPr>
              <w:t>Press Release of Brady Corporation, dated May 22, 2014, relating to third quarter fiscal 2014 financial results.</w:t>
            </w:r>
          </w:p>
        </w:tc>
        <w:tc>
          <w:tcPr>
            <w:tcW w:w="0" w:type="dxa"/>
            <w:vAlign w:val="bottom"/>
          </w:tcPr>
          <w:p>
            <w:pPr>
              <w:spacing w:after="0"/>
              <w:rPr>
                <w:sz w:val="1"/>
                <w:szCs w:val="1"/>
                <w:color w:val="auto"/>
              </w:rPr>
            </w:pPr>
          </w:p>
        </w:tc>
      </w:tr>
      <w:tr>
        <w:trPr>
          <w:trHeight w:val="72"/>
        </w:trPr>
        <w:tc>
          <w:tcPr>
            <w:tcW w:w="920" w:type="dxa"/>
            <w:vAlign w:val="bottom"/>
          </w:tcPr>
          <w:p>
            <w:pPr>
              <w:spacing w:after="0"/>
              <w:rPr>
                <w:sz w:val="6"/>
                <w:szCs w:val="6"/>
                <w:color w:val="auto"/>
              </w:rPr>
            </w:pPr>
          </w:p>
        </w:tc>
        <w:tc>
          <w:tcPr>
            <w:tcW w:w="7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920" w:type="dxa"/>
            <w:vAlign w:val="bottom"/>
          </w:tcPr>
          <w:p>
            <w:pPr>
              <w:ind w:left="20"/>
              <w:spacing w:after="0"/>
              <w:rPr>
                <w:sz w:val="20"/>
                <w:szCs w:val="20"/>
                <w:color w:val="auto"/>
              </w:rPr>
            </w:pPr>
            <w:r>
              <w:rPr>
                <w:rFonts w:ascii="Arial" w:cs="Arial" w:eastAsia="Arial" w:hAnsi="Arial"/>
                <w:sz w:val="16"/>
                <w:szCs w:val="16"/>
                <w:color w:val="auto"/>
              </w:rPr>
              <w:t>99.2</w:t>
            </w:r>
          </w:p>
        </w:tc>
        <w:tc>
          <w:tcPr>
            <w:tcW w:w="7760" w:type="dxa"/>
            <w:vAlign w:val="bottom"/>
          </w:tcPr>
          <w:p>
            <w:pPr>
              <w:ind w:left="280"/>
              <w:spacing w:after="0"/>
              <w:rPr>
                <w:sz w:val="20"/>
                <w:szCs w:val="20"/>
                <w:color w:val="auto"/>
              </w:rPr>
            </w:pPr>
            <w:r>
              <w:rPr>
                <w:rFonts w:ascii="Arial" w:cs="Arial" w:eastAsia="Arial" w:hAnsi="Arial"/>
                <w:sz w:val="16"/>
                <w:szCs w:val="16"/>
                <w:color w:val="auto"/>
                <w:w w:val="98"/>
              </w:rPr>
              <w:t>Informational slides provided by Brady Corporation, dated May 22, 2014, relating to third quarter fiscal 2014</w:t>
            </w: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7760" w:type="dxa"/>
            <w:vAlign w:val="bottom"/>
          </w:tcPr>
          <w:p>
            <w:pPr>
              <w:ind w:left="28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bl>
    <w:p>
      <w:pPr>
        <w:sectPr>
          <w:pgSz w:w="11900" w:h="16838" w:orient="portrait"/>
          <w:cols w:equalWidth="0" w:num="1">
            <w:col w:w="10219"/>
          </w:cols>
          <w:pgMar w:left="240" w:top="73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7" w:lineRule="auto"/>
        <w:rPr>
          <w:sz w:val="20"/>
          <w:szCs w:val="20"/>
          <w:color w:val="auto"/>
        </w:rPr>
      </w:pPr>
      <w:r>
        <w:rPr>
          <w:rFonts w:ascii="Arial" w:cs="Arial" w:eastAsia="Arial" w:hAnsi="Arial"/>
          <w:sz w:val="18"/>
          <w:szCs w:val="18"/>
          <w:color w:val="auto"/>
        </w:rPr>
        <w:t>Investor contact: Aaron Pearce 414-438-6895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2014 Third Quarter Results</w:t>
      </w:r>
    </w:p>
    <w:p>
      <w:pPr>
        <w:spacing w:after="0" w:line="245" w:lineRule="exact"/>
        <w:rPr>
          <w:sz w:val="20"/>
          <w:szCs w:val="20"/>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Third quarter organic revenue growth was 2.5 percent.</w:t>
      </w:r>
    </w:p>
    <w:p>
      <w:pPr>
        <w:spacing w:after="0" w:line="94" w:lineRule="exact"/>
        <w:rPr>
          <w:rFonts w:ascii="Arial" w:cs="Arial" w:eastAsia="Arial" w:hAnsi="Arial"/>
          <w:sz w:val="16"/>
          <w:szCs w:val="16"/>
          <w:color w:val="auto"/>
        </w:rPr>
      </w:pPr>
    </w:p>
    <w:p>
      <w:pPr>
        <w:jc w:val="both"/>
        <w:ind w:left="580" w:right="2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GAAP earnings from continuing operations per diluted Class A Nonvoting Common Share were $0.39 in the third quarter of fiscal 2014 compared to $0.42 in the same quarter of the prior year. Non-GAAP earnings from continuing operations per diluted Class A Nonvoting Common Share* were $0.43 during the third quarter ended April 30, 2014 compared to $0.55 in the same quarter of the prior year.</w:t>
      </w:r>
    </w:p>
    <w:p>
      <w:pPr>
        <w:spacing w:after="0" w:line="1"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Brady repurchased approximately 893,000 shares in the third quarter for a total of $23.3 million.</w:t>
      </w:r>
    </w:p>
    <w:p>
      <w:pPr>
        <w:spacing w:after="0" w:line="94"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7"/>
          <w:szCs w:val="17"/>
          <w:color w:val="auto"/>
        </w:rPr>
        <w:t>On May 1, 2014, Brady received $53 million of cash in connection with the completion of the first phase of the divestiture of the die-cut business.</w:t>
      </w:r>
    </w:p>
    <w:p>
      <w:pPr>
        <w:spacing w:after="0" w:line="200" w:lineRule="exact"/>
        <w:rPr>
          <w:sz w:val="20"/>
          <w:szCs w:val="20"/>
          <w:color w:val="auto"/>
        </w:rPr>
      </w:pPr>
    </w:p>
    <w:p>
      <w:pPr>
        <w:spacing w:after="0" w:line="208" w:lineRule="exact"/>
        <w:rPr>
          <w:sz w:val="20"/>
          <w:szCs w:val="20"/>
          <w:color w:val="auto"/>
        </w:rPr>
      </w:pPr>
    </w:p>
    <w:p>
      <w:pPr>
        <w:jc w:val="both"/>
        <w:ind w:right="20"/>
        <w:spacing w:after="0" w:line="368" w:lineRule="auto"/>
        <w:rPr>
          <w:sz w:val="20"/>
          <w:szCs w:val="20"/>
          <w:color w:val="auto"/>
        </w:rPr>
      </w:pPr>
      <w:r>
        <w:rPr>
          <w:rFonts w:ascii="Arial" w:cs="Arial" w:eastAsia="Arial" w:hAnsi="Arial"/>
          <w:sz w:val="18"/>
          <w:szCs w:val="18"/>
          <w:color w:val="auto"/>
        </w:rPr>
        <w:t>MILWAUKEE (May 22, 2014)--Brady Corporation (NYSE: BRC) (“Brady” or “Company”), a world leader in identification solutions, today reported its financial results for the fiscal 2014 third quarter ended April 30, 2014.</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April 30, 2014 Financial Results:</w:t>
      </w:r>
    </w:p>
    <w:p>
      <w:pPr>
        <w:spacing w:after="0" w:line="101" w:lineRule="exact"/>
        <w:rPr>
          <w:sz w:val="20"/>
          <w:szCs w:val="20"/>
          <w:color w:val="auto"/>
        </w:rPr>
      </w:pPr>
    </w:p>
    <w:p>
      <w:pPr>
        <w:jc w:val="both"/>
        <w:ind w:right="20" w:firstLine="579"/>
        <w:spacing w:after="0" w:line="349" w:lineRule="auto"/>
        <w:rPr>
          <w:sz w:val="20"/>
          <w:szCs w:val="20"/>
          <w:color w:val="auto"/>
        </w:rPr>
      </w:pPr>
      <w:r>
        <w:rPr>
          <w:rFonts w:ascii="Arial" w:cs="Arial" w:eastAsia="Arial" w:hAnsi="Arial"/>
          <w:sz w:val="18"/>
          <w:szCs w:val="18"/>
          <w:color w:val="auto"/>
        </w:rPr>
        <w:t>Sales from continuing operations for the quarter ended April 30, 2014 increased 2.3 percent to $309.6 million compared to the third quarter of fiscal 2013. Total organic sales increased 2.5 percent.</w:t>
      </w:r>
    </w:p>
    <w:p>
      <w:pPr>
        <w:spacing w:after="0" w:line="1" w:lineRule="exact"/>
        <w:rPr>
          <w:sz w:val="20"/>
          <w:szCs w:val="20"/>
          <w:color w:val="auto"/>
        </w:rPr>
      </w:pPr>
    </w:p>
    <w:p>
      <w:pPr>
        <w:jc w:val="both"/>
        <w:ind w:right="20" w:firstLine="579"/>
        <w:spacing w:after="0" w:line="349" w:lineRule="auto"/>
        <w:rPr>
          <w:sz w:val="20"/>
          <w:szCs w:val="20"/>
          <w:color w:val="auto"/>
        </w:rPr>
      </w:pPr>
      <w:r>
        <w:rPr>
          <w:rFonts w:ascii="Arial" w:cs="Arial" w:eastAsia="Arial" w:hAnsi="Arial"/>
          <w:sz w:val="18"/>
          <w:szCs w:val="18"/>
          <w:color w:val="auto"/>
        </w:rPr>
        <w:t>Net earnings from continuing operations for the quarter ended April 30, 2014 were $20.2 million compared to $21.7 million in the same quarter last year. The income tax rate on continuing operations in the third quarter of fiscal 2014 was approximately 16.8 percent compared to 22.4 percent in the third quarter of fiscal 2013. Non-GAAP net earnings from continuing operations* for the fiscal 2014 third quarter ended April 30, 2014, were $22.3 million compared to $28.5 million in the same quarter last year.</w:t>
      </w:r>
    </w:p>
    <w:p>
      <w:pPr>
        <w:spacing w:after="0" w:line="2" w:lineRule="exact"/>
        <w:rPr>
          <w:sz w:val="20"/>
          <w:szCs w:val="20"/>
          <w:color w:val="auto"/>
        </w:rPr>
      </w:pPr>
    </w:p>
    <w:p>
      <w:pPr>
        <w:jc w:val="both"/>
        <w:ind w:right="20" w:firstLine="579"/>
        <w:spacing w:after="0" w:line="359" w:lineRule="auto"/>
        <w:rPr>
          <w:sz w:val="20"/>
          <w:szCs w:val="20"/>
          <w:color w:val="auto"/>
        </w:rPr>
      </w:pPr>
      <w:r>
        <w:rPr>
          <w:rFonts w:ascii="Arial" w:cs="Arial" w:eastAsia="Arial" w:hAnsi="Arial"/>
          <w:sz w:val="18"/>
          <w:szCs w:val="18"/>
          <w:color w:val="auto"/>
        </w:rPr>
        <w:t>Net earnings from continuing operations per Class A Nonvoting Common Share were $0.39 for the third quarter ended April 30, 2014 compared to $0.42 in the same quarter last year. Non-GAAP earnings from continuing operations per diluted Class A Nonvoting Common Share* were $0.43 in the third quarter of fiscal 2014 and $0.55 per share in the third quarter of fiscal 2013.</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Nine-Month Period Ended April 30, 2014 Financial Results:</w:t>
      </w:r>
    </w:p>
    <w:p>
      <w:pPr>
        <w:spacing w:after="0" w:line="101" w:lineRule="exact"/>
        <w:rPr>
          <w:sz w:val="20"/>
          <w:szCs w:val="20"/>
          <w:color w:val="auto"/>
        </w:rPr>
      </w:pPr>
    </w:p>
    <w:p>
      <w:pPr>
        <w:jc w:val="both"/>
        <w:ind w:right="20" w:firstLine="579"/>
        <w:spacing w:after="0" w:line="368" w:lineRule="auto"/>
        <w:rPr>
          <w:sz w:val="20"/>
          <w:szCs w:val="20"/>
          <w:color w:val="auto"/>
        </w:rPr>
      </w:pPr>
      <w:r>
        <w:rPr>
          <w:rFonts w:ascii="Arial" w:cs="Arial" w:eastAsia="Arial" w:hAnsi="Arial"/>
          <w:sz w:val="18"/>
          <w:szCs w:val="18"/>
          <w:color w:val="auto"/>
        </w:rPr>
        <w:t>Sales from continuing operations for the nine-month period ended April 30, 2014 were up 7.2 percent to $908.3 million. Organic sales were down 0.1 percent. By segment, organic sales were up 3.6 percent in Identification Solutions and down 6.3 percent in Workplace Safety.</w:t>
      </w:r>
    </w:p>
    <w:p>
      <w:pPr>
        <w:sectPr>
          <w:pgSz w:w="11900" w:h="16838" w:orient="portrait"/>
          <w:cols w:equalWidth="0" w:num="1">
            <w:col w:w="11440"/>
          </w:cols>
          <w:pgMar w:left="240" w:top="734" w:right="219" w:bottom="1440" w:gutter="0" w:footer="0" w:header="0"/>
        </w:sectPr>
      </w:pPr>
    </w:p>
    <w:bookmarkStart w:id="4" w:name="page5"/>
    <w:bookmarkEnd w:id="4"/>
    <w:p>
      <w:pPr>
        <w:jc w:val="both"/>
        <w:ind w:right="20" w:firstLine="579"/>
        <w:spacing w:after="0" w:line="349" w:lineRule="auto"/>
        <w:rPr>
          <w:sz w:val="20"/>
          <w:szCs w:val="20"/>
          <w:color w:val="auto"/>
        </w:rPr>
      </w:pPr>
      <w:r>
        <w:rPr>
          <w:rFonts w:ascii="Arial" w:cs="Arial" w:eastAsia="Arial" w:hAnsi="Arial"/>
          <w:sz w:val="18"/>
          <w:szCs w:val="18"/>
          <w:color w:val="auto"/>
        </w:rPr>
        <w:t>Net earnings from continuing operations for the nine-month period ended April 30, 2014, were $48.8 million compared to $37.3 million in the same nine-month period last year. Non-GAAP net earnings from continuing operations* for the nine-month period ended April 30, 2014, were $58.5 million compared to $74.7 million in the same nine-month period last year.</w:t>
      </w:r>
    </w:p>
    <w:p>
      <w:pPr>
        <w:spacing w:after="0" w:line="2" w:lineRule="exact"/>
        <w:rPr>
          <w:sz w:val="20"/>
          <w:szCs w:val="20"/>
          <w:color w:val="auto"/>
        </w:rPr>
      </w:pPr>
    </w:p>
    <w:p>
      <w:pPr>
        <w:jc w:val="both"/>
        <w:ind w:firstLine="579"/>
        <w:spacing w:after="0" w:line="387" w:lineRule="auto"/>
        <w:rPr>
          <w:sz w:val="20"/>
          <w:szCs w:val="20"/>
          <w:color w:val="auto"/>
        </w:rPr>
      </w:pPr>
      <w:r>
        <w:rPr>
          <w:rFonts w:ascii="Arial" w:cs="Arial" w:eastAsia="Arial" w:hAnsi="Arial"/>
          <w:sz w:val="17"/>
          <w:szCs w:val="17"/>
          <w:color w:val="auto"/>
        </w:rPr>
        <w:t>Net earnings from continuing operations per Class A Nonvoting Common Share were $0.93 for the nine-month period ended April 30, 2014 compared to $0.72 in the same nine-month period last year. Non-GAAP earnings from continuing operations per diluted Class A Nonvoting Common Share* were $1.12 in the nine-month period ended April 30, 2014 and $1.44 per share in the same period of the previous fiscal year.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 and Guidance:</w:t>
      </w:r>
    </w:p>
    <w:p>
      <w:pPr>
        <w:spacing w:after="0" w:line="101" w:lineRule="exact"/>
        <w:rPr>
          <w:sz w:val="20"/>
          <w:szCs w:val="20"/>
          <w:color w:val="auto"/>
        </w:rPr>
      </w:pPr>
    </w:p>
    <w:p>
      <w:pPr>
        <w:jc w:val="both"/>
        <w:ind w:firstLine="579"/>
        <w:spacing w:after="0" w:line="431" w:lineRule="auto"/>
        <w:rPr>
          <w:sz w:val="20"/>
          <w:szCs w:val="20"/>
          <w:color w:val="auto"/>
        </w:rPr>
      </w:pPr>
      <w:r>
        <w:rPr>
          <w:rFonts w:ascii="Arial" w:cs="Arial" w:eastAsia="Arial" w:hAnsi="Arial"/>
          <w:sz w:val="15"/>
          <w:szCs w:val="15"/>
          <w:color w:val="auto"/>
        </w:rPr>
        <w:t>“We were encouraged by our revenue growth in the third quarter. We believe that our investments to drive organic growth are paying off as organic sales grew 2.5 percent this quarter. Organic sales were up 4.8 percent in Identification Solutions and down 1.9 percent in Workplace Safety this quarter. This 1.9 percent decline in our Workplace Safety business is a much smaller rate of decline compared to previous quarters as we continue to add new customers, increase revenues over the internet and have recently returned our catalog advertising to historical levels,” said Brady’s Chief Financial Officer and Interim President and Chief Executive Officer, Thomas J. Felmer. “Our strong balance sheet enabled us to repurchase approximately 893,000 shares of Brady’s stock at an average price of $26.14 per share during the quarter ended April 30, 2014 and on May 1, 2014, we received $53 million of cash as we completed the first phase of our Die-Cut divestiture, closing on the sale of businesses in Germany, Thailand, Korea and Malaysia.”</w:t>
      </w:r>
    </w:p>
    <w:p>
      <w:pPr>
        <w:spacing w:after="0" w:line="87" w:lineRule="exact"/>
        <w:rPr>
          <w:sz w:val="20"/>
          <w:szCs w:val="20"/>
          <w:color w:val="auto"/>
        </w:rPr>
      </w:pPr>
    </w:p>
    <w:p>
      <w:pPr>
        <w:jc w:val="both"/>
        <w:ind w:right="20" w:firstLine="579"/>
        <w:spacing w:after="0" w:line="359" w:lineRule="auto"/>
        <w:rPr>
          <w:sz w:val="20"/>
          <w:szCs w:val="20"/>
          <w:color w:val="auto"/>
        </w:rPr>
      </w:pPr>
      <w:r>
        <w:rPr>
          <w:rFonts w:ascii="Arial" w:cs="Arial" w:eastAsia="Arial" w:hAnsi="Arial"/>
          <w:sz w:val="18"/>
          <w:szCs w:val="18"/>
          <w:color w:val="auto"/>
        </w:rPr>
        <w:t>Felmer continued, “We anticipate low single-digit organic sales growth from continuing operations in the fourth quarter of fiscal 2014 and we expect net earnings from continuing operations per diluted Class A Nonvoting Common Share to range from $0.45 to $0.55, exclusive of restructuring charges and certain other items.”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2014 third quarter financial results will be available at </w:t>
      </w:r>
      <w:r>
        <w:rPr>
          <w:rFonts w:ascii="Arial" w:cs="Arial" w:eastAsia="Arial" w:hAnsi="Arial"/>
          <w:sz w:val="15"/>
          <w:szCs w:val="15"/>
          <w:u w:val="single" w:color="auto"/>
          <w:color w:val="0000FF"/>
        </w:rPr>
        <w:t>www.bradycorp.com</w:t>
      </w:r>
      <w:r>
        <w:rPr>
          <w:rFonts w:ascii="Arial" w:cs="Arial" w:eastAsia="Arial" w:hAnsi="Arial"/>
          <w:sz w:val="15"/>
          <w:szCs w:val="15"/>
          <w:color w:val="auto"/>
        </w:rPr>
        <w:t xml:space="preserve"> beginning at 9:30 a.m. Central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pacing w:after="0" w:line="239" w:lineRule="exact"/>
        <w:rPr>
          <w:sz w:val="20"/>
          <w:szCs w:val="20"/>
          <w:color w:val="auto"/>
        </w:rPr>
      </w:pPr>
    </w:p>
    <w:p>
      <w:pPr>
        <w:jc w:val="both"/>
        <w:ind w:firstLine="579"/>
        <w:spacing w:after="0" w:line="433" w:lineRule="auto"/>
        <w:rPr>
          <w:sz w:val="20"/>
          <w:szCs w:val="20"/>
          <w:color w:val="auto"/>
        </w:rPr>
      </w:pPr>
      <w:r>
        <w:rPr>
          <w:rFonts w:ascii="Arial" w:cs="Arial" w:eastAsia="Arial" w:hAnsi="Arial"/>
          <w:sz w:val="15"/>
          <w:szCs w:val="15"/>
          <w:color w:val="auto"/>
        </w:rPr>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signs, safety devices, printing systems and software, and precision die-cut materials. Founded in 1914, the company has a diverse customer base in electronics, telecommunications, manufacturing, electrical, construction, education, medical and a variety of other industries. Brady is headquartered in Milwaukee, Wisconsin and as of July 31, 2013, employed approximately 7,400 people in its worldwide businesses. Brady’s fiscal 2013 sales were approximately $1.15 billion. Brady stock trades on the New York Stock Exchange under the symbol BRC. More information is available on the Internet at </w:t>
      </w:r>
      <w:r>
        <w:rPr>
          <w:rFonts w:ascii="Arial" w:cs="Arial" w:eastAsia="Arial" w:hAnsi="Arial"/>
          <w:sz w:val="15"/>
          <w:szCs w:val="15"/>
          <w:u w:val="single" w:color="auto"/>
          <w:color w:val="0000FF"/>
        </w:rPr>
        <w:t>www.bradycorp.com.</w:t>
      </w:r>
    </w:p>
    <w:p>
      <w:pPr>
        <w:spacing w:after="0" w:line="3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See accompanying notes for non-GAAP measures.</w:t>
      </w:r>
    </w:p>
    <w:p>
      <w:pPr>
        <w:sectPr>
          <w:pgSz w:w="11900" w:h="16838" w:orient="portrait"/>
          <w:cols w:equalWidth="0" w:num="1">
            <w:col w:w="11440"/>
          </w:cols>
          <w:pgMar w:left="240" w:top="583"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Implementation of the Workplace Safety strategy; the length or severity of the current worldwide economic downturn or timing or strength of a subsequent recovery; future financial performance of major markets Brady serves, which include, without limitation, telecommunications, hard disk drive, manufacturing, electrical, construction, laboratory, education, governmental, public utility, computer, healthcare and transportation; future competition; changes in the supply of, or price for, parts and components; increased price pressure from suppliers and customers; Brady's ability to retain significant contracts and customers; fluctuations in currency rates versus the U.S. dollar; risks associated with international operations; difficulties associated with exports; risks associated with obtaining governmental approvals and maintaining regulatory compliance; Brady's ability to develop and successfully market new products; risks associated with identifying, completing, and integrating acquisitions; risks associated with divestitures and businesses held for sale; risks associated with restructuring plans; environmental, health and safety compliance costs and liabilities; risk associated with loss of key talent; risk associated with product liability claims; technology changes and potential security violations to the Company's information technology systems; Brady's ability to maintain compliance with its debt covenants; increase in our level of debt; potential write-offs of Brady's substantial intangible assets; unforeseen tax consequences; risk, associated with our ownership structure;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2013.</w:t>
      </w:r>
    </w:p>
    <w:p>
      <w:pPr>
        <w:spacing w:after="0" w:line="150"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40"/>
          </w:cols>
          <w:pgMar w:left="240" w:top="885" w:right="2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EARNINGS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jc w:val="center"/>
              <w:ind w:left="488"/>
              <w:spacing w:after="0"/>
              <w:rPr>
                <w:sz w:val="20"/>
                <w:szCs w:val="20"/>
                <w:color w:val="auto"/>
              </w:rPr>
            </w:pPr>
            <w:r>
              <w:rPr>
                <w:rFonts w:ascii="Arial" w:cs="Arial" w:eastAsia="Arial" w:hAnsi="Arial"/>
                <w:sz w:val="14"/>
                <w:szCs w:val="14"/>
                <w:color w:val="auto"/>
                <w:w w:val="95"/>
              </w:rPr>
              <w:t>(Unaudited)</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(Unaudited)</w:t>
            </w:r>
          </w:p>
        </w:tc>
        <w:tc>
          <w:tcPr>
            <w:tcW w:w="7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r>
      <w:tr>
        <w:trPr>
          <w:trHeight w:val="191"/>
        </w:trPr>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5"/>
          </w:tcPr>
          <w:p>
            <w:pPr>
              <w:jc w:val="center"/>
              <w:ind w:right="260"/>
              <w:spacing w:after="0"/>
              <w:rPr>
                <w:sz w:val="20"/>
                <w:szCs w:val="20"/>
                <w:color w:val="auto"/>
              </w:rPr>
            </w:pPr>
            <w:r>
              <w:rPr>
                <w:rFonts w:ascii="Arial" w:cs="Arial" w:eastAsia="Arial" w:hAnsi="Arial"/>
                <w:sz w:val="14"/>
                <w:szCs w:val="14"/>
                <w:color w:val="auto"/>
                <w:w w:val="94"/>
              </w:rPr>
              <w:t>Three months ended April 30,</w:t>
            </w:r>
          </w:p>
        </w:tc>
        <w:tc>
          <w:tcPr>
            <w:tcW w:w="200" w:type="dxa"/>
            <w:vAlign w:val="bottom"/>
          </w:tcPr>
          <w:p>
            <w:pPr>
              <w:spacing w:after="0"/>
              <w:rPr>
                <w:sz w:val="16"/>
                <w:szCs w:val="16"/>
                <w:color w:val="auto"/>
              </w:rPr>
            </w:pPr>
          </w:p>
        </w:tc>
        <w:tc>
          <w:tcPr>
            <w:tcW w:w="2040" w:type="dxa"/>
            <w:vAlign w:val="bottom"/>
            <w:gridSpan w:val="4"/>
          </w:tcPr>
          <w:p>
            <w:pPr>
              <w:jc w:val="right"/>
              <w:ind w:right="188"/>
              <w:spacing w:after="0"/>
              <w:rPr>
                <w:sz w:val="20"/>
                <w:szCs w:val="20"/>
                <w:color w:val="auto"/>
              </w:rPr>
            </w:pPr>
            <w:r>
              <w:rPr>
                <w:rFonts w:ascii="Arial" w:cs="Arial" w:eastAsia="Arial" w:hAnsi="Arial"/>
                <w:sz w:val="14"/>
                <w:szCs w:val="14"/>
                <w:color w:val="auto"/>
                <w:w w:val="99"/>
              </w:rPr>
              <w:t>Nine months ended April 30,</w:t>
            </w:r>
          </w:p>
        </w:tc>
      </w:tr>
      <w:tr>
        <w:trPr>
          <w:trHeight w:val="30"/>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3"/>
        </w:trPr>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color w:val="auto"/>
                <w:w w:val="96"/>
              </w:rPr>
              <w:t>2013</w:t>
            </w:r>
          </w:p>
        </w:tc>
      </w:tr>
      <w:tr>
        <w:trPr>
          <w:trHeight w:val="30"/>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309,577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302,483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908,301</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847,200</w:t>
            </w: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154,457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143,082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452,797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395,723</w:t>
            </w:r>
          </w:p>
        </w:tc>
      </w:tr>
      <w:tr>
        <w:trPr>
          <w:trHeight w:val="30"/>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Gross margin</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155,120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159,401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455,504</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451,477</w:t>
            </w: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Research and development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8,648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8,062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25,675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24,162</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116,666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111,864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340,825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320,874</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Restructuring charges</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3,039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8,540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14,202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10,473</w:t>
            </w:r>
          </w:p>
        </w:tc>
      </w:tr>
      <w:tr>
        <w:trPr>
          <w:trHeight w:val="191"/>
        </w:trPr>
        <w:tc>
          <w:tcPr>
            <w:tcW w:w="410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128,353</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128,466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380,702</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355,509</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7"/>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26,767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30,935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74,802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95,968</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7"/>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Other income and (expense):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Investment and other income</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872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1,133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1,887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2,427</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(3,381)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(10,777)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(12,755)</w:t>
            </w:r>
          </w:p>
        </w:tc>
      </w:tr>
      <w:tr>
        <w:trPr>
          <w:trHeight w:val="30"/>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24,258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27,882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65,912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85,640</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7"/>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4,074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6,202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17,077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48,340</w:t>
            </w:r>
          </w:p>
        </w:tc>
      </w:tr>
      <w:tr>
        <w:trPr>
          <w:trHeight w:val="30"/>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20,184</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21,680</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48,835</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37,300</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7"/>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w w:val="99"/>
              </w:rPr>
              <w:t>Earnings (loss) from discontinued operations, net of income taxes</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3,904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(17,447)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15,606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(14,564)</w:t>
            </w:r>
          </w:p>
        </w:tc>
      </w:tr>
      <w:tr>
        <w:trPr>
          <w:trHeight w:val="30"/>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61"/>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24,088</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4,233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64,441</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22,736</w:t>
            </w:r>
          </w:p>
        </w:tc>
      </w:tr>
      <w:tr>
        <w:trPr>
          <w:trHeight w:val="201"/>
        </w:trPr>
        <w:tc>
          <w:tcPr>
            <w:tcW w:w="4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 per Class A Nonvoting</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Common Share: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0.94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0.72</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0.39</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0.93</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0.72</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7"/>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 per Class B Voting Common</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Share: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0.92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0.71</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0.39</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0.92</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0.70</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7"/>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w w:val="96"/>
              </w:rPr>
              <w:t>Earnings (loss) from discontinued operations per Class A Nonvoting</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Common Share: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(0.28)</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0.07</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0.30</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(0.28)</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7"/>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Earnings (loss) from discontinued operations per Class B Voting</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Common Share: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(0.29)</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0.07</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0.29</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(0.28)</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7"/>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Net earnings per Class A Nonvoting Common Share: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0.44</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0.46</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0.44</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Dividends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0.195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0.585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0.57</w:t>
            </w:r>
          </w:p>
        </w:tc>
      </w:tr>
      <w:tr>
        <w:trPr>
          <w:trHeight w:val="217"/>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per Class B Voting Common Share:</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0.46</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0.42</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0.42</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Dividends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0.195</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0.568</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0.553</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7"/>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(in thousands):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51,933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51,415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52,071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51,210</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52,000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52,041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52,304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51,685</w:t>
            </w:r>
          </w:p>
        </w:tc>
      </w:tr>
    </w:tbl>
    <w:p>
      <w:pPr>
        <w:sectPr>
          <w:pgSz w:w="11900" w:h="16838" w:orient="portrait"/>
          <w:cols w:equalWidth="0" w:num="1">
            <w:col w:w="10219"/>
          </w:cols>
          <w:pgMar w:left="240" w:top="537" w:right="1440" w:bottom="966"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4"/>
          </w:tcPr>
          <w:p>
            <w:pPr>
              <w:jc w:val="right"/>
              <w:ind w:right="868"/>
              <w:spacing w:after="0"/>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April 30, 2014</w:t>
            </w:r>
          </w:p>
        </w:tc>
        <w:tc>
          <w:tcPr>
            <w:tcW w:w="160" w:type="dxa"/>
            <w:vAlign w:val="bottom"/>
          </w:tcPr>
          <w:p>
            <w:pPr>
              <w:spacing w:after="0"/>
              <w:rPr>
                <w:sz w:val="17"/>
                <w:szCs w:val="17"/>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July 31, 2013</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jc w:val="center"/>
              <w:ind w:right="2720"/>
              <w:spacing w:after="0" w:line="149" w:lineRule="exact"/>
              <w:rPr>
                <w:sz w:val="20"/>
                <w:szCs w:val="20"/>
                <w:color w:val="auto"/>
              </w:rPr>
            </w:pPr>
            <w:r>
              <w:rPr>
                <w:rFonts w:ascii="Arial" w:cs="Arial" w:eastAsia="Arial" w:hAnsi="Arial"/>
                <w:sz w:val="14"/>
                <w:szCs w:val="14"/>
                <w:b w:val="1"/>
                <w:bCs w:val="1"/>
                <w:color w:val="auto"/>
                <w:w w:val="96"/>
              </w:rPr>
              <w:t>ASSETS</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20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Current assets: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78,715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91,058</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Accounts receivable—net</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178,197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169,261</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gridSpan w:val="5"/>
          </w:tcPr>
          <w:p>
            <w:pPr>
              <w:ind w:left="620"/>
              <w:spacing w:after="0"/>
              <w:rPr>
                <w:sz w:val="20"/>
                <w:szCs w:val="20"/>
                <w:color w:val="auto"/>
              </w:rPr>
            </w:pPr>
            <w:r>
              <w:rPr>
                <w:rFonts w:ascii="Arial" w:cs="Arial" w:eastAsia="Arial" w:hAnsi="Arial"/>
                <w:sz w:val="14"/>
                <w:szCs w:val="14"/>
                <w:color w:val="auto"/>
              </w:rPr>
              <w:t>Finished products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71,397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64,544</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color w:val="auto"/>
              </w:rPr>
              <w:t>Work-in-process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17,099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14,776</w:t>
            </w:r>
          </w:p>
        </w:tc>
        <w:tc>
          <w:tcPr>
            <w:tcW w:w="0" w:type="dxa"/>
            <w:vAlign w:val="bottom"/>
          </w:tcPr>
          <w:p>
            <w:pPr>
              <w:spacing w:after="0"/>
              <w:rPr>
                <w:sz w:val="1"/>
                <w:szCs w:val="1"/>
                <w:color w:val="auto"/>
              </w:rPr>
            </w:pPr>
          </w:p>
        </w:tc>
      </w:tr>
      <w:tr>
        <w:trPr>
          <w:trHeight w:val="211"/>
        </w:trPr>
        <w:tc>
          <w:tcPr>
            <w:tcW w:w="5960" w:type="dxa"/>
            <w:vAlign w:val="bottom"/>
            <w:gridSpan w:val="5"/>
          </w:tcPr>
          <w:p>
            <w:pPr>
              <w:ind w:left="620"/>
              <w:spacing w:after="0"/>
              <w:rPr>
                <w:sz w:val="20"/>
                <w:szCs w:val="20"/>
                <w:color w:val="auto"/>
              </w:rPr>
            </w:pPr>
            <w:r>
              <w:rPr>
                <w:rFonts w:ascii="Arial" w:cs="Arial" w:eastAsia="Arial" w:hAnsi="Arial"/>
                <w:sz w:val="14"/>
                <w:szCs w:val="14"/>
                <w:color w:val="auto"/>
              </w:rPr>
              <w:t>Raw materials and supplies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20,873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15,387</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960" w:type="dxa"/>
            <w:vAlign w:val="bottom"/>
            <w:tcBorders>
              <w:bottom w:val="single" w:sz="8" w:color="CCEEFF"/>
            </w:tcBorders>
            <w:gridSpan w:val="5"/>
            <w:shd w:val="clear" w:color="auto" w:fill="CCEEFF"/>
          </w:tcPr>
          <w:p>
            <w:pPr>
              <w:ind w:left="1000"/>
              <w:spacing w:after="0"/>
              <w:rPr>
                <w:sz w:val="20"/>
                <w:szCs w:val="20"/>
                <w:color w:val="auto"/>
              </w:rPr>
            </w:pPr>
            <w:r>
              <w:rPr>
                <w:rFonts w:ascii="Arial" w:cs="Arial" w:eastAsia="Arial" w:hAnsi="Arial"/>
                <w:sz w:val="14"/>
                <w:szCs w:val="14"/>
                <w:color w:val="auto"/>
              </w:rPr>
              <w:t>Total inventories</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109,369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94,707</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Assets held for sale</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109,540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119,864</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46,661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37,600</w:t>
            </w:r>
          </w:p>
        </w:tc>
        <w:tc>
          <w:tcPr>
            <w:tcW w:w="0" w:type="dxa"/>
            <w:vAlign w:val="bottom"/>
          </w:tcPr>
          <w:p>
            <w:pPr>
              <w:spacing w:after="0"/>
              <w:rPr>
                <w:sz w:val="1"/>
                <w:szCs w:val="1"/>
                <w:color w:val="auto"/>
              </w:rPr>
            </w:pPr>
          </w:p>
        </w:tc>
      </w:tr>
      <w:tr>
        <w:trPr>
          <w:trHeight w:val="191"/>
        </w:trPr>
        <w:tc>
          <w:tcPr>
            <w:tcW w:w="5960" w:type="dxa"/>
            <w:vAlign w:val="bottom"/>
            <w:gridSpan w:val="5"/>
          </w:tcPr>
          <w:p>
            <w:pPr>
              <w:ind w:left="620"/>
              <w:spacing w:after="0"/>
              <w:rPr>
                <w:sz w:val="20"/>
                <w:szCs w:val="20"/>
                <w:color w:val="auto"/>
              </w:rPr>
            </w:pPr>
            <w:r>
              <w:rPr>
                <w:rFonts w:ascii="Arial" w:cs="Arial" w:eastAsia="Arial" w:hAnsi="Arial"/>
                <w:sz w:val="14"/>
                <w:szCs w:val="14"/>
                <w:b w:val="1"/>
                <w:bCs w:val="1"/>
                <w:color w:val="auto"/>
              </w:rPr>
              <w:t>Total current assets</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522,482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512,490</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Other assets: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620,998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617,236</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Other intangible assets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142,846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156,851</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12,361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8,623</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22,760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21,325</w:t>
            </w:r>
          </w:p>
        </w:tc>
        <w:tc>
          <w:tcPr>
            <w:tcW w:w="0" w:type="dxa"/>
            <w:vAlign w:val="bottom"/>
          </w:tcPr>
          <w:p>
            <w:pPr>
              <w:spacing w:after="0"/>
              <w:rPr>
                <w:sz w:val="1"/>
                <w:szCs w:val="1"/>
                <w:color w:val="auto"/>
              </w:rPr>
            </w:pP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Cost: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gridSpan w:val="5"/>
          </w:tcPr>
          <w:p>
            <w:pPr>
              <w:ind w:left="620"/>
              <w:spacing w:after="0"/>
              <w:rPr>
                <w:sz w:val="20"/>
                <w:szCs w:val="20"/>
                <w:color w:val="auto"/>
              </w:rPr>
            </w:pPr>
            <w:r>
              <w:rPr>
                <w:rFonts w:ascii="Arial" w:cs="Arial" w:eastAsia="Arial" w:hAnsi="Arial"/>
                <w:sz w:val="14"/>
                <w:szCs w:val="14"/>
                <w:color w:val="auto"/>
              </w:rPr>
              <w:t>Land</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7,917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7,861</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color w:val="auto"/>
              </w:rPr>
              <w:t>Buildings and improvements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97,600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91,471</w:t>
            </w:r>
          </w:p>
        </w:tc>
        <w:tc>
          <w:tcPr>
            <w:tcW w:w="0" w:type="dxa"/>
            <w:vAlign w:val="bottom"/>
          </w:tcPr>
          <w:p>
            <w:pPr>
              <w:spacing w:after="0"/>
              <w:rPr>
                <w:sz w:val="1"/>
                <w:szCs w:val="1"/>
                <w:color w:val="auto"/>
              </w:rPr>
            </w:pPr>
          </w:p>
        </w:tc>
      </w:tr>
      <w:tr>
        <w:trPr>
          <w:trHeight w:val="211"/>
        </w:trPr>
        <w:tc>
          <w:tcPr>
            <w:tcW w:w="5960" w:type="dxa"/>
            <w:vAlign w:val="bottom"/>
            <w:gridSpan w:val="5"/>
          </w:tcPr>
          <w:p>
            <w:pPr>
              <w:ind w:left="620"/>
              <w:spacing w:after="0"/>
              <w:rPr>
                <w:sz w:val="20"/>
                <w:szCs w:val="20"/>
                <w:color w:val="auto"/>
              </w:rPr>
            </w:pPr>
            <w:r>
              <w:rPr>
                <w:rFonts w:ascii="Arial" w:cs="Arial" w:eastAsia="Arial" w:hAnsi="Arial"/>
                <w:sz w:val="14"/>
                <w:szCs w:val="14"/>
                <w:color w:val="auto"/>
              </w:rPr>
              <w:t>Machinery and equipment</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284,905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266,787</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color w:val="auto"/>
              </w:rPr>
              <w:t>Construction in progress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11,595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11,842</w:t>
            </w:r>
          </w:p>
        </w:tc>
        <w:tc>
          <w:tcPr>
            <w:tcW w:w="0" w:type="dxa"/>
            <w:vAlign w:val="bottom"/>
          </w:tcPr>
          <w:p>
            <w:pPr>
              <w:spacing w:after="0"/>
              <w:rPr>
                <w:sz w:val="1"/>
                <w:szCs w:val="1"/>
                <w:color w:val="auto"/>
              </w:rPr>
            </w:pPr>
          </w:p>
        </w:tc>
      </w:tr>
      <w:tr>
        <w:trPr>
          <w:trHeight w:val="191"/>
        </w:trPr>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402,017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377,961</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Less accumulated depreciation</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271,790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255,803</w:t>
            </w:r>
          </w:p>
        </w:tc>
        <w:tc>
          <w:tcPr>
            <w:tcW w:w="0" w:type="dxa"/>
            <w:vAlign w:val="bottom"/>
          </w:tcPr>
          <w:p>
            <w:pPr>
              <w:spacing w:after="0"/>
              <w:rPr>
                <w:sz w:val="1"/>
                <w:szCs w:val="1"/>
                <w:color w:val="auto"/>
              </w:rPr>
            </w:pPr>
          </w:p>
        </w:tc>
      </w:tr>
      <w:tr>
        <w:trPr>
          <w:trHeight w:val="191"/>
        </w:trPr>
        <w:tc>
          <w:tcPr>
            <w:tcW w:w="5960" w:type="dxa"/>
            <w:vAlign w:val="bottom"/>
            <w:gridSpan w:val="5"/>
          </w:tcPr>
          <w:p>
            <w:pPr>
              <w:ind w:left="620"/>
              <w:spacing w:after="0"/>
              <w:rPr>
                <w:sz w:val="20"/>
                <w:szCs w:val="20"/>
                <w:color w:val="auto"/>
              </w:rPr>
            </w:pPr>
            <w:r>
              <w:rPr>
                <w:rFonts w:ascii="Arial" w:cs="Arial" w:eastAsia="Arial" w:hAnsi="Arial"/>
                <w:sz w:val="14"/>
                <w:szCs w:val="14"/>
                <w:b w:val="1"/>
                <w:bCs w:val="1"/>
                <w:color w:val="auto"/>
              </w:rPr>
              <w:t>Property, plant and equipment—net</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130,227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122,158</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1,451,674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1,438,683</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bottom w:val="single" w:sz="8" w:color="CCEEFF"/>
            </w:tcBorders>
            <w:vMerge w:val="restart"/>
          </w:tcPr>
          <w:p>
            <w:pPr>
              <w:spacing w:after="0" w:line="20" w:lineRule="exact"/>
              <w:rPr>
                <w:sz w:val="1"/>
                <w:szCs w:val="1"/>
                <w:color w:val="auto"/>
              </w:rPr>
            </w:pPr>
          </w:p>
        </w:tc>
        <w:tc>
          <w:tcPr>
            <w:tcW w:w="4760" w:type="dxa"/>
            <w:vAlign w:val="bottom"/>
            <w:tcBorders>
              <w:top w:val="single" w:sz="8" w:color="CCEEFF"/>
              <w:bottom w:val="single" w:sz="8" w:color="CCEEFF"/>
            </w:tcBorders>
            <w:gridSpan w:val="4"/>
            <w:vMerge w:val="restart"/>
          </w:tcPr>
          <w:p>
            <w:pPr>
              <w:jc w:val="center"/>
              <w:ind w:right="1200"/>
              <w:spacing w:after="0"/>
              <w:rPr>
                <w:sz w:val="20"/>
                <w:szCs w:val="20"/>
                <w:color w:val="auto"/>
              </w:rPr>
            </w:pPr>
            <w:r>
              <w:rPr>
                <w:rFonts w:ascii="Arial" w:cs="Arial" w:eastAsia="Arial" w:hAnsi="Arial"/>
                <w:sz w:val="14"/>
                <w:szCs w:val="14"/>
                <w:b w:val="1"/>
                <w:bCs w:val="1"/>
                <w:color w:val="auto"/>
              </w:rPr>
              <w:t>LIABILITIES AND STOCKHOLDERS’ INVESTMENT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47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00" w:type="dxa"/>
            <w:vAlign w:val="bottom"/>
          </w:tcPr>
          <w:p>
            <w:pPr>
              <w:spacing w:after="0"/>
              <w:rPr>
                <w:sz w:val="6"/>
                <w:szCs w:val="6"/>
                <w:color w:val="auto"/>
              </w:rPr>
            </w:pPr>
          </w:p>
        </w:tc>
        <w:tc>
          <w:tcPr>
            <w:tcW w:w="15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520" w:type="dxa"/>
            <w:vAlign w:val="bottom"/>
            <w:tcBorders>
              <w:top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Notes payable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75,552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50,613</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87,528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82,519</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Wages and amounts withheld from employees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44,742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42,413</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Liabilities held for sale</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24,536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34,583</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Taxes, other than income taxes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8,409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8,243</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Accrued 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10,808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7,056</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Other current liabilities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31,628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36,806</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Current maturities on long-term debt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61,264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61,264</w:t>
            </w:r>
          </w:p>
        </w:tc>
        <w:tc>
          <w:tcPr>
            <w:tcW w:w="0" w:type="dxa"/>
            <w:vAlign w:val="bottom"/>
          </w:tcPr>
          <w:p>
            <w:pPr>
              <w:spacing w:after="0"/>
              <w:rPr>
                <w:sz w:val="1"/>
                <w:szCs w:val="1"/>
                <w:color w:val="auto"/>
              </w:rPr>
            </w:pPr>
          </w:p>
        </w:tc>
      </w:tr>
      <w:tr>
        <w:trPr>
          <w:trHeight w:val="191"/>
        </w:trPr>
        <w:tc>
          <w:tcPr>
            <w:tcW w:w="5960" w:type="dxa"/>
            <w:vAlign w:val="bottom"/>
            <w:gridSpan w:val="5"/>
          </w:tcPr>
          <w:p>
            <w:pPr>
              <w:ind w:left="620"/>
              <w:spacing w:after="0"/>
              <w:rPr>
                <w:sz w:val="20"/>
                <w:szCs w:val="20"/>
                <w:color w:val="auto"/>
              </w:rPr>
            </w:pPr>
            <w:r>
              <w:rPr>
                <w:rFonts w:ascii="Arial" w:cs="Arial" w:eastAsia="Arial" w:hAnsi="Arial"/>
                <w:sz w:val="14"/>
                <w:szCs w:val="14"/>
                <w:b w:val="1"/>
                <w:bCs w:val="1"/>
                <w:color w:val="auto"/>
              </w:rPr>
              <w:t>Total current liabilities</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344,467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323,497</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Long-term obligations, less current maturities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162,468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201,150</w:t>
            </w:r>
          </w:p>
        </w:tc>
        <w:tc>
          <w:tcPr>
            <w:tcW w:w="0" w:type="dxa"/>
            <w:vAlign w:val="bottom"/>
          </w:tcPr>
          <w:p>
            <w:pPr>
              <w:spacing w:after="0"/>
              <w:rPr>
                <w:sz w:val="1"/>
                <w:szCs w:val="1"/>
                <w:color w:val="auto"/>
              </w:rPr>
            </w:pPr>
          </w:p>
        </w:tc>
      </w:tr>
      <w:tr>
        <w:trPr>
          <w:trHeight w:val="211"/>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 liabilities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80,742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83,239</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96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587,677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607,886</w:t>
            </w:r>
          </w:p>
        </w:tc>
        <w:tc>
          <w:tcPr>
            <w:tcW w:w="0" w:type="dxa"/>
            <w:vAlign w:val="bottom"/>
          </w:tcPr>
          <w:p>
            <w:pPr>
              <w:spacing w:after="0"/>
              <w:rPr>
                <w:sz w:val="1"/>
                <w:szCs w:val="1"/>
                <w:color w:val="auto"/>
              </w:rPr>
            </w:pP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Stockholders’ investment:</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5960" w:type="dxa"/>
            <w:vAlign w:val="bottom"/>
            <w:gridSpan w:val="5"/>
            <w:shd w:val="clear" w:color="auto" w:fill="CCEEFF"/>
          </w:tcPr>
          <w:p>
            <w:pPr>
              <w:ind w:left="340"/>
              <w:spacing w:after="0"/>
              <w:rPr>
                <w:sz w:val="20"/>
                <w:szCs w:val="20"/>
                <w:color w:val="auto"/>
              </w:rPr>
            </w:pPr>
            <w:r>
              <w:rPr>
                <w:rFonts w:ascii="Arial" w:cs="Arial" w:eastAsia="Arial" w:hAnsi="Arial"/>
                <w:sz w:val="14"/>
                <w:szCs w:val="14"/>
                <w:color w:val="auto"/>
                <w:w w:val="94"/>
              </w:rPr>
              <w:t>Class A nonvoting common stock—Issued 51,261,487 and 51,261,487 shares, respectively and</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outstanding 47,935,602 and 48,408,544 shares, respectively</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Class B voting common stock—Issued and outstanding, 3,538,628 shares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314,625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306,191</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Earnings retained in the business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572,474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538,512</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gridSpan w:val="5"/>
            <w:shd w:val="clear" w:color="auto" w:fill="CCEEFF"/>
          </w:tcPr>
          <w:p>
            <w:pPr>
              <w:ind w:left="340"/>
              <w:spacing w:after="0"/>
              <w:rPr>
                <w:sz w:val="20"/>
                <w:szCs w:val="20"/>
                <w:color w:val="auto"/>
              </w:rPr>
            </w:pPr>
            <w:r>
              <w:rPr>
                <w:rFonts w:ascii="Arial" w:cs="Arial" w:eastAsia="Arial" w:hAnsi="Arial"/>
                <w:sz w:val="14"/>
                <w:szCs w:val="14"/>
                <w:color w:val="auto"/>
                <w:w w:val="96"/>
              </w:rPr>
              <w:t>Treasury stock—3,245,885 and 2,626,276 shares, respectively of Class A nonvoting common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stock, at cost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(87,682)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(69,797)</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Accumulated other comprehensive income</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63,687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56,063</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91"/>
        </w:trPr>
        <w:tc>
          <w:tcPr>
            <w:tcW w:w="5960" w:type="dxa"/>
            <w:vAlign w:val="bottom"/>
            <w:gridSpan w:val="5"/>
          </w:tcPr>
          <w:p>
            <w:pPr>
              <w:ind w:left="620"/>
              <w:spacing w:after="0"/>
              <w:rPr>
                <w:sz w:val="20"/>
                <w:szCs w:val="20"/>
                <w:color w:val="auto"/>
              </w:rPr>
            </w:pPr>
            <w:r>
              <w:rPr>
                <w:rFonts w:ascii="Arial" w:cs="Arial" w:eastAsia="Arial" w:hAnsi="Arial"/>
                <w:sz w:val="14"/>
                <w:szCs w:val="14"/>
                <w:b w:val="1"/>
                <w:bCs w:val="1"/>
                <w:color w:val="auto"/>
              </w:rPr>
              <w:t>Total stockholders’ investment</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863,997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830,797</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1,451,674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1,438,683</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(Unaudited)</w:t>
            </w:r>
          </w:p>
        </w:tc>
        <w:tc>
          <w:tcPr>
            <w:tcW w:w="720" w:type="dxa"/>
            <w:vAlign w:val="bottom"/>
          </w:tcPr>
          <w:p>
            <w:pPr>
              <w:spacing w:after="0"/>
              <w:rPr>
                <w:sz w:val="15"/>
                <w:szCs w:val="15"/>
                <w:color w:val="auto"/>
              </w:rPr>
            </w:pPr>
          </w:p>
        </w:tc>
      </w:tr>
      <w:tr>
        <w:trPr>
          <w:trHeight w:val="30"/>
        </w:trPr>
        <w:tc>
          <w:tcPr>
            <w:tcW w:w="6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r>
      <w:tr>
        <w:trPr>
          <w:trHeight w:val="191"/>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jc w:val="right"/>
              <w:ind w:right="188"/>
              <w:spacing w:after="0"/>
              <w:rPr>
                <w:sz w:val="20"/>
                <w:szCs w:val="20"/>
                <w:color w:val="auto"/>
              </w:rPr>
            </w:pPr>
            <w:r>
              <w:rPr>
                <w:rFonts w:ascii="Arial" w:cs="Arial" w:eastAsia="Arial" w:hAnsi="Arial"/>
                <w:sz w:val="14"/>
                <w:szCs w:val="14"/>
                <w:color w:val="auto"/>
                <w:w w:val="99"/>
              </w:rPr>
              <w:t>Nine months ended April 30,</w:t>
            </w:r>
          </w:p>
        </w:tc>
      </w:tr>
      <w:tr>
        <w:trPr>
          <w:trHeight w:val="30"/>
        </w:trPr>
        <w:tc>
          <w:tcPr>
            <w:tcW w:w="6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color w:val="auto"/>
                <w:w w:val="96"/>
              </w:rPr>
              <w:t>2013</w:t>
            </w:r>
          </w:p>
        </w:tc>
      </w:tr>
      <w:tr>
        <w:trPr>
          <w:trHeight w:val="30"/>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Net earnings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64,441</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22,736</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33,782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36,037</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Non-cash portion of stock-based compensation expense</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5,033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6,964</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Non-cash portion of restructuring charges</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3,701</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Loss on write-down of assets held for sale</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15,658</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Loss on sales of businesses</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3,138</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Deferred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(8,310)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33,780</w:t>
            </w:r>
          </w:p>
        </w:tc>
      </w:tr>
      <w:tr>
        <w:trPr>
          <w:trHeight w:val="199"/>
        </w:trPr>
        <w:tc>
          <w:tcPr>
            <w:tcW w:w="6440" w:type="dxa"/>
            <w:vAlign w:val="bottom"/>
          </w:tcPr>
          <w:p>
            <w:pPr>
              <w:ind w:left="620"/>
              <w:spacing w:after="0"/>
              <w:rPr>
                <w:sz w:val="20"/>
                <w:szCs w:val="20"/>
                <w:color w:val="auto"/>
              </w:rPr>
            </w:pPr>
            <w:r>
              <w:rPr>
                <w:rFonts w:ascii="Arial" w:cs="Arial" w:eastAsia="Arial" w:hAnsi="Arial"/>
                <w:sz w:val="14"/>
                <w:szCs w:val="14"/>
                <w:color w:val="auto"/>
                <w:w w:val="99"/>
              </w:rPr>
              <w:t>Changes in operating assets and liabilities (net of effects of business acquisitions/divestitures):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2"/>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21"/>
        </w:trPr>
        <w:tc>
          <w:tcPr>
            <w:tcW w:w="6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Accounts receivable</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2,949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(6,410)</w:t>
            </w:r>
          </w:p>
        </w:tc>
      </w:tr>
      <w:tr>
        <w:trPr>
          <w:trHeight w:val="211"/>
        </w:trPr>
        <w:tc>
          <w:tcPr>
            <w:tcW w:w="6440" w:type="dxa"/>
            <w:vAlign w:val="bottom"/>
          </w:tcPr>
          <w:p>
            <w:pPr>
              <w:ind w:left="100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541</w:t>
            </w:r>
          </w:p>
        </w:tc>
      </w:tr>
      <w:tr>
        <w:trPr>
          <w:trHeight w:val="211"/>
        </w:trPr>
        <w:tc>
          <w:tcPr>
            <w:tcW w:w="6440" w:type="dxa"/>
            <w:vAlign w:val="bottom"/>
          </w:tcPr>
          <w:p>
            <w:pPr>
              <w:ind w:left="1000"/>
              <w:spacing w:after="0"/>
              <w:rPr>
                <w:sz w:val="20"/>
                <w:szCs w:val="20"/>
                <w:color w:val="auto"/>
              </w:rPr>
            </w:pPr>
            <w:r>
              <w:rPr>
                <w:rFonts w:ascii="Arial" w:cs="Arial" w:eastAsia="Arial" w:hAnsi="Arial"/>
                <w:sz w:val="14"/>
                <w:szCs w:val="14"/>
                <w:color w:val="auto"/>
              </w:rPr>
              <w:t>Accounts payable and accrued liabilities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(13,027)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(22,226)</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2,912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(4,198)</w:t>
            </w:r>
          </w:p>
        </w:tc>
      </w:tr>
      <w:tr>
        <w:trPr>
          <w:trHeight w:val="191"/>
        </w:trPr>
        <w:tc>
          <w:tcPr>
            <w:tcW w:w="6440" w:type="dxa"/>
            <w:vAlign w:val="bottom"/>
          </w:tcPr>
          <w:p>
            <w:pPr>
              <w:ind w:left="140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75,840</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89,630</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7"/>
        </w:trPr>
        <w:tc>
          <w:tcPr>
            <w:tcW w:w="6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9"/>
        </w:trPr>
        <w:tc>
          <w:tcPr>
            <w:tcW w:w="644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2"/>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Purchases of property, plant and equipment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(29,808)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(26,082)</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Acquisition of business, net of cash acquired</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(301,157)</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Sales of businesses, net of cash retained</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10,178</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(1,245)</w:t>
            </w:r>
          </w:p>
        </w:tc>
      </w:tr>
      <w:tr>
        <w:trPr>
          <w:trHeight w:val="30"/>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1"/>
        </w:trPr>
        <w:tc>
          <w:tcPr>
            <w:tcW w:w="64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(30,455)</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(318,306)</w:t>
            </w:r>
          </w:p>
        </w:tc>
      </w:tr>
      <w:tr>
        <w:trPr>
          <w:trHeight w:val="217"/>
        </w:trPr>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Payment of dividends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(30,479)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(29,344)</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Proceeds from issuance of common stock</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10,894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10,246</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Purchase of treasury stock</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(23,335)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(5,121)</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Proceeds from borrowing on notes payable</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63,000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220,000</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Repayment of borrowing on notes payable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(173,000)</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Proceeds from borrowings on line of credit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3,187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11,491</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Repayment of borrowing on line of credit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Principal payments on debt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(42,514)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(42,514)</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w w:val="98"/>
              </w:rPr>
              <w:t>Income tax on the exercise of stock options and deferred compensation distributions, and other</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1,794</w:t>
            </w:r>
          </w:p>
        </w:tc>
      </w:tr>
      <w:tr>
        <w:trPr>
          <w:trHeight w:val="30"/>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1"/>
        </w:trPr>
        <w:tc>
          <w:tcPr>
            <w:tcW w:w="64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(61,626)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(6,448)</w:t>
            </w:r>
          </w:p>
        </w:tc>
      </w:tr>
      <w:tr>
        <w:trPr>
          <w:trHeight w:val="217"/>
        </w:trPr>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3,898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6,258</w:t>
            </w:r>
          </w:p>
        </w:tc>
      </w:tr>
      <w:tr>
        <w:trPr>
          <w:trHeight w:val="217"/>
        </w:trPr>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(12,343)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(228,866)</w:t>
            </w: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91,058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305,900</w:t>
            </w:r>
          </w:p>
        </w:tc>
      </w:tr>
      <w:tr>
        <w:trPr>
          <w:trHeight w:val="30"/>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6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9"/>
        </w:trPr>
        <w:tc>
          <w:tcPr>
            <w:tcW w:w="644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78,715</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77,034</w:t>
            </w:r>
          </w:p>
        </w:tc>
      </w:tr>
      <w:tr>
        <w:trPr>
          <w:trHeight w:val="70"/>
        </w:trPr>
        <w:tc>
          <w:tcPr>
            <w:tcW w:w="64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r>
      <w:tr>
        <w:trPr>
          <w:trHeight w:val="193"/>
        </w:trPr>
        <w:tc>
          <w:tcPr>
            <w:tcW w:w="6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99"/>
        </w:trPr>
        <w:tc>
          <w:tcPr>
            <w:tcW w:w="6440" w:type="dxa"/>
            <w:vAlign w:val="bottom"/>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2"/>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Cash paid during the period for:</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Interest, net of capitalized interest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11,417</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13,194</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Income taxes, net of refunds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18,842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26,786</w:t>
            </w:r>
          </w:p>
        </w:tc>
      </w:tr>
      <w:tr>
        <w:trPr>
          <w:trHeight w:val="199"/>
        </w:trPr>
        <w:tc>
          <w:tcPr>
            <w:tcW w:w="6440" w:type="dxa"/>
            <w:vAlign w:val="bottom"/>
          </w:tcPr>
          <w:p>
            <w:pPr>
              <w:ind w:left="620"/>
              <w:spacing w:after="0"/>
              <w:rPr>
                <w:sz w:val="20"/>
                <w:szCs w:val="20"/>
                <w:color w:val="auto"/>
              </w:rPr>
            </w:pPr>
            <w:r>
              <w:rPr>
                <w:rFonts w:ascii="Arial" w:cs="Arial" w:eastAsia="Arial" w:hAnsi="Arial"/>
                <w:sz w:val="14"/>
                <w:szCs w:val="14"/>
                <w:color w:val="auto"/>
              </w:rPr>
              <w:t>Acquisitions: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2"/>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21"/>
        </w:trPr>
        <w:tc>
          <w:tcPr>
            <w:tcW w:w="64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Fair value of assets acquired, net of cash</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169,830</w:t>
            </w:r>
          </w:p>
        </w:tc>
      </w:tr>
      <w:tr>
        <w:trPr>
          <w:trHeight w:val="211"/>
        </w:trPr>
        <w:tc>
          <w:tcPr>
            <w:tcW w:w="6440" w:type="dxa"/>
            <w:vAlign w:val="bottom"/>
          </w:tcPr>
          <w:p>
            <w:pPr>
              <w:ind w:left="840"/>
              <w:spacing w:after="0"/>
              <w:rPr>
                <w:sz w:val="20"/>
                <w:szCs w:val="20"/>
                <w:color w:val="auto"/>
              </w:rPr>
            </w:pPr>
            <w:r>
              <w:rPr>
                <w:rFonts w:ascii="Arial" w:cs="Arial" w:eastAsia="Arial" w:hAnsi="Arial"/>
                <w:sz w:val="14"/>
                <w:szCs w:val="14"/>
                <w:color w:val="auto"/>
              </w:rPr>
              <w:t>Liabilities assumed</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(57,860)</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Goodwill</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189,187</w:t>
            </w:r>
          </w:p>
        </w:tc>
      </w:tr>
      <w:tr>
        <w:trPr>
          <w:trHeight w:val="191"/>
        </w:trPr>
        <w:tc>
          <w:tcPr>
            <w:tcW w:w="6440" w:type="dxa"/>
            <w:vAlign w:val="bottom"/>
          </w:tcPr>
          <w:p>
            <w:pPr>
              <w:ind w:left="1400"/>
              <w:spacing w:after="0"/>
              <w:rPr>
                <w:sz w:val="20"/>
                <w:szCs w:val="20"/>
                <w:color w:val="auto"/>
              </w:rPr>
            </w:pPr>
            <w:r>
              <w:rPr>
                <w:rFonts w:ascii="Arial" w:cs="Arial" w:eastAsia="Arial" w:hAnsi="Arial"/>
                <w:sz w:val="14"/>
                <w:szCs w:val="14"/>
                <w:color w:val="auto"/>
              </w:rPr>
              <w:t>Net cash paid for acquisitions</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301,157</w:t>
            </w:r>
          </w:p>
        </w:tc>
      </w:tr>
      <w:tr>
        <w:trPr>
          <w:trHeight w:val="30"/>
        </w:trPr>
        <w:tc>
          <w:tcPr>
            <w:tcW w:w="6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5"/>
          </w:tcPr>
          <w:p>
            <w:pPr>
              <w:ind w:left="120"/>
              <w:spacing w:after="0"/>
              <w:rPr>
                <w:sz w:val="20"/>
                <w:szCs w:val="20"/>
                <w:color w:val="auto"/>
              </w:rPr>
            </w:pPr>
            <w:r>
              <w:rPr>
                <w:rFonts w:ascii="Arial" w:cs="Arial" w:eastAsia="Arial" w:hAnsi="Arial"/>
                <w:sz w:val="14"/>
                <w:szCs w:val="14"/>
                <w:color w:val="auto"/>
              </w:rPr>
              <w:t>Three months ended April 30,</w:t>
            </w:r>
          </w:p>
        </w:tc>
        <w:tc>
          <w:tcPr>
            <w:tcW w:w="240" w:type="dxa"/>
            <w:vAlign w:val="bottom"/>
          </w:tcPr>
          <w:p>
            <w:pPr>
              <w:spacing w:after="0"/>
              <w:rPr>
                <w:sz w:val="15"/>
                <w:szCs w:val="15"/>
                <w:color w:val="auto"/>
              </w:rPr>
            </w:pPr>
          </w:p>
        </w:tc>
        <w:tc>
          <w:tcPr>
            <w:tcW w:w="2160" w:type="dxa"/>
            <w:vAlign w:val="bottom"/>
            <w:gridSpan w:val="4"/>
          </w:tcPr>
          <w:p>
            <w:pPr>
              <w:jc w:val="right"/>
              <w:ind w:right="268"/>
              <w:spacing w:after="0"/>
              <w:rPr>
                <w:sz w:val="20"/>
                <w:szCs w:val="20"/>
                <w:color w:val="auto"/>
              </w:rPr>
            </w:pPr>
            <w:r>
              <w:rPr>
                <w:rFonts w:ascii="Arial" w:cs="Arial" w:eastAsia="Arial" w:hAnsi="Arial"/>
                <w:sz w:val="14"/>
                <w:szCs w:val="14"/>
                <w:color w:val="auto"/>
              </w:rPr>
              <w:t>Nine months ended April 30,</w:t>
            </w:r>
          </w:p>
        </w:tc>
      </w:tr>
      <w:tr>
        <w:trPr>
          <w:trHeight w:val="30"/>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3"/>
        </w:trPr>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2013</w:t>
            </w:r>
          </w:p>
        </w:tc>
      </w:tr>
      <w:tr>
        <w:trPr>
          <w:trHeight w:val="30"/>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SALES TO EXTERNAL CUSTOMERS</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206,448</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197,417</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610,726</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528,044</w:t>
            </w:r>
          </w:p>
        </w:tc>
      </w:tr>
      <w:tr>
        <w:trPr>
          <w:trHeight w:val="30"/>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103,129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105,066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297,575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319,156</w:t>
            </w: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309,577</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302,483</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908,301</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847,200</w:t>
            </w:r>
          </w:p>
        </w:tc>
      </w:tr>
      <w:tr>
        <w:trPr>
          <w:trHeight w:val="30"/>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5499735" cy="153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99735" cy="153035"/>
                    </a:xfrm>
                    <a:prstGeom prst="rect">
                      <a:avLst/>
                    </a:prstGeom>
                    <a:noFill/>
                  </pic:spPr>
                </pic:pic>
              </a:graphicData>
            </a:graphic>
          </wp:anchor>
        </w:drawing>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SALES INFORMATION</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ID Solutions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Currency</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Acquisitions</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25.3 %</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12.2 %</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22.4 %</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15.7 %</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11.1 %</w:t>
            </w:r>
          </w:p>
        </w:tc>
        <w:tc>
          <w:tcPr>
            <w:tcW w:w="0" w:type="dxa"/>
            <w:vAlign w:val="bottom"/>
          </w:tcPr>
          <w:p>
            <w:pPr>
              <w:spacing w:after="0"/>
              <w:rPr>
                <w:sz w:val="1"/>
                <w:szCs w:val="1"/>
                <w:color w:val="auto"/>
              </w:rPr>
            </w:pPr>
          </w:p>
        </w:tc>
      </w:tr>
      <w:tr>
        <w:trPr>
          <w:trHeight w:val="70"/>
        </w:trPr>
        <w:tc>
          <w:tcPr>
            <w:tcW w:w="37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37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i w:val="1"/>
                <w:iCs w:val="1"/>
                <w:color w:val="auto"/>
              </w:rPr>
              <w:t>Workplace Safety</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Currency</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Acquisitions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5.3 %</w:t>
            </w:r>
          </w:p>
        </w:tc>
        <w:tc>
          <w:tcPr>
            <w:tcW w:w="0" w:type="dxa"/>
            <w:vAlign w:val="bottom"/>
          </w:tcPr>
          <w:p>
            <w:pPr>
              <w:spacing w:after="0"/>
              <w:rPr>
                <w:sz w:val="1"/>
                <w:szCs w:val="1"/>
                <w:color w:val="auto"/>
              </w:rPr>
            </w:pPr>
          </w:p>
        </w:tc>
      </w:tr>
      <w:tr>
        <w:trPr>
          <w:trHeight w:val="30"/>
        </w:trPr>
        <w:tc>
          <w:tcPr>
            <w:tcW w:w="37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i w:val="1"/>
                <w:iCs w:val="1"/>
                <w:color w:val="auto"/>
              </w:rPr>
              <w:t>Total Company</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7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Currency</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Acquisitions</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9.4 %</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11.2 %</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7.2 %</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PROFIT</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44,302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46,787</w:t>
            </w:r>
          </w:p>
        </w:tc>
        <w:tc>
          <w:tcPr>
            <w:tcW w:w="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132,795</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126,011</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14,771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23,453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47,813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74,881</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59,073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70,240</w:t>
            </w:r>
          </w:p>
        </w:tc>
        <w:tc>
          <w:tcPr>
            <w:tcW w:w="80" w:type="dxa"/>
            <w:vAlign w:val="bottom"/>
          </w:tcPr>
          <w:p>
            <w:pPr>
              <w:spacing w:after="0"/>
              <w:rPr>
                <w:sz w:val="16"/>
                <w:szCs w:val="16"/>
                <w:color w:val="auto"/>
              </w:rPr>
            </w:pPr>
          </w:p>
        </w:tc>
        <w:tc>
          <w:tcPr>
            <w:tcW w:w="2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180,608</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200,892</w:t>
            </w:r>
          </w:p>
        </w:tc>
        <w:tc>
          <w:tcPr>
            <w:tcW w:w="0" w:type="dxa"/>
            <w:vAlign w:val="bottom"/>
          </w:tcPr>
          <w:p>
            <w:pPr>
              <w:spacing w:after="0"/>
              <w:rPr>
                <w:sz w:val="1"/>
                <w:szCs w:val="1"/>
                <w:color w:val="auto"/>
              </w:rPr>
            </w:pPr>
          </w:p>
        </w:tc>
      </w:tr>
      <w:tr>
        <w:trPr>
          <w:trHeight w:val="70"/>
        </w:trPr>
        <w:tc>
          <w:tcPr>
            <w:tcW w:w="37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37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color w:val="auto"/>
              </w:rPr>
              <w:t>SEGMENT PROFIT AS A PERCENT OF SALES</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21.5 %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23.7 %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23.9 %</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14.3 %</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22.3 %</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23.5 %</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23.2 %</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19.9 %</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23.7 %</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7"/>
          </w:tcPr>
          <w:p>
            <w:pPr>
              <w:ind w:left="100"/>
              <w:spacing w:after="0"/>
              <w:rPr>
                <w:sz w:val="20"/>
                <w:szCs w:val="20"/>
                <w:color w:val="auto"/>
              </w:rPr>
            </w:pPr>
            <w:r>
              <w:rPr>
                <w:rFonts w:ascii="Arial" w:cs="Arial" w:eastAsia="Arial" w:hAnsi="Arial"/>
                <w:sz w:val="14"/>
                <w:szCs w:val="14"/>
                <w:color w:val="auto"/>
              </w:rPr>
              <w:t>Three Months Ended April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4"/>
          </w:tcPr>
          <w:p>
            <w:pPr>
              <w:jc w:val="right"/>
              <w:ind w:right="248"/>
              <w:spacing w:after="0"/>
              <w:rPr>
                <w:sz w:val="20"/>
                <w:szCs w:val="20"/>
                <w:color w:val="auto"/>
              </w:rPr>
            </w:pPr>
            <w:r>
              <w:rPr>
                <w:rFonts w:ascii="Arial" w:cs="Arial" w:eastAsia="Arial" w:hAnsi="Arial"/>
                <w:sz w:val="14"/>
                <w:szCs w:val="14"/>
                <w:color w:val="auto"/>
              </w:rPr>
              <w:t>Nine Months Ended April 30,</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30"/>
        </w:trPr>
        <w:tc>
          <w:tcPr>
            <w:tcW w:w="37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segment profit</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59,073</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70,240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180,608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200,892</w:t>
            </w:r>
          </w:p>
        </w:tc>
        <w:tc>
          <w:tcPr>
            <w:tcW w:w="0" w:type="dxa"/>
            <w:vAlign w:val="bottom"/>
          </w:tcPr>
          <w:p>
            <w:pPr>
              <w:spacing w:after="0"/>
              <w:rPr>
                <w:sz w:val="1"/>
                <w:szCs w:val="1"/>
                <w:color w:val="auto"/>
              </w:rPr>
            </w:pPr>
          </w:p>
        </w:tc>
      </w:tr>
      <w:tr>
        <w:trPr>
          <w:trHeight w:val="199"/>
        </w:trPr>
        <w:tc>
          <w:tcPr>
            <w:tcW w:w="3780" w:type="dxa"/>
            <w:vAlign w:val="bottom"/>
          </w:tcPr>
          <w:p>
            <w:pPr>
              <w:ind w:left="20"/>
              <w:spacing w:after="0"/>
              <w:rPr>
                <w:sz w:val="20"/>
                <w:szCs w:val="20"/>
                <w:color w:val="auto"/>
              </w:rPr>
            </w:pPr>
            <w:r>
              <w:rPr>
                <w:rFonts w:ascii="Arial" w:cs="Arial" w:eastAsia="Arial" w:hAnsi="Arial"/>
                <w:sz w:val="14"/>
                <w:szCs w:val="14"/>
                <w:color w:val="auto"/>
              </w:rPr>
              <w:t>Unallocated amounts: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37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Administrative costs</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(29,267)</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(30,765)</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(91,604)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(94,451)</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Restructuring charges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(3,039)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(8,540)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(14,202)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(10,473)</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Investment and other income</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2,427</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Interest expense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(3,381)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(12,755)</w:t>
            </w:r>
          </w:p>
        </w:tc>
        <w:tc>
          <w:tcPr>
            <w:tcW w:w="0" w:type="dxa"/>
            <w:vAlign w:val="bottom"/>
          </w:tcPr>
          <w:p>
            <w:pPr>
              <w:spacing w:after="0"/>
              <w:rPr>
                <w:sz w:val="1"/>
                <w:szCs w:val="1"/>
                <w:color w:val="auto"/>
              </w:rPr>
            </w:pPr>
          </w:p>
        </w:tc>
      </w:tr>
      <w:tr>
        <w:trPr>
          <w:trHeight w:val="30"/>
        </w:trPr>
        <w:tc>
          <w:tcPr>
            <w:tcW w:w="37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24,258</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27,882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65,912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85,640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GAAP TO 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Per Share Amounts)</w:t>
      </w:r>
    </w:p>
    <w:p>
      <w:pPr>
        <w:spacing w:after="0" w:line="309" w:lineRule="exact"/>
        <w:rPr>
          <w:sz w:val="20"/>
          <w:szCs w:val="20"/>
          <w:color w:val="auto"/>
        </w:rPr>
      </w:pPr>
    </w:p>
    <w:p>
      <w:pPr>
        <w:ind w:left="100" w:right="1559"/>
        <w:spacing w:after="0" w:line="302" w:lineRule="auto"/>
        <w:rPr>
          <w:sz w:val="20"/>
          <w:szCs w:val="20"/>
          <w:color w:val="auto"/>
        </w:rPr>
      </w:pPr>
      <w:r>
        <w:rPr>
          <w:rFonts w:ascii="Arial" w:cs="Arial" w:eastAsia="Arial" w:hAnsi="Arial"/>
          <w:sz w:val="14"/>
          <w:szCs w:val="14"/>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Earnings from Continuing Operations Before Income Taxes Excluding Certain Items:</w:t>
      </w:r>
    </w:p>
    <w:p>
      <w:pPr>
        <w:spacing w:after="0" w:line="72" w:lineRule="exact"/>
        <w:rPr>
          <w:sz w:val="20"/>
          <w:szCs w:val="20"/>
          <w:color w:val="auto"/>
        </w:rPr>
      </w:pPr>
    </w:p>
    <w:p>
      <w:pPr>
        <w:jc w:val="both"/>
        <w:ind w:left="60" w:right="1559"/>
        <w:spacing w:after="0" w:line="276" w:lineRule="auto"/>
        <w:rPr>
          <w:sz w:val="20"/>
          <w:szCs w:val="20"/>
          <w:color w:val="auto"/>
        </w:rPr>
      </w:pPr>
      <w:r>
        <w:rPr>
          <w:rFonts w:ascii="Arial" w:cs="Arial" w:eastAsia="Arial" w:hAnsi="Arial"/>
          <w:sz w:val="14"/>
          <w:szCs w:val="14"/>
          <w:color w:val="auto"/>
        </w:rPr>
        <w:t>Brady is presenting the Non-GAAP measure "Earnings from Continuing Operations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profit measure provides an important perspective of underlying business trends and results and provides a more comparable measure from year to year. The table below provides a reconciliation of Earnings from Continuing Operations Before Income Taxes to Earnings from Continuing Operations Before Income Taxes Excluding Certain Items:</w:t>
      </w:r>
    </w:p>
    <w:p>
      <w:pPr>
        <w:spacing w:after="0" w:line="200" w:lineRule="exact"/>
        <w:rPr>
          <w:sz w:val="20"/>
          <w:szCs w:val="20"/>
          <w:color w:val="auto"/>
        </w:rPr>
      </w:pP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5"/>
          </w:tcPr>
          <w:p>
            <w:pPr>
              <w:ind w:left="40"/>
              <w:spacing w:after="0"/>
              <w:rPr>
                <w:sz w:val="20"/>
                <w:szCs w:val="20"/>
                <w:color w:val="auto"/>
              </w:rPr>
            </w:pPr>
            <w:r>
              <w:rPr>
                <w:rFonts w:ascii="Arial" w:cs="Arial" w:eastAsia="Arial" w:hAnsi="Arial"/>
                <w:sz w:val="14"/>
                <w:szCs w:val="14"/>
                <w:color w:val="auto"/>
              </w:rPr>
              <w:t>Three Months Ended April 30,</w:t>
            </w:r>
          </w:p>
        </w:tc>
        <w:tc>
          <w:tcPr>
            <w:tcW w:w="160" w:type="dxa"/>
            <w:vAlign w:val="bottom"/>
          </w:tcPr>
          <w:p>
            <w:pPr>
              <w:spacing w:after="0"/>
              <w:rPr>
                <w:sz w:val="15"/>
                <w:szCs w:val="15"/>
                <w:color w:val="auto"/>
              </w:rPr>
            </w:pPr>
          </w:p>
        </w:tc>
        <w:tc>
          <w:tcPr>
            <w:tcW w:w="2000" w:type="dxa"/>
            <w:vAlign w:val="bottom"/>
            <w:gridSpan w:val="4"/>
          </w:tcPr>
          <w:p>
            <w:pPr>
              <w:jc w:val="right"/>
              <w:ind w:right="128"/>
              <w:spacing w:after="0"/>
              <w:rPr>
                <w:sz w:val="20"/>
                <w:szCs w:val="20"/>
                <w:color w:val="auto"/>
              </w:rPr>
            </w:pPr>
            <w:r>
              <w:rPr>
                <w:rFonts w:ascii="Arial" w:cs="Arial" w:eastAsia="Arial" w:hAnsi="Arial"/>
                <w:sz w:val="14"/>
                <w:szCs w:val="14"/>
                <w:color w:val="auto"/>
                <w:w w:val="99"/>
              </w:rPr>
              <w:t>Nine Months Ended April 30,</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8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30"/>
        </w:trPr>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from Continuing Operations Before Income Taxes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(GAAP Measure)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24,258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27,882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65,912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85,640</w:t>
            </w:r>
          </w:p>
        </w:tc>
        <w:tc>
          <w:tcPr>
            <w:tcW w:w="0" w:type="dxa"/>
            <w:vAlign w:val="bottom"/>
          </w:tcPr>
          <w:p>
            <w:pPr>
              <w:spacing w:after="0"/>
              <w:rPr>
                <w:sz w:val="1"/>
                <w:szCs w:val="1"/>
                <w:color w:val="auto"/>
              </w:rPr>
            </w:pPr>
          </w:p>
        </w:tc>
      </w:tr>
      <w:tr>
        <w:trPr>
          <w:trHeight w:val="211"/>
        </w:trPr>
        <w:tc>
          <w:tcPr>
            <w:tcW w:w="4200" w:type="dxa"/>
            <w:vAlign w:val="bottom"/>
          </w:tcPr>
          <w:p>
            <w:pPr>
              <w:ind w:left="400"/>
              <w:spacing w:after="0"/>
              <w:rPr>
                <w:sz w:val="20"/>
                <w:szCs w:val="20"/>
                <w:color w:val="auto"/>
              </w:rPr>
            </w:pPr>
            <w:r>
              <w:rPr>
                <w:rFonts w:ascii="Arial" w:cs="Arial" w:eastAsia="Arial" w:hAnsi="Arial"/>
                <w:sz w:val="14"/>
                <w:szCs w:val="14"/>
                <w:color w:val="auto"/>
              </w:rPr>
              <w:t>Cost of goods sold:</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Purchase accounting expense related to inventory</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211"/>
        </w:trPr>
        <w:tc>
          <w:tcPr>
            <w:tcW w:w="4200" w:type="dxa"/>
            <w:vAlign w:val="bottom"/>
          </w:tcPr>
          <w:p>
            <w:pPr>
              <w:ind w:left="40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PDC acquisition-related expenses</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0" w:type="dxa"/>
            <w:vAlign w:val="bottom"/>
          </w:tcPr>
          <w:p>
            <w:pPr>
              <w:spacing w:after="0"/>
              <w:rPr>
                <w:sz w:val="1"/>
                <w:szCs w:val="1"/>
                <w:color w:val="auto"/>
              </w:rPr>
            </w:pPr>
          </w:p>
        </w:tc>
      </w:tr>
      <w:tr>
        <w:trPr>
          <w:trHeight w:val="211"/>
        </w:trPr>
        <w:tc>
          <w:tcPr>
            <w:tcW w:w="420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8,540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10,473</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2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Non-cash income tax charges related to PDC funding</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Earnings from Continuing Operations Before Income Taxes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27,297</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36,422</w:t>
            </w:r>
          </w:p>
        </w:tc>
        <w:tc>
          <w:tcPr>
            <w:tcW w:w="100" w:type="dxa"/>
            <w:vAlign w:val="bottom"/>
          </w:tcPr>
          <w:p>
            <w:pPr>
              <w:spacing w:after="0"/>
              <w:rPr>
                <w:sz w:val="15"/>
                <w:szCs w:val="15"/>
                <w:color w:val="auto"/>
              </w:rPr>
            </w:pPr>
          </w:p>
        </w:tc>
        <w:tc>
          <w:tcPr>
            <w:tcW w:w="1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80,114</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101,243</w:t>
            </w:r>
          </w:p>
        </w:tc>
        <w:tc>
          <w:tcPr>
            <w:tcW w:w="0" w:type="dxa"/>
            <w:vAlign w:val="bottom"/>
          </w:tcPr>
          <w:p>
            <w:pPr>
              <w:spacing w:after="0"/>
              <w:rPr>
                <w:sz w:val="1"/>
                <w:szCs w:val="1"/>
                <w:color w:val="auto"/>
              </w:rPr>
            </w:pPr>
          </w:p>
        </w:tc>
      </w:tr>
      <w:tr>
        <w:trPr>
          <w:trHeight w:val="202"/>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Excluding Certain Items (non-GAAP measure)</w:t>
            </w:r>
          </w:p>
        </w:tc>
        <w:tc>
          <w:tcPr>
            <w:tcW w:w="1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w:t>
      </w:r>
    </w:p>
    <w:p>
      <w:pPr>
        <w:spacing w:after="0" w:line="72" w:lineRule="exact"/>
        <w:rPr>
          <w:sz w:val="20"/>
          <w:szCs w:val="20"/>
          <w:color w:val="auto"/>
        </w:rPr>
      </w:pPr>
    </w:p>
    <w:p>
      <w:pPr>
        <w:jc w:val="both"/>
        <w:ind w:left="20" w:right="1559"/>
        <w:spacing w:after="0" w:line="303" w:lineRule="auto"/>
        <w:rPr>
          <w:sz w:val="20"/>
          <w:szCs w:val="20"/>
          <w:color w:val="auto"/>
        </w:rPr>
      </w:pPr>
      <w:r>
        <w:rPr>
          <w:rFonts w:ascii="Arial" w:cs="Arial" w:eastAsia="Arial" w:hAnsi="Arial"/>
          <w:sz w:val="13"/>
          <w:szCs w:val="13"/>
          <w:color w:val="auto"/>
        </w:rPr>
        <w:t>Brady is presenting the Non-GAAP measure "Income Taxes on Continuing Operations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Income Taxes on Continuing Operations to Income Taxes on Continuing Operations Excluding Certain Items: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20" w:type="dxa"/>
            <w:vAlign w:val="bottom"/>
          </w:tcPr>
          <w:p>
            <w:pPr>
              <w:spacing w:after="0"/>
              <w:rPr>
                <w:sz w:val="15"/>
                <w:szCs w:val="15"/>
                <w:color w:val="auto"/>
              </w:rPr>
            </w:pPr>
          </w:p>
        </w:tc>
        <w:tc>
          <w:tcPr>
            <w:tcW w:w="2260" w:type="dxa"/>
            <w:vAlign w:val="bottom"/>
            <w:gridSpan w:val="6"/>
          </w:tcPr>
          <w:p>
            <w:pPr>
              <w:ind w:left="200"/>
              <w:spacing w:after="0"/>
              <w:rPr>
                <w:sz w:val="20"/>
                <w:szCs w:val="20"/>
                <w:color w:val="auto"/>
              </w:rPr>
            </w:pPr>
            <w:r>
              <w:rPr>
                <w:rFonts w:ascii="Arial" w:cs="Arial" w:eastAsia="Arial" w:hAnsi="Arial"/>
                <w:sz w:val="14"/>
                <w:szCs w:val="14"/>
                <w:color w:val="auto"/>
              </w:rPr>
              <w:t>Three Months Ended April 30,</w:t>
            </w:r>
          </w:p>
        </w:tc>
        <w:tc>
          <w:tcPr>
            <w:tcW w:w="120" w:type="dxa"/>
            <w:vAlign w:val="bottom"/>
          </w:tcPr>
          <w:p>
            <w:pPr>
              <w:spacing w:after="0"/>
              <w:rPr>
                <w:sz w:val="15"/>
                <w:szCs w:val="15"/>
                <w:color w:val="auto"/>
              </w:rPr>
            </w:pPr>
          </w:p>
        </w:tc>
        <w:tc>
          <w:tcPr>
            <w:tcW w:w="1880" w:type="dxa"/>
            <w:vAlign w:val="bottom"/>
            <w:gridSpan w:val="4"/>
          </w:tcPr>
          <w:p>
            <w:pPr>
              <w:jc w:val="right"/>
              <w:ind w:right="48"/>
              <w:spacing w:after="0"/>
              <w:rPr>
                <w:sz w:val="20"/>
                <w:szCs w:val="20"/>
                <w:color w:val="auto"/>
              </w:rPr>
            </w:pPr>
            <w:r>
              <w:rPr>
                <w:rFonts w:ascii="Arial" w:cs="Arial" w:eastAsia="Arial" w:hAnsi="Arial"/>
                <w:sz w:val="14"/>
                <w:szCs w:val="14"/>
                <w:color w:val="auto"/>
                <w:w w:val="97"/>
              </w:rPr>
              <w:t>Nine Months Ended April 30,</w:t>
            </w:r>
          </w:p>
        </w:tc>
        <w:tc>
          <w:tcPr>
            <w:tcW w:w="0" w:type="dxa"/>
            <w:vAlign w:val="bottom"/>
          </w:tcPr>
          <w:p>
            <w:pPr>
              <w:spacing w:after="0"/>
              <w:rPr>
                <w:sz w:val="1"/>
                <w:szCs w:val="1"/>
                <w:color w:val="auto"/>
              </w:rPr>
            </w:pPr>
          </w:p>
        </w:tc>
      </w:tr>
      <w:tr>
        <w:trPr>
          <w:trHeight w:val="30"/>
        </w:trPr>
        <w:tc>
          <w:tcPr>
            <w:tcW w:w="4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2014</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4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30"/>
        </w:trPr>
        <w:tc>
          <w:tcPr>
            <w:tcW w:w="44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(GAAP measure)</w:t>
            </w:r>
          </w:p>
        </w:tc>
        <w:tc>
          <w:tcPr>
            <w:tcW w:w="66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4,074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17,077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48,340</w:t>
            </w:r>
          </w:p>
        </w:tc>
        <w:tc>
          <w:tcPr>
            <w:tcW w:w="0" w:type="dxa"/>
            <w:vAlign w:val="bottom"/>
          </w:tcPr>
          <w:p>
            <w:pPr>
              <w:spacing w:after="0"/>
              <w:rPr>
                <w:sz w:val="1"/>
                <w:szCs w:val="1"/>
                <w:color w:val="auto"/>
              </w:rPr>
            </w:pPr>
          </w:p>
        </w:tc>
      </w:tr>
      <w:tr>
        <w:trPr>
          <w:trHeight w:val="211"/>
        </w:trPr>
        <w:tc>
          <w:tcPr>
            <w:tcW w:w="4420" w:type="dxa"/>
            <w:vAlign w:val="bottom"/>
          </w:tcPr>
          <w:p>
            <w:pPr>
              <w:ind w:left="400"/>
              <w:spacing w:after="0"/>
              <w:rPr>
                <w:sz w:val="20"/>
                <w:szCs w:val="20"/>
                <w:color w:val="auto"/>
              </w:rPr>
            </w:pPr>
            <w:r>
              <w:rPr>
                <w:rFonts w:ascii="Arial" w:cs="Arial" w:eastAsia="Arial" w:hAnsi="Arial"/>
                <w:sz w:val="14"/>
                <w:szCs w:val="14"/>
                <w:color w:val="auto"/>
              </w:rPr>
              <w:t>Cost of goods sold:</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4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Purchase accounting expense related to inventory</w:t>
            </w:r>
          </w:p>
        </w:tc>
        <w:tc>
          <w:tcPr>
            <w:tcW w:w="6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11"/>
        </w:trPr>
        <w:tc>
          <w:tcPr>
            <w:tcW w:w="4420" w:type="dxa"/>
            <w:vAlign w:val="bottom"/>
          </w:tcPr>
          <w:p>
            <w:pPr>
              <w:ind w:left="400"/>
              <w:spacing w:after="0"/>
              <w:rPr>
                <w:sz w:val="20"/>
                <w:szCs w:val="20"/>
                <w:color w:val="auto"/>
              </w:rPr>
            </w:pPr>
            <w:r>
              <w:rPr>
                <w:rFonts w:ascii="Arial" w:cs="Arial" w:eastAsia="Arial" w:hAnsi="Arial"/>
                <w:sz w:val="14"/>
                <w:szCs w:val="14"/>
                <w:color w:val="auto"/>
              </w:rPr>
              <w:t>Selling, general and administrative:</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4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PDC acquisition-related expenses</w:t>
            </w:r>
          </w:p>
        </w:tc>
        <w:tc>
          <w:tcPr>
            <w:tcW w:w="6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211"/>
        </w:trPr>
        <w:tc>
          <w:tcPr>
            <w:tcW w:w="442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30"/>
        </w:trPr>
        <w:tc>
          <w:tcPr>
            <w:tcW w:w="4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4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Non-cash income tax charges related to PDC funding</w:t>
            </w:r>
          </w:p>
        </w:tc>
        <w:tc>
          <w:tcPr>
            <w:tcW w:w="6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73"/>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w:t>
            </w:r>
          </w:p>
        </w:tc>
        <w:tc>
          <w:tcPr>
            <w:tcW w:w="660" w:type="dxa"/>
            <w:vAlign w:val="bottom"/>
            <w:tcBorders>
              <w:top w:val="single" w:sz="8" w:color="auto"/>
            </w:tcBorders>
            <w:vMerge w:val="restart"/>
          </w:tcPr>
          <w:p>
            <w:pPr>
              <w:jc w:val="right"/>
              <w:ind w:right="508"/>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85"/>
              </w:rPr>
              <w:t>5,042</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7,893</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21,661</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26,562</w:t>
            </w:r>
          </w:p>
        </w:tc>
        <w:tc>
          <w:tcPr>
            <w:tcW w:w="0" w:type="dxa"/>
            <w:vAlign w:val="bottom"/>
          </w:tcPr>
          <w:p>
            <w:pPr>
              <w:spacing w:after="0"/>
              <w:rPr>
                <w:sz w:val="1"/>
                <w:szCs w:val="1"/>
                <w:color w:val="auto"/>
              </w:rPr>
            </w:pPr>
          </w:p>
        </w:tc>
      </w:tr>
      <w:tr>
        <w:trPr>
          <w:trHeight w:val="202"/>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(non-GAAP measure)</w:t>
            </w:r>
          </w:p>
        </w:tc>
        <w:tc>
          <w:tcPr>
            <w:tcW w:w="66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706"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GAAP TO 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Per Share Amounts)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Net Earnings from Continuing Operations Excluding Certain Items:</w:t>
      </w:r>
    </w:p>
    <w:p>
      <w:pPr>
        <w:spacing w:after="0" w:line="72" w:lineRule="exact"/>
        <w:rPr>
          <w:sz w:val="20"/>
          <w:szCs w:val="20"/>
          <w:color w:val="auto"/>
        </w:rPr>
      </w:pPr>
    </w:p>
    <w:p>
      <w:pPr>
        <w:jc w:val="both"/>
        <w:ind w:left="60" w:right="1579"/>
        <w:spacing w:after="0" w:line="303" w:lineRule="auto"/>
        <w:rPr>
          <w:sz w:val="20"/>
          <w:szCs w:val="20"/>
          <w:color w:val="auto"/>
        </w:rPr>
      </w:pPr>
      <w:r>
        <w:rPr>
          <w:rFonts w:ascii="Arial" w:cs="Arial" w:eastAsia="Arial" w:hAnsi="Arial"/>
          <w:sz w:val="13"/>
          <w:szCs w:val="13"/>
          <w:color w:val="auto"/>
        </w:rPr>
        <w:t>Brady is presenting the Non-GAAP measure "Net Earnings from Continuing Operations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to Net Earnings from Continuing Operations Excluding Certain Items:</w:t>
      </w: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4"/>
                <w:szCs w:val="14"/>
                <w:color w:val="auto"/>
              </w:rPr>
              <w:t>Three Months Ended April 30,</w:t>
            </w:r>
          </w:p>
        </w:tc>
        <w:tc>
          <w:tcPr>
            <w:tcW w:w="160" w:type="dxa"/>
            <w:vAlign w:val="bottom"/>
          </w:tcPr>
          <w:p>
            <w:pPr>
              <w:spacing w:after="0"/>
              <w:rPr>
                <w:sz w:val="15"/>
                <w:szCs w:val="15"/>
                <w:color w:val="auto"/>
              </w:rPr>
            </w:pPr>
          </w:p>
        </w:tc>
        <w:tc>
          <w:tcPr>
            <w:tcW w:w="2000" w:type="dxa"/>
            <w:vAlign w:val="bottom"/>
            <w:gridSpan w:val="4"/>
          </w:tcPr>
          <w:p>
            <w:pPr>
              <w:jc w:val="right"/>
              <w:ind w:right="128"/>
              <w:spacing w:after="0"/>
              <w:rPr>
                <w:sz w:val="20"/>
                <w:szCs w:val="20"/>
                <w:color w:val="auto"/>
              </w:rPr>
            </w:pPr>
            <w:r>
              <w:rPr>
                <w:rFonts w:ascii="Arial" w:cs="Arial" w:eastAsia="Arial" w:hAnsi="Arial"/>
                <w:sz w:val="14"/>
                <w:szCs w:val="14"/>
                <w:color w:val="auto"/>
                <w:w w:val="99"/>
              </w:rPr>
              <w:t>Nine Months Ended April 30,</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8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30"/>
        </w:trPr>
        <w:tc>
          <w:tcPr>
            <w:tcW w:w="4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(GAAP measure)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20,184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21,680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48,835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37,300</w:t>
            </w:r>
          </w:p>
        </w:tc>
        <w:tc>
          <w:tcPr>
            <w:tcW w:w="0" w:type="dxa"/>
            <w:vAlign w:val="bottom"/>
          </w:tcPr>
          <w:p>
            <w:pPr>
              <w:spacing w:after="0"/>
              <w:rPr>
                <w:sz w:val="1"/>
                <w:szCs w:val="1"/>
                <w:color w:val="auto"/>
              </w:rPr>
            </w:pPr>
          </w:p>
        </w:tc>
      </w:tr>
      <w:tr>
        <w:trPr>
          <w:trHeight w:val="211"/>
        </w:trPr>
        <w:tc>
          <w:tcPr>
            <w:tcW w:w="4200" w:type="dxa"/>
            <w:vAlign w:val="bottom"/>
          </w:tcPr>
          <w:p>
            <w:pPr>
              <w:ind w:left="400"/>
              <w:spacing w:after="0"/>
              <w:rPr>
                <w:sz w:val="20"/>
                <w:szCs w:val="20"/>
                <w:color w:val="auto"/>
              </w:rPr>
            </w:pPr>
            <w:r>
              <w:rPr>
                <w:rFonts w:ascii="Arial" w:cs="Arial" w:eastAsia="Arial" w:hAnsi="Arial"/>
                <w:sz w:val="14"/>
                <w:szCs w:val="14"/>
                <w:color w:val="auto"/>
              </w:rPr>
              <w:t>Cost of goods sold: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Purchase accounting expense related to inventory</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211"/>
        </w:trPr>
        <w:tc>
          <w:tcPr>
            <w:tcW w:w="4200" w:type="dxa"/>
            <w:vAlign w:val="bottom"/>
          </w:tcPr>
          <w:p>
            <w:pPr>
              <w:ind w:left="400"/>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PDC acquisition-related expenses</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2,959</w:t>
            </w:r>
          </w:p>
        </w:tc>
        <w:tc>
          <w:tcPr>
            <w:tcW w:w="0" w:type="dxa"/>
            <w:vAlign w:val="bottom"/>
          </w:tcPr>
          <w:p>
            <w:pPr>
              <w:spacing w:after="0"/>
              <w:rPr>
                <w:sz w:val="1"/>
                <w:szCs w:val="1"/>
                <w:color w:val="auto"/>
              </w:rPr>
            </w:pPr>
          </w:p>
        </w:tc>
      </w:tr>
      <w:tr>
        <w:trPr>
          <w:trHeight w:val="211"/>
        </w:trPr>
        <w:tc>
          <w:tcPr>
            <w:tcW w:w="420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8,473</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2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Non-cash income tax charges related to PDC funding</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73"/>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Net Earnings from Continuing Operations Excluding Certain</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22,255</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28,529</w:t>
            </w:r>
          </w:p>
        </w:tc>
        <w:tc>
          <w:tcPr>
            <w:tcW w:w="10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58,453</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74,681</w:t>
            </w:r>
          </w:p>
        </w:tc>
        <w:tc>
          <w:tcPr>
            <w:tcW w:w="0" w:type="dxa"/>
            <w:vAlign w:val="bottom"/>
          </w:tcPr>
          <w:p>
            <w:pPr>
              <w:spacing w:after="0"/>
              <w:rPr>
                <w:sz w:val="1"/>
                <w:szCs w:val="1"/>
                <w:color w:val="auto"/>
              </w:rPr>
            </w:pPr>
          </w:p>
        </w:tc>
      </w:tr>
      <w:tr>
        <w:trPr>
          <w:trHeight w:val="202"/>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Items (non-GAAP measure)</w:t>
            </w:r>
          </w:p>
        </w:tc>
        <w:tc>
          <w:tcPr>
            <w:tcW w:w="1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 Nonvoting Common Share Excluding Certain Items:</w:t>
      </w:r>
    </w:p>
    <w:p>
      <w:pPr>
        <w:spacing w:after="0" w:line="72" w:lineRule="exact"/>
        <w:rPr>
          <w:sz w:val="20"/>
          <w:szCs w:val="20"/>
          <w:color w:val="auto"/>
        </w:rPr>
      </w:pPr>
    </w:p>
    <w:p>
      <w:pPr>
        <w:jc w:val="both"/>
        <w:ind w:left="20" w:right="1559"/>
        <w:spacing w:after="0" w:line="301" w:lineRule="auto"/>
        <w:rPr>
          <w:sz w:val="20"/>
          <w:szCs w:val="20"/>
          <w:color w:val="auto"/>
        </w:rPr>
      </w:pPr>
      <w:r>
        <w:rPr>
          <w:rFonts w:ascii="Arial" w:cs="Arial" w:eastAsia="Arial" w:hAnsi="Arial"/>
          <w:sz w:val="13"/>
          <w:szCs w:val="13"/>
          <w:color w:val="auto"/>
        </w:rPr>
        <w:t>Brady is presenting the Non-GAAP measure "Net Earnings from Continuing Operations Per Diluted Class A Nonvoting Common Share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Per Diluted Class A Nonvoting Common Share to Net Earnings from Continuing Operations Per Diluted Class A Nonvoting Common Share Excluding Certain Items: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40" w:type="dxa"/>
            <w:vAlign w:val="bottom"/>
          </w:tcPr>
          <w:p>
            <w:pPr>
              <w:spacing w:after="0"/>
              <w:rPr>
                <w:sz w:val="15"/>
                <w:szCs w:val="15"/>
                <w:color w:val="auto"/>
              </w:rPr>
            </w:pPr>
          </w:p>
        </w:tc>
        <w:tc>
          <w:tcPr>
            <w:tcW w:w="2260" w:type="dxa"/>
            <w:vAlign w:val="bottom"/>
            <w:gridSpan w:val="6"/>
          </w:tcPr>
          <w:p>
            <w:pPr>
              <w:ind w:left="200"/>
              <w:spacing w:after="0"/>
              <w:rPr>
                <w:sz w:val="20"/>
                <w:szCs w:val="20"/>
                <w:color w:val="auto"/>
              </w:rPr>
            </w:pPr>
            <w:r>
              <w:rPr>
                <w:rFonts w:ascii="Arial" w:cs="Arial" w:eastAsia="Arial" w:hAnsi="Arial"/>
                <w:sz w:val="14"/>
                <w:szCs w:val="14"/>
                <w:color w:val="auto"/>
              </w:rPr>
              <w:t>Three Months Ended April 30,</w:t>
            </w:r>
          </w:p>
        </w:tc>
        <w:tc>
          <w:tcPr>
            <w:tcW w:w="160" w:type="dxa"/>
            <w:vAlign w:val="bottom"/>
          </w:tcPr>
          <w:p>
            <w:pPr>
              <w:spacing w:after="0"/>
              <w:rPr>
                <w:sz w:val="15"/>
                <w:szCs w:val="15"/>
                <w:color w:val="auto"/>
              </w:rPr>
            </w:pPr>
          </w:p>
        </w:tc>
        <w:tc>
          <w:tcPr>
            <w:tcW w:w="2020" w:type="dxa"/>
            <w:vAlign w:val="bottom"/>
            <w:gridSpan w:val="4"/>
          </w:tcPr>
          <w:p>
            <w:pPr>
              <w:jc w:val="right"/>
              <w:ind w:right="148"/>
              <w:spacing w:after="0"/>
              <w:rPr>
                <w:sz w:val="20"/>
                <w:szCs w:val="20"/>
                <w:color w:val="auto"/>
              </w:rPr>
            </w:pPr>
            <w:r>
              <w:rPr>
                <w:rFonts w:ascii="Arial" w:cs="Arial" w:eastAsia="Arial" w:hAnsi="Arial"/>
                <w:sz w:val="14"/>
                <w:szCs w:val="14"/>
                <w:color w:val="auto"/>
                <w:w w:val="99"/>
              </w:rPr>
              <w:t>Nine Months Ended April 30,</w:t>
            </w:r>
          </w:p>
        </w:tc>
        <w:tc>
          <w:tcPr>
            <w:tcW w:w="0" w:type="dxa"/>
            <w:vAlign w:val="bottom"/>
          </w:tcPr>
          <w:p>
            <w:pPr>
              <w:spacing w:after="0"/>
              <w:rPr>
                <w:sz w:val="1"/>
                <w:szCs w:val="1"/>
                <w:color w:val="auto"/>
              </w:rPr>
            </w:pPr>
          </w:p>
        </w:tc>
      </w:tr>
      <w:tr>
        <w:trPr>
          <w:trHeight w:val="30"/>
        </w:trPr>
        <w:tc>
          <w:tcPr>
            <w:tcW w:w="4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30"/>
        </w:trPr>
        <w:tc>
          <w:tcPr>
            <w:tcW w:w="42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w:t>
            </w: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Nonvoting Common Share (GAAP measure)</w:t>
            </w:r>
          </w:p>
        </w:tc>
        <w:tc>
          <w:tcPr>
            <w:tcW w:w="700" w:type="dxa"/>
            <w:vAlign w:val="bottom"/>
            <w:tcBorders>
              <w:bottom w:val="single" w:sz="8" w:color="CCEEFF"/>
            </w:tcBorders>
            <w:shd w:val="clear" w:color="auto" w:fill="CCEEFF"/>
          </w:tcPr>
          <w:p>
            <w:pPr>
              <w:jc w:val="right"/>
              <w:ind w:right="548"/>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0.39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211"/>
        </w:trPr>
        <w:tc>
          <w:tcPr>
            <w:tcW w:w="4240" w:type="dxa"/>
            <w:vAlign w:val="bottom"/>
          </w:tcPr>
          <w:p>
            <w:pPr>
              <w:ind w:left="400"/>
              <w:spacing w:after="0"/>
              <w:rPr>
                <w:sz w:val="20"/>
                <w:szCs w:val="20"/>
                <w:color w:val="auto"/>
              </w:rPr>
            </w:pPr>
            <w:r>
              <w:rPr>
                <w:rFonts w:ascii="Arial" w:cs="Arial" w:eastAsia="Arial" w:hAnsi="Arial"/>
                <w:sz w:val="14"/>
                <w:szCs w:val="14"/>
                <w:color w:val="auto"/>
              </w:rPr>
              <w:t>Cost of goods sold:</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2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Purchase accounting expense related to inventory</w:t>
            </w:r>
          </w:p>
        </w:tc>
        <w:tc>
          <w:tcPr>
            <w:tcW w:w="7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11"/>
        </w:trPr>
        <w:tc>
          <w:tcPr>
            <w:tcW w:w="4240" w:type="dxa"/>
            <w:vAlign w:val="bottom"/>
          </w:tcPr>
          <w:p>
            <w:pPr>
              <w:ind w:left="400"/>
              <w:spacing w:after="0"/>
              <w:rPr>
                <w:sz w:val="20"/>
                <w:szCs w:val="20"/>
                <w:color w:val="auto"/>
              </w:rPr>
            </w:pPr>
            <w:r>
              <w:rPr>
                <w:rFonts w:ascii="Arial" w:cs="Arial" w:eastAsia="Arial" w:hAnsi="Arial"/>
                <w:sz w:val="14"/>
                <w:szCs w:val="14"/>
                <w:color w:val="auto"/>
              </w:rPr>
              <w:t>Selling, general and administrative:</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2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PDC acquisition-related expenses</w:t>
            </w:r>
          </w:p>
        </w:tc>
        <w:tc>
          <w:tcPr>
            <w:tcW w:w="7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11"/>
        </w:trPr>
        <w:tc>
          <w:tcPr>
            <w:tcW w:w="424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7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5"/>
              </w:rPr>
              <w:t>0.04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30"/>
        </w:trPr>
        <w:tc>
          <w:tcPr>
            <w:tcW w:w="4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2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Non-cash income tax charges related to PDC funding</w:t>
            </w:r>
          </w:p>
        </w:tc>
        <w:tc>
          <w:tcPr>
            <w:tcW w:w="7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173"/>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w:t>
            </w:r>
          </w:p>
        </w:tc>
        <w:tc>
          <w:tcPr>
            <w:tcW w:w="7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Nonvoting Common Share Excluding Certain Items (non-GAAP</w:t>
            </w:r>
          </w:p>
        </w:tc>
        <w:tc>
          <w:tcPr>
            <w:tcW w:w="700" w:type="dxa"/>
            <w:vAlign w:val="bottom"/>
            <w:vMerge w:val="restart"/>
          </w:tcPr>
          <w:p>
            <w:pPr>
              <w:jc w:val="right"/>
              <w:ind w:right="548"/>
              <w:spacing w:after="0"/>
              <w:rPr>
                <w:sz w:val="20"/>
                <w:szCs w:val="20"/>
                <w:color w:val="auto"/>
              </w:rPr>
            </w:pPr>
            <w:r>
              <w:rPr>
                <w:rFonts w:ascii="Arial" w:cs="Arial" w:eastAsia="Arial" w:hAnsi="Arial"/>
                <w:sz w:val="14"/>
                <w:szCs w:val="14"/>
                <w:color w:val="auto"/>
                <w:w w:val="76"/>
              </w:rPr>
              <w:t>$</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95"/>
              </w:rPr>
              <w:t>0.43</w:t>
            </w:r>
          </w:p>
        </w:tc>
        <w:tc>
          <w:tcPr>
            <w:tcW w:w="100" w:type="dxa"/>
            <w:vAlign w:val="bottom"/>
          </w:tcPr>
          <w:p>
            <w:pPr>
              <w:spacing w:after="0"/>
              <w:rPr>
                <w:sz w:val="15"/>
                <w:szCs w:val="15"/>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2"/>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measure)</w:t>
            </w:r>
          </w:p>
        </w:tc>
        <w:tc>
          <w:tcPr>
            <w:tcW w:w="7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730" w:right="1440"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2019-12-05T20:22:34Z</dcterms:created>
  <dcterms:modified xsi:type="dcterms:W3CDTF">2019-12-05T20:22:34Z</dcterms:modified>
</cp:coreProperties>
</file>