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 2014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5"/>
          <w:szCs w:val="25"/>
          <w:color w:val="auto"/>
        </w:rPr>
        <w:t>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43"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32"/>
          <w:szCs w:val="32"/>
          <w:b w:val="1"/>
          <w:bCs w:val="1"/>
          <w:color w:val="auto"/>
        </w:rPr>
        <w:t>BRADY CORPORATION</w:t>
      </w:r>
    </w:p>
    <w:p>
      <w:pPr>
        <w:spacing w:after="0" w:line="6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187325</wp:posOffset>
            </wp:positionV>
            <wp:extent cx="3542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7080" w:type="dxa"/>
            <w:vAlign w:val="bottom"/>
          </w:tcPr>
          <w:p>
            <w:pPr>
              <w:jc w:val="center"/>
              <w:ind w:right="3015"/>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3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78"/>
        </w:trPr>
        <w:tc>
          <w:tcPr>
            <w:tcW w:w="7080" w:type="dxa"/>
            <w:vAlign w:val="bottom"/>
          </w:tcPr>
          <w:p>
            <w:pPr>
              <w:jc w:val="center"/>
              <w:ind w:right="3015"/>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4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080" w:type="dxa"/>
            <w:vAlign w:val="bottom"/>
          </w:tcPr>
          <w:p>
            <w:pPr>
              <w:jc w:val="center"/>
              <w:ind w:right="301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4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77"/>
        </w:trPr>
        <w:tc>
          <w:tcPr>
            <w:tcW w:w="7080" w:type="dxa"/>
            <w:vAlign w:val="bottom"/>
          </w:tcPr>
          <w:p>
            <w:pPr>
              <w:jc w:val="center"/>
              <w:ind w:right="3015"/>
              <w:spacing w:after="0"/>
              <w:rPr>
                <w:sz w:val="20"/>
                <w:szCs w:val="20"/>
                <w:color w:val="auto"/>
              </w:rPr>
            </w:pPr>
            <w:r>
              <w:rPr>
                <w:rFonts w:ascii="Times New Roman" w:cs="Times New Roman" w:eastAsia="Times New Roman" w:hAnsi="Times New Roman"/>
                <w:sz w:val="18"/>
                <w:szCs w:val="18"/>
                <w:b w:val="1"/>
                <w:bCs w:val="1"/>
                <w:color w:val="auto"/>
                <w:w w:val="99"/>
              </w:rPr>
              <w:t>6555 West Good Hope Road, Milwaukee, Wisconsin</w:t>
            </w:r>
          </w:p>
        </w:tc>
        <w:tc>
          <w:tcPr>
            <w:tcW w:w="13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53223</w:t>
            </w:r>
          </w:p>
        </w:tc>
      </w:tr>
      <w:tr>
        <w:trPr>
          <w:trHeight w:val="220"/>
        </w:trPr>
        <w:tc>
          <w:tcPr>
            <w:tcW w:w="7080" w:type="dxa"/>
            <w:vAlign w:val="bottom"/>
          </w:tcPr>
          <w:p>
            <w:pPr>
              <w:jc w:val="center"/>
              <w:ind w:right="301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4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3"/>
        </w:trPr>
        <w:tc>
          <w:tcPr>
            <w:tcW w:w="7080" w:type="dxa"/>
            <w:vAlign w:val="bottom"/>
          </w:tcPr>
          <w:p>
            <w:pPr>
              <w:jc w:val="center"/>
              <w:ind w:left="2755"/>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1340" w:type="dxa"/>
            <w:vAlign w:val="bottom"/>
          </w:tcPr>
          <w:p>
            <w:pPr>
              <w:spacing w:after="0"/>
              <w:rPr>
                <w:sz w:val="24"/>
                <w:szCs w:val="24"/>
                <w:color w:val="auto"/>
              </w:rPr>
            </w:pPr>
          </w:p>
        </w:tc>
      </w:tr>
      <w:tr>
        <w:trPr>
          <w:trHeight w:val="190"/>
        </w:trPr>
        <w:tc>
          <w:tcPr>
            <w:tcW w:w="7080" w:type="dxa"/>
            <w:vAlign w:val="bottom"/>
          </w:tcPr>
          <w:p>
            <w:pPr>
              <w:jc w:val="center"/>
              <w:ind w:left="27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340" w:type="dxa"/>
            <w:vAlign w:val="bottom"/>
          </w:tcPr>
          <w:p>
            <w:pPr>
              <w:spacing w:after="0"/>
              <w:rPr>
                <w:sz w:val="16"/>
                <w:szCs w:val="16"/>
                <w:color w:val="auto"/>
              </w:rPr>
            </w:pPr>
          </w:p>
        </w:tc>
      </w:tr>
      <w:tr>
        <w:trPr>
          <w:trHeight w:val="406"/>
        </w:trPr>
        <w:tc>
          <w:tcPr>
            <w:tcW w:w="7080" w:type="dxa"/>
            <w:vAlign w:val="bottom"/>
          </w:tcPr>
          <w:p>
            <w:pPr>
              <w:jc w:val="center"/>
              <w:ind w:left="2735"/>
              <w:spacing w:after="0"/>
              <w:rPr>
                <w:sz w:val="20"/>
                <w:szCs w:val="20"/>
                <w:color w:val="auto"/>
              </w:rPr>
            </w:pPr>
            <w:r>
              <w:rPr>
                <w:rFonts w:ascii="Times New Roman" w:cs="Times New Roman" w:eastAsia="Times New Roman" w:hAnsi="Times New Roman"/>
                <w:sz w:val="18"/>
                <w:szCs w:val="18"/>
                <w:b w:val="1"/>
                <w:bCs w:val="1"/>
                <w:color w:val="auto"/>
                <w:w w:val="99"/>
              </w:rPr>
              <w:t>AARON J. PEARCE</w:t>
            </w:r>
          </w:p>
        </w:tc>
        <w:tc>
          <w:tcPr>
            <w:tcW w:w="1340" w:type="dxa"/>
            <w:vAlign w:val="bottom"/>
          </w:tcPr>
          <w:p>
            <w:pPr>
              <w:spacing w:after="0"/>
              <w:rPr>
                <w:sz w:val="24"/>
                <w:szCs w:val="24"/>
                <w:color w:val="auto"/>
              </w:rPr>
            </w:pPr>
          </w:p>
        </w:tc>
      </w:tr>
      <w:tr>
        <w:trPr>
          <w:trHeight w:val="216"/>
        </w:trPr>
        <w:tc>
          <w:tcPr>
            <w:tcW w:w="7080" w:type="dxa"/>
            <w:vAlign w:val="bottom"/>
          </w:tcPr>
          <w:p>
            <w:pPr>
              <w:jc w:val="center"/>
              <w:ind w:left="2735"/>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c>
          <w:tcPr>
            <w:tcW w:w="1340" w:type="dxa"/>
            <w:vAlign w:val="bottom"/>
          </w:tcPr>
          <w:p>
            <w:pPr>
              <w:spacing w:after="0"/>
              <w:rPr>
                <w:sz w:val="18"/>
                <w:szCs w:val="18"/>
                <w:color w:val="auto"/>
              </w:rPr>
            </w:pPr>
          </w:p>
        </w:tc>
      </w:tr>
      <w:tr>
        <w:trPr>
          <w:trHeight w:val="216"/>
        </w:trPr>
        <w:tc>
          <w:tcPr>
            <w:tcW w:w="7080" w:type="dxa"/>
            <w:vAlign w:val="bottom"/>
          </w:tcPr>
          <w:p>
            <w:pPr>
              <w:jc w:val="center"/>
              <w:ind w:left="2755"/>
              <w:spacing w:after="0"/>
              <w:rPr>
                <w:sz w:val="20"/>
                <w:szCs w:val="20"/>
                <w:color w:val="auto"/>
              </w:rPr>
            </w:pPr>
            <w:r>
              <w:rPr>
                <w:rFonts w:ascii="Times New Roman" w:cs="Times New Roman" w:eastAsia="Times New Roman" w:hAnsi="Times New Roman"/>
                <w:sz w:val="18"/>
                <w:szCs w:val="18"/>
                <w:b w:val="1"/>
                <w:bCs w:val="1"/>
                <w:color w:val="auto"/>
                <w:w w:val="99"/>
              </w:rPr>
              <w:t>Brady Corporation</w:t>
            </w:r>
          </w:p>
        </w:tc>
        <w:tc>
          <w:tcPr>
            <w:tcW w:w="1340" w:type="dxa"/>
            <w:vAlign w:val="bottom"/>
          </w:tcPr>
          <w:p>
            <w:pPr>
              <w:spacing w:after="0"/>
              <w:rPr>
                <w:sz w:val="18"/>
                <w:szCs w:val="18"/>
                <w:color w:val="auto"/>
              </w:rPr>
            </w:pPr>
          </w:p>
        </w:tc>
      </w:tr>
      <w:tr>
        <w:trPr>
          <w:trHeight w:val="216"/>
        </w:trPr>
        <w:tc>
          <w:tcPr>
            <w:tcW w:w="7080" w:type="dxa"/>
            <w:vAlign w:val="bottom"/>
          </w:tcPr>
          <w:p>
            <w:pPr>
              <w:jc w:val="center"/>
              <w:ind w:left="2755"/>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1340" w:type="dxa"/>
            <w:vAlign w:val="bottom"/>
          </w:tcPr>
          <w:p>
            <w:pPr>
              <w:spacing w:after="0"/>
              <w:rPr>
                <w:sz w:val="18"/>
                <w:szCs w:val="18"/>
                <w:color w:val="auto"/>
              </w:rPr>
            </w:pPr>
          </w:p>
        </w:tc>
      </w:tr>
      <w:tr>
        <w:trPr>
          <w:trHeight w:val="216"/>
        </w:trPr>
        <w:tc>
          <w:tcPr>
            <w:tcW w:w="7080" w:type="dxa"/>
            <w:vAlign w:val="bottom"/>
          </w:tcPr>
          <w:p>
            <w:pPr>
              <w:jc w:val="center"/>
              <w:ind w:left="2735"/>
              <w:spacing w:after="0"/>
              <w:rPr>
                <w:sz w:val="20"/>
                <w:szCs w:val="20"/>
                <w:color w:val="auto"/>
              </w:rPr>
            </w:pPr>
            <w:r>
              <w:rPr>
                <w:rFonts w:ascii="Times New Roman" w:cs="Times New Roman" w:eastAsia="Times New Roman" w:hAnsi="Times New Roman"/>
                <w:sz w:val="18"/>
                <w:szCs w:val="18"/>
                <w:b w:val="1"/>
                <w:bCs w:val="1"/>
                <w:color w:val="auto"/>
                <w:w w:val="97"/>
              </w:rPr>
              <w:t>P.O. Box 571</w:t>
            </w:r>
          </w:p>
        </w:tc>
        <w:tc>
          <w:tcPr>
            <w:tcW w:w="1340" w:type="dxa"/>
            <w:vAlign w:val="bottom"/>
          </w:tcPr>
          <w:p>
            <w:pPr>
              <w:spacing w:after="0"/>
              <w:rPr>
                <w:sz w:val="18"/>
                <w:szCs w:val="18"/>
                <w:color w:val="auto"/>
              </w:rPr>
            </w:pPr>
          </w:p>
        </w:tc>
      </w:tr>
      <w:tr>
        <w:trPr>
          <w:trHeight w:val="216"/>
        </w:trPr>
        <w:tc>
          <w:tcPr>
            <w:tcW w:w="7080" w:type="dxa"/>
            <w:vAlign w:val="bottom"/>
          </w:tcPr>
          <w:p>
            <w:pPr>
              <w:jc w:val="center"/>
              <w:ind w:left="2755"/>
              <w:spacing w:after="0"/>
              <w:rPr>
                <w:sz w:val="20"/>
                <w:szCs w:val="20"/>
                <w:color w:val="auto"/>
              </w:rPr>
            </w:pPr>
            <w:r>
              <w:rPr>
                <w:rFonts w:ascii="Times New Roman" w:cs="Times New Roman" w:eastAsia="Times New Roman" w:hAnsi="Times New Roman"/>
                <w:sz w:val="18"/>
                <w:szCs w:val="18"/>
                <w:b w:val="1"/>
                <w:bCs w:val="1"/>
                <w:color w:val="auto"/>
                <w:w w:val="99"/>
              </w:rPr>
              <w:t>Milwaukee, Wisconsin 53201-0571</w:t>
            </w:r>
          </w:p>
        </w:tc>
        <w:tc>
          <w:tcPr>
            <w:tcW w:w="1340" w:type="dxa"/>
            <w:vAlign w:val="bottom"/>
          </w:tcPr>
          <w:p>
            <w:pPr>
              <w:spacing w:after="0"/>
              <w:rPr>
                <w:sz w:val="18"/>
                <w:szCs w:val="18"/>
                <w:color w:val="auto"/>
              </w:rPr>
            </w:pPr>
          </w:p>
        </w:tc>
      </w:tr>
      <w:tr>
        <w:trPr>
          <w:trHeight w:val="216"/>
        </w:trPr>
        <w:tc>
          <w:tcPr>
            <w:tcW w:w="7080" w:type="dxa"/>
            <w:vAlign w:val="bottom"/>
          </w:tcPr>
          <w:p>
            <w:pPr>
              <w:jc w:val="center"/>
              <w:ind w:left="2755"/>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1340" w:type="dxa"/>
            <w:vAlign w:val="bottom"/>
          </w:tcPr>
          <w:p>
            <w:pPr>
              <w:spacing w:after="0"/>
              <w:rPr>
                <w:sz w:val="18"/>
                <w:szCs w:val="18"/>
                <w:color w:val="auto"/>
              </w:rPr>
            </w:pPr>
          </w:p>
        </w:tc>
      </w:tr>
      <w:tr>
        <w:trPr>
          <w:trHeight w:val="162"/>
        </w:trPr>
        <w:tc>
          <w:tcPr>
            <w:tcW w:w="7080" w:type="dxa"/>
            <w:vAlign w:val="bottom"/>
          </w:tcPr>
          <w:p>
            <w:pPr>
              <w:jc w:val="center"/>
              <w:ind w:left="2755"/>
              <w:spacing w:after="0"/>
              <w:rPr>
                <w:sz w:val="20"/>
                <w:szCs w:val="20"/>
                <w:color w:val="auto"/>
              </w:rPr>
            </w:pPr>
            <w:r>
              <w:rPr>
                <w:rFonts w:ascii="Times New Roman" w:cs="Times New Roman" w:eastAsia="Times New Roman" w:hAnsi="Times New Roman"/>
                <w:sz w:val="14"/>
                <w:szCs w:val="14"/>
                <w:color w:val="auto"/>
              </w:rPr>
              <w:t>(Name, address, including ZIP Code, and telephone number,</w:t>
            </w:r>
          </w:p>
        </w:tc>
        <w:tc>
          <w:tcPr>
            <w:tcW w:w="1340" w:type="dxa"/>
            <w:vAlign w:val="bottom"/>
          </w:tcPr>
          <w:p>
            <w:pPr>
              <w:spacing w:after="0"/>
              <w:rPr>
                <w:sz w:val="14"/>
                <w:szCs w:val="14"/>
                <w:color w:val="auto"/>
              </w:rPr>
            </w:pPr>
          </w:p>
        </w:tc>
      </w:tr>
      <w:tr>
        <w:trPr>
          <w:trHeight w:val="162"/>
        </w:trPr>
        <w:tc>
          <w:tcPr>
            <w:tcW w:w="7080" w:type="dxa"/>
            <w:vAlign w:val="bottom"/>
          </w:tcPr>
          <w:p>
            <w:pPr>
              <w:jc w:val="center"/>
              <w:ind w:left="2755"/>
              <w:spacing w:after="0"/>
              <w:rPr>
                <w:sz w:val="20"/>
                <w:szCs w:val="20"/>
                <w:color w:val="auto"/>
              </w:rPr>
            </w:pPr>
            <w:r>
              <w:rPr>
                <w:rFonts w:ascii="Times New Roman" w:cs="Times New Roman" w:eastAsia="Times New Roman" w:hAnsi="Times New Roman"/>
                <w:sz w:val="14"/>
                <w:szCs w:val="14"/>
                <w:color w:val="auto"/>
              </w:rPr>
              <w:t>including area code, of agent for service)</w:t>
            </w:r>
          </w:p>
        </w:tc>
        <w:tc>
          <w:tcPr>
            <w:tcW w:w="1340" w:type="dxa"/>
            <w:vAlign w:val="bottom"/>
          </w:tcPr>
          <w:p>
            <w:pPr>
              <w:spacing w:after="0"/>
              <w:rPr>
                <w:sz w:val="14"/>
                <w:szCs w:val="14"/>
                <w:color w:val="auto"/>
              </w:rPr>
            </w:pPr>
          </w:p>
        </w:tc>
      </w:tr>
      <w:tr>
        <w:trPr>
          <w:trHeight w:val="162"/>
        </w:trPr>
        <w:tc>
          <w:tcPr>
            <w:tcW w:w="7080" w:type="dxa"/>
            <w:vAlign w:val="bottom"/>
          </w:tcPr>
          <w:p>
            <w:pPr>
              <w:jc w:val="center"/>
              <w:ind w:left="2735"/>
              <w:spacing w:after="0"/>
              <w:rPr>
                <w:sz w:val="20"/>
                <w:szCs w:val="20"/>
                <w:color w:val="auto"/>
              </w:rPr>
            </w:pPr>
            <w:r>
              <w:rPr>
                <w:rFonts w:ascii="Times New Roman" w:cs="Times New Roman" w:eastAsia="Times New Roman" w:hAnsi="Times New Roman"/>
                <w:sz w:val="14"/>
                <w:szCs w:val="14"/>
                <w:color w:val="auto"/>
              </w:rPr>
              <w:t>________________</w:t>
            </w:r>
          </w:p>
        </w:tc>
        <w:tc>
          <w:tcPr>
            <w:tcW w:w="1340" w:type="dxa"/>
            <w:vAlign w:val="bottom"/>
          </w:tcPr>
          <w:p>
            <w:pPr>
              <w:spacing w:after="0"/>
              <w:rPr>
                <w:sz w:val="14"/>
                <w:szCs w:val="14"/>
                <w:color w:val="auto"/>
              </w:rPr>
            </w:pPr>
          </w:p>
        </w:tc>
      </w:tr>
      <w:tr>
        <w:trPr>
          <w:trHeight w:val="216"/>
        </w:trPr>
        <w:tc>
          <w:tcPr>
            <w:tcW w:w="7080" w:type="dxa"/>
            <w:vAlign w:val="bottom"/>
          </w:tcPr>
          <w:p>
            <w:pPr>
              <w:jc w:val="center"/>
              <w:ind w:left="2735"/>
              <w:spacing w:after="0"/>
              <w:rPr>
                <w:sz w:val="20"/>
                <w:szCs w:val="20"/>
                <w:color w:val="auto"/>
              </w:rPr>
            </w:pPr>
            <w:r>
              <w:rPr>
                <w:rFonts w:ascii="Times New Roman" w:cs="Times New Roman" w:eastAsia="Times New Roman" w:hAnsi="Times New Roman"/>
                <w:sz w:val="18"/>
                <w:szCs w:val="18"/>
                <w:b w:val="1"/>
                <w:bCs w:val="1"/>
                <w:i w:val="1"/>
                <w:iCs w:val="1"/>
                <w:color w:val="auto"/>
                <w:w w:val="99"/>
              </w:rPr>
              <w:t>Copy to:</w:t>
            </w:r>
          </w:p>
        </w:tc>
        <w:tc>
          <w:tcPr>
            <w:tcW w:w="1340" w:type="dxa"/>
            <w:vAlign w:val="bottom"/>
          </w:tcPr>
          <w:p>
            <w:pPr>
              <w:spacing w:after="0"/>
              <w:rPr>
                <w:sz w:val="18"/>
                <w:szCs w:val="18"/>
                <w:color w:val="auto"/>
              </w:rPr>
            </w:pPr>
          </w:p>
        </w:tc>
      </w:tr>
      <w:tr>
        <w:trPr>
          <w:trHeight w:val="216"/>
        </w:trPr>
        <w:tc>
          <w:tcPr>
            <w:tcW w:w="7080" w:type="dxa"/>
            <w:vAlign w:val="bottom"/>
          </w:tcPr>
          <w:p>
            <w:pPr>
              <w:jc w:val="center"/>
              <w:ind w:left="2735"/>
              <w:spacing w:after="0"/>
              <w:rPr>
                <w:sz w:val="20"/>
                <w:szCs w:val="20"/>
                <w:color w:val="auto"/>
              </w:rPr>
            </w:pPr>
            <w:r>
              <w:rPr>
                <w:rFonts w:ascii="Times New Roman" w:cs="Times New Roman" w:eastAsia="Times New Roman" w:hAnsi="Times New Roman"/>
                <w:sz w:val="18"/>
                <w:szCs w:val="18"/>
                <w:b w:val="1"/>
                <w:bCs w:val="1"/>
                <w:color w:val="auto"/>
                <w:w w:val="99"/>
              </w:rPr>
              <w:t>HOYT R. STASTNEY, ESQ.</w:t>
            </w:r>
          </w:p>
        </w:tc>
        <w:tc>
          <w:tcPr>
            <w:tcW w:w="1340" w:type="dxa"/>
            <w:vAlign w:val="bottom"/>
          </w:tcPr>
          <w:p>
            <w:pPr>
              <w:spacing w:after="0"/>
              <w:rPr>
                <w:sz w:val="18"/>
                <w:szCs w:val="18"/>
                <w:color w:val="auto"/>
              </w:rPr>
            </w:pPr>
          </w:p>
        </w:tc>
      </w:tr>
      <w:tr>
        <w:trPr>
          <w:trHeight w:val="216"/>
        </w:trPr>
        <w:tc>
          <w:tcPr>
            <w:tcW w:w="7080" w:type="dxa"/>
            <w:vAlign w:val="bottom"/>
          </w:tcPr>
          <w:p>
            <w:pPr>
              <w:jc w:val="center"/>
              <w:ind w:left="2755"/>
              <w:spacing w:after="0"/>
              <w:rPr>
                <w:sz w:val="20"/>
                <w:szCs w:val="20"/>
                <w:color w:val="auto"/>
              </w:rPr>
            </w:pPr>
            <w:r>
              <w:rPr>
                <w:rFonts w:ascii="Times New Roman" w:cs="Times New Roman" w:eastAsia="Times New Roman" w:hAnsi="Times New Roman"/>
                <w:sz w:val="18"/>
                <w:szCs w:val="18"/>
                <w:b w:val="1"/>
                <w:bCs w:val="1"/>
                <w:color w:val="auto"/>
                <w:w w:val="99"/>
              </w:rPr>
              <w:t>Quarles &amp; Brady LLP</w:t>
            </w:r>
          </w:p>
        </w:tc>
        <w:tc>
          <w:tcPr>
            <w:tcW w:w="1340" w:type="dxa"/>
            <w:vAlign w:val="bottom"/>
          </w:tcPr>
          <w:p>
            <w:pPr>
              <w:spacing w:after="0"/>
              <w:rPr>
                <w:sz w:val="18"/>
                <w:szCs w:val="18"/>
                <w:color w:val="auto"/>
              </w:rPr>
            </w:pPr>
          </w:p>
        </w:tc>
      </w:tr>
      <w:tr>
        <w:trPr>
          <w:trHeight w:val="216"/>
        </w:trPr>
        <w:tc>
          <w:tcPr>
            <w:tcW w:w="7080" w:type="dxa"/>
            <w:vAlign w:val="bottom"/>
          </w:tcPr>
          <w:p>
            <w:pPr>
              <w:jc w:val="center"/>
              <w:ind w:left="2735"/>
              <w:spacing w:after="0"/>
              <w:rPr>
                <w:sz w:val="20"/>
                <w:szCs w:val="20"/>
                <w:color w:val="auto"/>
              </w:rPr>
            </w:pPr>
            <w:r>
              <w:rPr>
                <w:rFonts w:ascii="Times New Roman" w:cs="Times New Roman" w:eastAsia="Times New Roman" w:hAnsi="Times New Roman"/>
                <w:sz w:val="18"/>
                <w:szCs w:val="18"/>
                <w:b w:val="1"/>
                <w:bCs w:val="1"/>
                <w:color w:val="auto"/>
                <w:w w:val="99"/>
              </w:rPr>
              <w:t>411 East Wisconsin Avenue</w:t>
            </w:r>
          </w:p>
        </w:tc>
        <w:tc>
          <w:tcPr>
            <w:tcW w:w="1340" w:type="dxa"/>
            <w:vAlign w:val="bottom"/>
          </w:tcPr>
          <w:p>
            <w:pPr>
              <w:spacing w:after="0"/>
              <w:rPr>
                <w:sz w:val="18"/>
                <w:szCs w:val="18"/>
                <w:color w:val="auto"/>
              </w:rPr>
            </w:pPr>
          </w:p>
        </w:tc>
      </w:tr>
      <w:tr>
        <w:trPr>
          <w:trHeight w:val="216"/>
        </w:trPr>
        <w:tc>
          <w:tcPr>
            <w:tcW w:w="7080" w:type="dxa"/>
            <w:vAlign w:val="bottom"/>
          </w:tcPr>
          <w:p>
            <w:pPr>
              <w:jc w:val="center"/>
              <w:ind w:left="2735"/>
              <w:spacing w:after="0"/>
              <w:rPr>
                <w:sz w:val="20"/>
                <w:szCs w:val="20"/>
                <w:color w:val="auto"/>
              </w:rPr>
            </w:pPr>
            <w:r>
              <w:rPr>
                <w:rFonts w:ascii="Times New Roman" w:cs="Times New Roman" w:eastAsia="Times New Roman" w:hAnsi="Times New Roman"/>
                <w:sz w:val="18"/>
                <w:szCs w:val="18"/>
                <w:b w:val="1"/>
                <w:bCs w:val="1"/>
                <w:color w:val="auto"/>
                <w:w w:val="99"/>
              </w:rPr>
              <w:t>Milwaukee, Wisconsin 53202</w:t>
            </w:r>
          </w:p>
        </w:tc>
        <w:tc>
          <w:tcPr>
            <w:tcW w:w="1340" w:type="dxa"/>
            <w:vAlign w:val="bottom"/>
          </w:tcPr>
          <w:p>
            <w:pPr>
              <w:spacing w:after="0"/>
              <w:rPr>
                <w:sz w:val="18"/>
                <w:szCs w:val="18"/>
                <w:color w:val="auto"/>
              </w:rPr>
            </w:pPr>
          </w:p>
        </w:tc>
      </w:tr>
      <w:tr>
        <w:trPr>
          <w:trHeight w:val="238"/>
        </w:trPr>
        <w:tc>
          <w:tcPr>
            <w:tcW w:w="7080" w:type="dxa"/>
            <w:vAlign w:val="bottom"/>
          </w:tcPr>
          <w:p>
            <w:pPr>
              <w:jc w:val="center"/>
              <w:ind w:left="2755"/>
              <w:spacing w:after="0"/>
              <w:rPr>
                <w:sz w:val="20"/>
                <w:szCs w:val="20"/>
                <w:color w:val="auto"/>
              </w:rPr>
            </w:pPr>
            <w:r>
              <w:rPr>
                <w:rFonts w:ascii="Times New Roman" w:cs="Times New Roman" w:eastAsia="Times New Roman" w:hAnsi="Times New Roman"/>
                <w:sz w:val="18"/>
                <w:szCs w:val="18"/>
                <w:b w:val="1"/>
                <w:bCs w:val="1"/>
                <w:color w:val="auto"/>
                <w:w w:val="99"/>
              </w:rPr>
              <w:t>(414) 277-5000</w:t>
            </w:r>
          </w:p>
        </w:tc>
        <w:tc>
          <w:tcPr>
            <w:tcW w:w="1340" w:type="dxa"/>
            <w:vAlign w:val="bottom"/>
          </w:tcPr>
          <w:p>
            <w:pPr>
              <w:spacing w:after="0"/>
              <w:rPr>
                <w:sz w:val="20"/>
                <w:szCs w:val="20"/>
                <w:color w:val="auto"/>
              </w:rPr>
            </w:pPr>
          </w:p>
        </w:tc>
      </w:tr>
    </w:tbl>
    <w:p>
      <w:pPr>
        <w:ind w:left="4840"/>
        <w:spacing w:after="0"/>
        <w:rPr>
          <w:sz w:val="20"/>
          <w:szCs w:val="20"/>
          <w:color w:val="auto"/>
        </w:rPr>
      </w:pPr>
      <w:r>
        <w:rPr>
          <w:rFonts w:ascii="Times New Roman" w:cs="Times New Roman" w:eastAsia="Times New Roman" w:hAnsi="Times New Roman"/>
          <w:sz w:val="22"/>
          <w:szCs w:val="22"/>
          <w:color w:val="auto"/>
        </w:rPr>
        <w:t>________________</w:t>
      </w:r>
    </w:p>
    <w:p>
      <w:pPr>
        <w:spacing w:after="0" w:line="236" w:lineRule="exact"/>
        <w:rPr>
          <w:sz w:val="24"/>
          <w:szCs w:val="24"/>
          <w:color w:val="auto"/>
        </w:rPr>
      </w:pPr>
    </w:p>
    <w:p>
      <w:pPr>
        <w:ind w:firstLine="648"/>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of the securities to the public: </w:t>
      </w:r>
      <w:r>
        <w:rPr>
          <w:rFonts w:ascii="Times New Roman" w:cs="Times New Roman" w:eastAsia="Times New Roman" w:hAnsi="Times New Roman"/>
          <w:sz w:val="14"/>
          <w:szCs w:val="14"/>
          <w:color w:val="auto"/>
        </w:rPr>
        <w:t>At such time or from time to time after the effective date of this Registration Statement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determined in light of market conditions and other factors.</w:t>
      </w:r>
    </w:p>
    <w:p>
      <w:pPr>
        <w:spacing w:after="0" w:line="82"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36" w:lineRule="exact"/>
        <w:rPr>
          <w:sz w:val="24"/>
          <w:szCs w:val="24"/>
          <w:color w:val="auto"/>
        </w:rPr>
      </w:pPr>
    </w:p>
    <w:p>
      <w:pPr>
        <w:ind w:firstLine="648"/>
        <w:spacing w:after="0" w:line="224"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60" w:lineRule="exact"/>
        <w:rPr>
          <w:sz w:val="24"/>
          <w:szCs w:val="24"/>
          <w:color w:val="auto"/>
        </w:rPr>
      </w:pPr>
    </w:p>
    <w:p>
      <w:pPr>
        <w:ind w:firstLine="648"/>
        <w:spacing w:after="0" w:line="224"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60" w:lineRule="exact"/>
        <w:rPr>
          <w:sz w:val="24"/>
          <w:szCs w:val="24"/>
          <w:color w:val="auto"/>
        </w:rPr>
      </w:pPr>
    </w:p>
    <w:p>
      <w:pPr>
        <w:ind w:firstLine="648"/>
        <w:spacing w:after="0" w:line="224"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60" w:lineRule="exact"/>
        <w:rPr>
          <w:sz w:val="24"/>
          <w:szCs w:val="24"/>
          <w:color w:val="auto"/>
        </w:rPr>
      </w:pPr>
    </w:p>
    <w:p>
      <w:pPr>
        <w:ind w:firstLine="648"/>
        <w:spacing w:after="0" w:line="224"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60" w:lineRule="exact"/>
        <w:rPr>
          <w:sz w:val="24"/>
          <w:szCs w:val="24"/>
          <w:color w:val="auto"/>
        </w:rPr>
      </w:pPr>
    </w:p>
    <w:p>
      <w:pPr>
        <w:ind w:firstLine="648"/>
        <w:spacing w:after="0" w:line="224"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3"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46"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Accelerated filer</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0" w:lineRule="exact"/>
        <w:rPr>
          <w:sz w:val="24"/>
          <w:szCs w:val="24"/>
          <w:color w:val="auto"/>
        </w:rPr>
      </w:pPr>
    </w:p>
    <w:p>
      <w:pPr>
        <w:sectPr>
          <w:pgSz w:w="11900" w:h="16838" w:orient="portrait"/>
          <w:cols w:equalWidth="0" w:num="1">
            <w:col w:w="11420"/>
          </w:cols>
          <w:pgMar w:left="240" w:top="900" w:right="239" w:bottom="0" w:gutter="0" w:footer="0" w:header="0"/>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CALCULATION OF REGISTRATION FEE</w:t>
      </w:r>
    </w:p>
    <w:p>
      <w:pPr>
        <w:sectPr>
          <w:pgSz w:w="11900" w:h="16838" w:orient="portrait"/>
          <w:cols w:equalWidth="0" w:num="1">
            <w:col w:w="11420"/>
          </w:cols>
          <w:pgMar w:left="240" w:top="900" w:right="239" w:bottom="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662"/>
        </w:trPr>
        <w:tc>
          <w:tcPr>
            <w:tcW w:w="55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maximum</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maximum</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5520" w:type="dxa"/>
            <w:vAlign w:val="bottom"/>
            <w:tcBorders>
              <w:left w:val="single" w:sz="8" w:color="auto"/>
              <w:right w:val="single" w:sz="8" w:color="auto"/>
            </w:tcBorders>
            <w:vMerge w:val="continue"/>
          </w:tcPr>
          <w:p>
            <w:pPr>
              <w:spacing w:after="0"/>
              <w:rPr>
                <w:sz w:val="12"/>
                <w:szCs w:val="12"/>
                <w:color w:val="auto"/>
              </w:rPr>
            </w:pPr>
          </w:p>
        </w:tc>
        <w:tc>
          <w:tcPr>
            <w:tcW w:w="14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48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14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registration</w:t>
            </w:r>
          </w:p>
        </w:tc>
        <w:tc>
          <w:tcPr>
            <w:tcW w:w="0" w:type="dxa"/>
            <w:vAlign w:val="bottom"/>
          </w:tcPr>
          <w:p>
            <w:pPr>
              <w:spacing w:after="0"/>
              <w:rPr>
                <w:sz w:val="1"/>
                <w:szCs w:val="1"/>
                <w:color w:val="auto"/>
              </w:rPr>
            </w:pPr>
          </w:p>
        </w:tc>
      </w:tr>
      <w:tr>
        <w:trPr>
          <w:trHeight w:val="198"/>
        </w:trPr>
        <w:tc>
          <w:tcPr>
            <w:tcW w:w="5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 per unit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64"/>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Debt securities</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 (2)</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Class A Nonvoting Common Stock, par value $.01 per share</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 (2)</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48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720" w:right="20" w:hanging="415"/>
        <w:spacing w:after="0" w:line="282" w:lineRule="auto"/>
        <w:tabs>
          <w:tab w:leader="none" w:pos="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being registered hereunder such indeterminate number, principal amount or liquidation of debt securities, and common stock of Brady Corporation, as may from time to time be issued at indeterminate prices. Any securities registered hereunder may be sold separately or as units with other securities registered hereunder.</w:t>
      </w:r>
    </w:p>
    <w:p>
      <w:pPr>
        <w:spacing w:after="0" w:line="107" w:lineRule="exact"/>
        <w:rPr>
          <w:rFonts w:ascii="Times New Roman" w:cs="Times New Roman" w:eastAsia="Times New Roman" w:hAnsi="Times New Roman"/>
          <w:sz w:val="14"/>
          <w:szCs w:val="14"/>
          <w:color w:val="auto"/>
        </w:rPr>
      </w:pPr>
    </w:p>
    <w:p>
      <w:pPr>
        <w:jc w:val="both"/>
        <w:ind w:left="720" w:right="20" w:hanging="415"/>
        <w:spacing w:after="0" w:line="269" w:lineRule="auto"/>
        <w:tabs>
          <w:tab w:leader="none" w:pos="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includes such indeterminate number of debt securities and common stock as may be issued upon conversion or exchange of any debt securities that provide for conversion or exchange into other securities for such securities. No separate consideration will be received for the debt securities or common stock issuable upon conversion of or in exchanges for debt securities.</w:t>
      </w:r>
    </w:p>
    <w:p>
      <w:pPr>
        <w:spacing w:after="0" w:line="287" w:lineRule="exact"/>
        <w:rPr>
          <w:rFonts w:ascii="Times New Roman" w:cs="Times New Roman" w:eastAsia="Times New Roman" w:hAnsi="Times New Roman"/>
          <w:sz w:val="14"/>
          <w:szCs w:val="14"/>
          <w:color w:val="auto"/>
        </w:rPr>
      </w:pPr>
    </w:p>
    <w:p>
      <w:pPr>
        <w:jc w:val="both"/>
        <w:ind w:left="720" w:right="20" w:hanging="415"/>
        <w:spacing w:after="0" w:line="261" w:lineRule="auto"/>
        <w:tabs>
          <w:tab w:leader="none" w:pos="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Rules 456(b) and 457(c), the Registrant is deferring payment of the registration fee. Pursuant to Rule 457(p) under the Securities Act of 1933, $30,131 of the registration fee for the securities issued under this registration statement will be offset by the registration fees paid in connection with the unsold securities registered by Brady Corporation under Registration Statement No. 333-128023 filed on September 1, 2005 and declared effective on November 10, 2005.</w:t>
      </w:r>
    </w:p>
    <w:p>
      <w:pPr>
        <w:sectPr>
          <w:pgSz w:w="11900" w:h="16838" w:orient="portrait"/>
          <w:cols w:equalWidth="0" w:num="1">
            <w:col w:w="11440"/>
          </w:cols>
          <w:pgMar w:left="240" w:top="214" w:right="2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Brady Corporation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NONVOTING COMMON STOCK</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we offer securities, we will provide you with a prospectus supplement describing the terms of the specific issue of securities, including the offering price of the securities. The prospectus supplement may also add, update or change information contained in this prospectus. You should read this prospectus and any supplement carefully before you invest.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offer from time to time:</w:t>
      </w:r>
    </w:p>
    <w:p>
      <w:pPr>
        <w:spacing w:after="0" w:line="225" w:lineRule="exact"/>
        <w:rPr>
          <w:sz w:val="20"/>
          <w:szCs w:val="20"/>
          <w:color w:val="auto"/>
        </w:rPr>
      </w:pPr>
    </w:p>
    <w:p>
      <w:pPr>
        <w:ind w:left="1300" w:hanging="401"/>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debt securities consisting of debentures, notes and/or other evidences of unsecured indebtedness in one or more series;</w:t>
      </w:r>
    </w:p>
    <w:p>
      <w:pPr>
        <w:spacing w:after="0" w:line="27"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Nonvoting Common Stock, $0.01 par value per share; and</w:t>
      </w:r>
    </w:p>
    <w:p>
      <w:pPr>
        <w:spacing w:after="0" w:line="9" w:lineRule="exact"/>
        <w:rPr>
          <w:rFonts w:ascii="Times New Roman" w:cs="Times New Roman" w:eastAsia="Times New Roman" w:hAnsi="Times New Roman"/>
          <w:sz w:val="18"/>
          <w:szCs w:val="18"/>
          <w:color w:val="auto"/>
        </w:rPr>
      </w:pPr>
    </w:p>
    <w:p>
      <w:pPr>
        <w:ind w:left="1300" w:hanging="401"/>
        <w:spacing w:after="0" w:line="261"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at prices and on terms to be determined at or prior to the time of sale in light of market conditions at the time of sale.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A Nonvoting common stock is quoted on the New York Stock Exchange, under the symbol “BRC.”</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Investment in our securities involves risks. See “Risk Factors” in our most recent Annual Report on Form 10-K and in any applicable prospectus supplement and/or other offering material for a discussion of certain factors which should be considered in an investment of the securities which may be offered hereby.</w:t>
      </w:r>
    </w:p>
    <w:p>
      <w:pPr>
        <w:spacing w:after="0" w:line="17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w:t>
      </w:r>
    </w:p>
    <w:p>
      <w:pPr>
        <w:spacing w:after="0" w:line="2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and complete. Any representation to the contrary is a criminal offense.</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December 1, 2014.</w:t>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44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color w:val="auto"/>
              </w:rPr>
              <w:t>PAGE</w:t>
            </w:r>
          </w:p>
        </w:tc>
      </w:tr>
      <w:tr>
        <w:trPr>
          <w:trHeight w:val="208"/>
        </w:trPr>
        <w:tc>
          <w:tcPr>
            <w:tcW w:w="40" w:type="dxa"/>
            <w:vAlign w:val="bottom"/>
            <w:shd w:val="clear" w:color="auto" w:fill="CCEEFF"/>
          </w:tcPr>
          <w:p>
            <w:pPr>
              <w:spacing w:after="0"/>
              <w:rPr>
                <w:sz w:val="18"/>
                <w:szCs w:val="18"/>
                <w:color w:val="auto"/>
              </w:rPr>
            </w:pPr>
          </w:p>
        </w:tc>
        <w:tc>
          <w:tcPr>
            <w:tcW w:w="9900" w:type="dxa"/>
            <w:vAlign w:val="bottom"/>
            <w:gridSpan w:val="13"/>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rPr>
              <w:t>ABOUT THIS PROSPECTUS</w:t>
            </w:r>
          </w:p>
        </w:tc>
        <w:tc>
          <w:tcPr>
            <w:tcW w:w="1480" w:type="dxa"/>
            <w:vAlign w:val="bottom"/>
            <w:gridSpan w:val="4"/>
            <w:shd w:val="clear" w:color="auto" w:fill="CCEEFF"/>
          </w:tcPr>
          <w:p>
            <w:pPr>
              <w:jc w:val="right"/>
              <w:ind w:right="20"/>
              <w:spacing w:after="0" w:line="170"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4480" w:type="dxa"/>
            <w:vAlign w:val="bottom"/>
            <w:tcBorders>
              <w:top w:val="single" w:sz="8" w:color="CCEEFF"/>
            </w:tcBorders>
            <w:shd w:val="clear" w:color="auto" w:fill="CCEEFF"/>
          </w:tcPr>
          <w:p>
            <w:pPr>
              <w:spacing w:after="0"/>
              <w:rPr>
                <w:sz w:val="3"/>
                <w:szCs w:val="3"/>
                <w:color w:val="auto"/>
              </w:rPr>
            </w:pPr>
          </w:p>
        </w:tc>
        <w:tc>
          <w:tcPr>
            <w:tcW w:w="1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203"/>
        </w:trPr>
        <w:tc>
          <w:tcPr>
            <w:tcW w:w="40" w:type="dxa"/>
            <w:vAlign w:val="bottom"/>
          </w:tcPr>
          <w:p>
            <w:pPr>
              <w:spacing w:after="0"/>
              <w:rPr>
                <w:sz w:val="17"/>
                <w:szCs w:val="17"/>
                <w:color w:val="auto"/>
              </w:rPr>
            </w:pPr>
          </w:p>
        </w:tc>
        <w:tc>
          <w:tcPr>
            <w:tcW w:w="99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FF"/>
              </w:rPr>
              <w:t>FORWARD-LOOKING STATEMENTS AND CAUTIONARY FACTORS</w:t>
            </w:r>
          </w:p>
        </w:tc>
        <w:tc>
          <w:tcPr>
            <w:tcW w:w="148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r>
      <w:tr>
        <w:trPr>
          <w:trHeight w:val="48"/>
        </w:trPr>
        <w:tc>
          <w:tcPr>
            <w:tcW w:w="4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44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0000FF"/>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7"/>
              </w:rPr>
              <w:t>THE COMPANY</w:t>
            </w:r>
          </w:p>
        </w:tc>
        <w:tc>
          <w:tcPr>
            <w:tcW w:w="8620" w:type="dxa"/>
            <w:vAlign w:val="bottom"/>
            <w:tcBorders>
              <w:bottom w:val="single" w:sz="8" w:color="CCEEFF"/>
            </w:tcBorders>
            <w:gridSpan w:val="10"/>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shd w:val="clear" w:color="auto" w:fill="CCEEFF"/>
              </w:rPr>
            </w:pPr>
            <w:hyperlink w:anchor="page5">
              <w:r>
                <w:rPr>
                  <w:rFonts w:ascii="Times New Roman" w:cs="Times New Roman" w:eastAsia="Times New Roman" w:hAnsi="Times New Roman"/>
                  <w:sz w:val="18"/>
                  <w:szCs w:val="18"/>
                  <w:color w:val="0000EE"/>
                  <w:w w:val="88"/>
                  <w:shd w:val="clear" w:color="auto" w:fill="CCEEFF"/>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99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148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3</w:t>
              </w:r>
            </w:hyperlink>
          </w:p>
        </w:tc>
      </w:tr>
      <w:tr>
        <w:trPr>
          <w:trHeight w:val="48"/>
        </w:trPr>
        <w:tc>
          <w:tcPr>
            <w:tcW w:w="4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0000FF"/>
            </w:tcBorders>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USE OF PROCEEDS</w:t>
            </w:r>
          </w:p>
        </w:tc>
        <w:tc>
          <w:tcPr>
            <w:tcW w:w="8320" w:type="dxa"/>
            <w:vAlign w:val="bottom"/>
            <w:tcBorders>
              <w:bottom w:val="single" w:sz="8" w:color="CCEEFF"/>
            </w:tcBorders>
            <w:gridSpan w:val="8"/>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shd w:val="clear" w:color="auto" w:fill="CCEEFF"/>
              </w:rPr>
            </w:pPr>
            <w:hyperlink w:anchor="page7">
              <w:r>
                <w:rPr>
                  <w:rFonts w:ascii="Times New Roman" w:cs="Times New Roman" w:eastAsia="Times New Roman" w:hAnsi="Times New Roman"/>
                  <w:sz w:val="18"/>
                  <w:szCs w:val="18"/>
                  <w:color w:val="0000EE"/>
                  <w:w w:val="88"/>
                  <w:shd w:val="clear" w:color="auto" w:fill="CCEEFF"/>
                </w:rPr>
                <w:t>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99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FF"/>
              </w:rPr>
              <w:t>RATIO OF EARNINGS TO FIXED CHARGES</w:t>
            </w:r>
          </w:p>
        </w:tc>
        <w:tc>
          <w:tcPr>
            <w:tcW w:w="148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5</w:t>
              </w:r>
            </w:hyperlink>
          </w:p>
        </w:tc>
      </w:tr>
      <w:tr>
        <w:trPr>
          <w:trHeight w:val="48"/>
        </w:trPr>
        <w:tc>
          <w:tcPr>
            <w:tcW w:w="4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90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DESCRIPTION OF DEBT SECURITIES</w:t>
            </w:r>
          </w:p>
        </w:tc>
        <w:tc>
          <w:tcPr>
            <w:tcW w:w="12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rFonts w:ascii="Times New Roman" w:cs="Times New Roman" w:eastAsia="Times New Roman" w:hAnsi="Times New Roman"/>
                <w:sz w:val="18"/>
                <w:szCs w:val="18"/>
                <w:color w:val="0000EE"/>
                <w:shd w:val="clear" w:color="auto" w:fill="CCEEFF"/>
              </w:rPr>
            </w:pPr>
            <w:hyperlink w:anchor="page8">
              <w:r>
                <w:rPr>
                  <w:rFonts w:ascii="Times New Roman" w:cs="Times New Roman" w:eastAsia="Times New Roman" w:hAnsi="Times New Roman"/>
                  <w:sz w:val="18"/>
                  <w:szCs w:val="18"/>
                  <w:color w:val="0000EE"/>
                  <w:shd w:val="clear" w:color="auto" w:fill="CCEEFF"/>
                </w:rPr>
                <w:t>5</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44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02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000FF"/>
              </w:rPr>
              <w:t>DESCRIPTION OF CAPITAL STOCK</w:t>
            </w:r>
          </w:p>
        </w:tc>
        <w:tc>
          <w:tcPr>
            <w:tcW w:w="6880" w:type="dxa"/>
            <w:vAlign w:val="bottom"/>
            <w:gridSpan w:val="4"/>
          </w:tcPr>
          <w:p>
            <w:pPr>
              <w:spacing w:after="0"/>
              <w:rPr>
                <w:sz w:val="17"/>
                <w:szCs w:val="17"/>
                <w:color w:val="auto"/>
              </w:rPr>
            </w:pPr>
          </w:p>
        </w:tc>
        <w:tc>
          <w:tcPr>
            <w:tcW w:w="148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10</w:t>
              </w:r>
            </w:hyperlink>
          </w:p>
        </w:tc>
      </w:tr>
      <w:tr>
        <w:trPr>
          <w:trHeight w:val="48"/>
        </w:trPr>
        <w:tc>
          <w:tcPr>
            <w:tcW w:w="4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0000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7"/>
              </w:rPr>
              <w:t>BOOK-ENTRY</w:t>
            </w:r>
          </w:p>
        </w:tc>
        <w:tc>
          <w:tcPr>
            <w:tcW w:w="8740" w:type="dxa"/>
            <w:vAlign w:val="bottom"/>
            <w:tcBorders>
              <w:bottom w:val="single" w:sz="8" w:color="CCEEFF"/>
            </w:tcBorders>
            <w:gridSpan w:val="11"/>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shd w:val="clear" w:color="auto" w:fill="CCEEFF"/>
              </w:rPr>
            </w:pPr>
            <w:hyperlink w:anchor="page15">
              <w:r>
                <w:rPr>
                  <w:rFonts w:ascii="Times New Roman" w:cs="Times New Roman" w:eastAsia="Times New Roman" w:hAnsi="Times New Roman"/>
                  <w:sz w:val="18"/>
                  <w:szCs w:val="18"/>
                  <w:color w:val="0000EE"/>
                  <w:w w:val="88"/>
                  <w:shd w:val="clear" w:color="auto" w:fill="CCEEFF"/>
                </w:rPr>
                <w:t>12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99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FF"/>
              </w:rPr>
              <w:t>PLAN OF DISTRIBUTION</w:t>
            </w:r>
          </w:p>
        </w:tc>
        <w:tc>
          <w:tcPr>
            <w:tcW w:w="148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13</w:t>
              </w:r>
            </w:hyperlink>
          </w:p>
        </w:tc>
      </w:tr>
      <w:tr>
        <w:trPr>
          <w:trHeight w:val="48"/>
        </w:trPr>
        <w:tc>
          <w:tcPr>
            <w:tcW w:w="4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90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LEGAL MATTERS</w:t>
            </w:r>
          </w:p>
        </w:tc>
        <w:tc>
          <w:tcPr>
            <w:tcW w:w="12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rFonts w:ascii="Times New Roman" w:cs="Times New Roman" w:eastAsia="Times New Roman" w:hAnsi="Times New Roman"/>
                <w:sz w:val="18"/>
                <w:szCs w:val="18"/>
                <w:color w:val="0000EE"/>
                <w:w w:val="88"/>
                <w:shd w:val="clear" w:color="auto" w:fill="CCEEFF"/>
              </w:rPr>
            </w:pPr>
            <w:hyperlink w:anchor="page17">
              <w:r>
                <w:rPr>
                  <w:rFonts w:ascii="Times New Roman" w:cs="Times New Roman" w:eastAsia="Times New Roman" w:hAnsi="Times New Roman"/>
                  <w:sz w:val="18"/>
                  <w:szCs w:val="18"/>
                  <w:color w:val="0000EE"/>
                  <w:w w:val="88"/>
                  <w:shd w:val="clear" w:color="auto" w:fill="CCEEFF"/>
                </w:rPr>
                <w:t>14</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44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EXPERTS</w:t>
            </w:r>
          </w:p>
        </w:tc>
        <w:tc>
          <w:tcPr>
            <w:tcW w:w="8460" w:type="dxa"/>
            <w:vAlign w:val="bottom"/>
            <w:gridSpan w:val="9"/>
          </w:tcPr>
          <w:p>
            <w:pPr>
              <w:spacing w:after="0"/>
              <w:rPr>
                <w:sz w:val="17"/>
                <w:szCs w:val="17"/>
                <w:color w:val="auto"/>
              </w:rPr>
            </w:pPr>
          </w:p>
        </w:tc>
        <w:tc>
          <w:tcPr>
            <w:tcW w:w="148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14</w:t>
              </w:r>
            </w:hyperlink>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person has been authorized to give any information or to make any representation not contained in, or incorporated by reference into, this prospectus or the accompanying prospectus supplement. You must not rely on any unauthorized information or representation. We do not imply or represent by delivering this prospectus that Brady Corporation, or its business, is unchanged after the date of the prospectus or that the information in this prospectus is correct as of any time after its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prospectus or any prospectus supplement may not contain all of the information that may be important to you. You should read the entire prospectus and any prospectus supplement, as well as the documents incorporated by reference into this prospectus or any accompanying prospectus supplement, before making an investment decision.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ABOUT THIS PROSPECTUS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utilizing a “shelf” registration process. Using this process, we may, from time to time, offer any combination of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particular offering. The prospectus supplement may also add, update or change information contained in this prospectus. To obtain additional information that may be important to you, you should also read the exhibits to the registration statement. You should read both this prospectus and any applicable prospectus supplement together with additional information described below under the heading “Where You Can Find More Information.”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used in this prospectus and any prospectus supplement, the terms “Brady,” “we,” “our,” “us” and the “Company” refer to Brady Corporation and its subsidiaries.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792"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 AND CAUTIONARY FACTORS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statements other than statements of historical facts included or incorporated by reference into this prospectus, including statements regarding our future financial position, business strategy, budgets, projected costs, and plans and objectives for future operations are “forward-looking statements” within the meaning of the Private Securities Litigation Reform Act of 1995. These statements are subject to risks and uncertainties that could cause actual results to differ materially from those anticipated as of the date of this prospectus. Forward-looking statements generally can be identified by the use of forward-looking words such as “may,” “will,” “expect,” “intend,” “estimate,” “anticipate,” “believe,” or “continue” or words of similar meaning.</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Some of the factors that could cause such a variance are disclosed in the section “Risk Factors” in our most recent Annual Report on Form 10-K, any applicable prospectus supplement and elsewhere in this prospectus and documents incorporated by reference into this prospectus, and include the following, among others:</w:t>
      </w:r>
    </w:p>
    <w:p>
      <w:pPr>
        <w:spacing w:after="0" w:line="176" w:lineRule="exact"/>
        <w:rPr>
          <w:sz w:val="20"/>
          <w:szCs w:val="20"/>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the healthcare strategy;</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the Workplace Safety strategy;</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competition;</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restructuring plans;</w:t>
      </w:r>
    </w:p>
    <w:p>
      <w:pPr>
        <w:spacing w:after="0" w:line="9" w:lineRule="exact"/>
        <w:rPr>
          <w:rFonts w:ascii="Times New Roman" w:cs="Times New Roman" w:eastAsia="Times New Roman" w:hAnsi="Times New Roman"/>
          <w:sz w:val="18"/>
          <w:szCs w:val="18"/>
          <w:color w:val="auto"/>
        </w:rPr>
      </w:pPr>
    </w:p>
    <w:p>
      <w:pPr>
        <w:ind w:left="540" w:hanging="316"/>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performance of major markets Brady serves, which include, without limitation, telecommunications, hard disk drive, manufacturing, electrical, construction, laboratory, education, governmental, public utility, computer, healthcare and transportation;</w:t>
      </w: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changes and potential security violations to the Company's information technology system</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rates versus the U.S. dollar;</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international operations;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exports;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Brady's ability to develop and successfully market new products;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identifying, completing, and integrating acquisitions;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of, or price for, parts and components;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 pressure from suppliers and customers;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Brady's ability to retain significant contracts and customers;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associated with loss of key talent;</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divestitures and businesses held for sale;</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obtaining governmental approvals and maintaining regulatory compliance;</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associated with product liability claims;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health and safety compliance costs and liabilities;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Brady's substantial intangible assets;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ownership structure;</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tax consequences;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Brady's ability to maintain compliance with its debt covenants; and</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our level of debt;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urge you to consider these factors and to review carefully the section titled “Risk Factors” in our most recent Annual Report on Form 10-K, any applicable prospectus supplement or other offering material and/or any other document that we file with the SEC before investing in our securities. The forward-looking statements included in this document or in the documents incorporated by reference into this document are made only as of the date of this document or the date of the incorporated document, and we undertake no obligation to publicly update these statements to reflect subsequent events or circumstances except as required by law.</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Brady Corporation (“Brady,” “Company,” “we,” “us,” “our”) was incorporated under the laws of the state of Wisconsin in 1914. The Company’s corporate headquarters are located at 6555 West Good Hope Road, Milwaukee, Wisconsin 53223, and the telephone number is (414) 358-6600.</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Brady is a global manufacturer and supplier of identification solutions, specialty materials,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 Over the last two years, we made significant portfolio and management decisions designed to better position the Company for growth in the future. These changes include a meaningful shift from the more volatile and less profitable consumer electronics Die-Cut business, which was divested in part in fiscal 2014 and the remainder of the business was divested in fiscal 2015, to an expansion of our core Identification Solutions (“ID Solutions" or "IDS”) business to focus on markets with long-term growth trends. In our Workplace Safety ("WPS") business, our strategy to return to growth included a focus on workplace safety critical industries in addition to increased investment in e-commerce expertise.</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IDS segment includes high-performance and innovative identification and healthcare products that are manufactured internally under the Brady brand, and are primarily sold through distribution to a broad range of MRO and OEM customers and through other channels, including direct sales, catalog marketing, and the Internet.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Within the WPS business segment, the primary product categories are workplace safety and compliance products, which include informational signs, tags, security, safety and traffic compliance related products, first aid supplies, material handling, asset identification, safety and facility identification, and workplace regulatory products. WPS markets and sells products through multiple channels, including catalog, telemarketing and e-commerce.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Brady Corporation files annual, quarterly and current reports and other information with the Securities and Exchange Commission. We have also filed a registration statement on Form S-3, including exhibits and schedules, under the Securities Act of 1933 with respect to the securities that we may issue from time to time. This prospectus is a part of that registration statement, but does not contain all of the information included in the registration statement or the exhibits and schedules. You may read and copy the registration statement and any reports, statements or other information filed by us with the SEC at the SEC's public reference facility at: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Room 1580</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obtain information on the operation of the public reference room by calling the SEC at 1-800-SEC-0330. The SEC also maintains a website at http://www.sec.gov that contains reports and other information regarding issuers like us that file electronically with the SEC. You may also obtain copies of these materials through our web site, http://www.bradycorp.com. Information on our website does not constitute part of this prospectus.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and reports and other information concerning us can be inspected at the New York Stock Exchange located at 20 Broad Street, New York, New York 10005.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 allows us to "incorporate by reference" into this prospectus information that we file with the SEC. This means that:</w:t>
      </w:r>
    </w:p>
    <w:p>
      <w:pPr>
        <w:spacing w:after="0" w:line="225" w:lineRule="exact"/>
        <w:rPr>
          <w:sz w:val="20"/>
          <w:szCs w:val="20"/>
          <w:color w:val="auto"/>
        </w:rPr>
      </w:pPr>
    </w:p>
    <w:p>
      <w:pPr>
        <w:ind w:left="1960" w:hanging="655"/>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disclose important information to you by referring to other documents that contain that information;</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incorporated by reference is considered to be part of this prospectus; and</w:t>
      </w:r>
    </w:p>
    <w:p>
      <w:pPr>
        <w:spacing w:after="0" w:line="225"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that we file with the SEC in the future is automatically incorporated into this prospectus and updates and supersedes previously filed information, including information contained in this prospectus.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6" w:name="page7"/>
    <w:bookmarkEnd w:id="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incorporate by reference into this prospectus the following documents, and any future filings we make with the SEC under Sections 13(a), 13(c), 14 or 15(d) of the Securities Exchange Act of 1934 after the date of this prospectus until we sell all of the securities that we have registered under the registration statement of which this is a part:</w:t>
      </w:r>
    </w:p>
    <w:p>
      <w:pPr>
        <w:spacing w:after="0" w:line="203" w:lineRule="exact"/>
        <w:rPr>
          <w:sz w:val="20"/>
          <w:szCs w:val="20"/>
          <w:color w:val="auto"/>
        </w:rPr>
      </w:pPr>
    </w:p>
    <w:p>
      <w:pPr>
        <w:ind w:left="2020" w:hanging="715"/>
        <w:spacing w:after="0"/>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July 31, 2014;</w:t>
      </w:r>
    </w:p>
    <w:p>
      <w:pPr>
        <w:spacing w:after="0" w:line="238"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August 1, 2014, August 4, 2014, September 11, 2014 (Form 8-K/A), October 2, 2014 and November 20, 2014 (incorporated only with respect to the information disclosed pursuant to Items 5.02 and 5.07); and</w:t>
      </w:r>
    </w:p>
    <w:p>
      <w:pPr>
        <w:spacing w:after="0" w:line="161" w:lineRule="exact"/>
        <w:rPr>
          <w:rFonts w:ascii="Times New Roman" w:cs="Times New Roman" w:eastAsia="Times New Roman" w:hAnsi="Times New Roman"/>
          <w:sz w:val="18"/>
          <w:szCs w:val="18"/>
          <w:color w:val="auto"/>
        </w:rPr>
      </w:pPr>
    </w:p>
    <w:p>
      <w:pPr>
        <w:jc w:val="both"/>
        <w:ind w:left="1960" w:hanging="655"/>
        <w:spacing w:after="0" w:line="261"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portion of our Registration Statement on Form 8-A filed April 27, 1999 that describes our Class A Nonvoting Common Stock in Item 1 thereof, which incorporates the description from the description of our capital stock contained in our Registration Statement on Form S-3 (Registration Statement No. 333-04155), filed May 21, 1996, and any further amendment or report updating that description.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You may request a copy of any of these filings, at no cost, by writing to Investor Relations, Brady Corporation, P.O. Box 571, Milwaukee, WI 53201-0571, or e-mail at </w:t>
      </w:r>
      <w:r>
        <w:rPr>
          <w:rFonts w:ascii="Times New Roman" w:cs="Times New Roman" w:eastAsia="Times New Roman" w:hAnsi="Times New Roman"/>
          <w:sz w:val="18"/>
          <w:szCs w:val="18"/>
          <w:u w:val="single" w:color="auto"/>
          <w:color w:val="auto"/>
        </w:rPr>
        <w:t>investor@bradycorp.com</w:t>
      </w:r>
      <w:r>
        <w:rPr>
          <w:rFonts w:ascii="Times New Roman" w:cs="Times New Roman" w:eastAsia="Times New Roman" w:hAnsi="Times New Roman"/>
          <w:sz w:val="18"/>
          <w:szCs w:val="18"/>
          <w:color w:val="auto"/>
        </w:rPr>
        <w:t>, or by calling Investor Relations at (414) 438-6882.</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have incorporated by reference any statement or information into this prospectus and we subsequently modify that statement or information, the statement or information incorporated into this prospectus is also modified or superseded in the same manner. This prospectus incorporates by reference any subsequently filed document.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described in an applicable prospectus supplement, we intend to use the net proceeds from the sale of the securities for one or more of the following purposes:</w:t>
      </w:r>
    </w:p>
    <w:p>
      <w:pPr>
        <w:spacing w:after="0" w:line="189" w:lineRule="exact"/>
        <w:rPr>
          <w:sz w:val="20"/>
          <w:szCs w:val="20"/>
          <w:color w:val="auto"/>
        </w:rPr>
      </w:pPr>
    </w:p>
    <w:p>
      <w:pPr>
        <w:ind w:left="2020" w:hanging="715"/>
        <w:spacing w:after="0"/>
        <w:tabs>
          <w:tab w:leader="none" w:pos="2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 in part, existing indebtedness;</w:t>
      </w:r>
    </w:p>
    <w:p>
      <w:pPr>
        <w:spacing w:after="0" w:line="49"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in part, the cost of acquisitions;</w:t>
      </w:r>
    </w:p>
    <w:p>
      <w:pPr>
        <w:spacing w:after="0" w:line="49"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capacity expansion; and/or</w:t>
      </w:r>
    </w:p>
    <w:p>
      <w:pPr>
        <w:spacing w:after="0" w:line="49"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corporate purposes and working capital.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which are not required immediately for these purposes may be invested temporarily in short-term marketable securities.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each of the five years ended July 31, 2014, 2013, 2012, 2011 and 2010.</w:t>
      </w:r>
    </w:p>
    <w:p>
      <w:pPr>
        <w:spacing w:after="0" w:line="383"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Years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36830</wp:posOffset>
            </wp:positionV>
            <wp:extent cx="2821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8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8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8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20"/>
                <w:szCs w:val="20"/>
                <w:color w:val="auto"/>
              </w:rPr>
            </w:pPr>
          </w:p>
        </w:tc>
        <w:tc>
          <w:tcPr>
            <w:tcW w:w="8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2010</w:t>
            </w:r>
          </w:p>
        </w:tc>
        <w:tc>
          <w:tcPr>
            <w:tcW w:w="0" w:type="dxa"/>
            <w:vAlign w:val="bottom"/>
          </w:tcPr>
          <w:p>
            <w:pPr>
              <w:spacing w:after="0"/>
              <w:rPr>
                <w:sz w:val="1"/>
                <w:szCs w:val="1"/>
                <w:color w:val="auto"/>
              </w:rPr>
            </w:pPr>
          </w:p>
        </w:tc>
      </w:tr>
      <w:tr>
        <w:trPr>
          <w:trHeight w:val="95"/>
        </w:trPr>
        <w:tc>
          <w:tcPr>
            <w:tcW w:w="6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8.1x</w:t>
            </w: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6.5x</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5.3x</w:t>
            </w:r>
          </w:p>
        </w:tc>
        <w:tc>
          <w:tcPr>
            <w:tcW w:w="0" w:type="dxa"/>
            <w:vAlign w:val="bottom"/>
          </w:tcPr>
          <w:p>
            <w:pPr>
              <w:spacing w:after="0"/>
              <w:rPr>
                <w:sz w:val="1"/>
                <w:szCs w:val="1"/>
                <w:color w:val="auto"/>
              </w:rPr>
            </w:pPr>
          </w:p>
        </w:tc>
      </w:tr>
      <w:tr>
        <w:trPr>
          <w:trHeight w:val="27"/>
        </w:trPr>
        <w:tc>
          <w:tcPr>
            <w:tcW w:w="69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loss for the year ended July 31, 2014, we did not have earnings adequate to cover fixed charges, and the ratio of earnings to fixed charges therefore has not been presented for that period. The coverage deficiency necessary for the ratio of earnings to fixed charges to equal 1.0x was $53.1 million for the year ended July 31, 2014. The non-cash deficiency was primarily a result of a non-cash intangible asset impairment charge of $148.6 million recognized during the fourth quarter of fiscal 2014.</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loss for the year ended July 31, 2013, we did not have earnings adequate to cover fixed charges, and the ratio of earnings to fixed charges therefore has not been presented for that period. The coverage deficiency necessary for the ratio of earnings to fixed charges to equal 1.0x was $95.7 million for the year ended July 31, 2013. The non-cash deficiency was primarily a result of a non-cash intangible asset impairment charge of $204.4 million recognized during the fourth quarter of fiscal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 of Earnings to Fixed Charges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calculating the ratio of earnings to fixed charges, earnings consist of earnings from continuing operations before income taxes, adjusted for the portion of fixed charges deducted from the earnings, less capitalized interest. Fixed charges consist of interest on all indebtedness, including capitalized interest, amortization of debt issuance costs and the estimated interest component of rent expense.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may issue debt securities in one or more series under an Indenture (the “Indenture”) between us and a qualified trustee named in the Indenture, as trustee, a form of which is incorporated by reference as an exhibit to the registration statement of which this prospectus is a part. The Indenture will be subject to, and governed by, the Trust Indenture Act of 1939.</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provisions of the Indenture does not purport to be complete and is qualified in its entirety by express reference to the Indenture and the Securities Resolution which establishes a series of debt securities (“Securities Resolution”) or the supplemental indenture authorizing a series. Copies of these documents will be filed with the SEC. Capitalized terms used in this section without definition have the meanings to be given such terms in the Indenture.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particular terms of the debt securities offered by a prospectus supplement will be described in that supplement, along with any applicable modifications of or additions to the general terms of the debt securities as described herein and in the Indenture. Accordingly, for a description of the terms of any series of debt securities, reference must be made to both the description of the debt securities in this prospectus and the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can be issued or our ability or that of our subsidiaries to incur, assume or guarantee debt. Also, the Indenture does not restrict our ability or that of our subsidiaries to create or permit liens. It provides that the debt securities may be issued from time to time in one or more series pursuant to the terms of one or more Securities Resolutions or supplemental indentures creating the series.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there were no debt securities outstanding under the Indenture. The ranking of a series of debt securities with respect to all our indebtedness will be established by a Securities Resolution or supplemental indenture creating the series.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offer debt securities pursuant to this prospectus, the accompanying prospectus supplement will describe the following terms, if applicable, of those debt securities:</w:t>
      </w:r>
    </w:p>
    <w:p>
      <w:pPr>
        <w:spacing w:after="0" w:line="16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denominations, aggregate principal amount, currency or composite currency in which principal or interest may be paid;</w:t>
      </w:r>
    </w:p>
    <w:p>
      <w:pPr>
        <w:spacing w:after="0" w:line="27"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those debt securities will be issued and, if an index formula or other method is used, the method for determining amounts of principal or interest;</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other dates, if any, on which principal will be payable;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if any, or method of calculating the interest rate or rates;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and on which interest will be payable, and the record dates for the payment of interest;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interest will be payable;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subsidiary guarantees, if any;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mandatory or optional redemption by us including any sinking fund;</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may be converted into or exchanged for common stock or any other securities, and the terms of any conversion or exchange right;</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redemption at the option of holders;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indemnity provisions;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provide that payments of principal or interest may be made in a currency other than that in which debt securities are denominated, the manner for determining those payments;</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payable upon acceleration of a discounted debt security (as defined below);</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may be defeased;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events of default or covenants in addition to or in lieu of those set forth in the Indenture apply;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debt securities in uncertificated form;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ranking of the debt securities;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not inconsistent with the provisions of the Indenture, including any covenants or other terms that may be required or advisable.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issue debt securities as registered debt securities, bearer debt securities or uncertificated debt securities, and in any denominations specified in the terms of the series.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its original issuance, no bearer debt security will be offered, sold or delivered to any location in the United States, and a bearer debt security in definitive form may be delivered in connection with its original issuance only upon presentation of a certificate in a form prescribed by us to comply with United States laws and regulations.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Registration of transfer of registered debt securities may be requested upon surrender thereof at any office or agency we maintain for that purpose and upon fulfillment of all other requirements of the agent.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terms, if any, on which debt securities of any series will be convertible into or exchangeable for our common stock or other equity or debt securities, property, cash or obligations, or a combination of any of the foregoing, will be summarized in a prospectus supplement relating to that series. The terms may include provisions for conversion or exchange, either on a mandatory basis, at the option of the holder or at our 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covenants that may apply to a particular series of debt securities will be described in the prospectus supplement relating to that series.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Ranking of Debt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we otherwise state in a prospectus supplement, the debt securities will be unsecured and will rank equally and ratably with our other unsecured and unsubordinated debt. The Indenture does not limit the ability of any of our subsidiaries (including any guarantor) to issue, assume or guarantee debt, and the debt securities will be effectively subordinated to all existing and future indebtedness and other liabilities and commitments of our non-guarantor subsidiaries and to any existing and future secured indebtedness of any guarantor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 Obligor</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specified in the securities resolution which establishes a series of debt securities, we shall not consolidate with or merge into, or transfer all or substantially all of our assets to, any person in any transaction in which we are not the survivor, unless:</w:t>
      </w:r>
    </w:p>
    <w:p>
      <w:pPr>
        <w:spacing w:after="0" w:line="162" w:lineRule="exact"/>
        <w:rPr>
          <w:sz w:val="20"/>
          <w:szCs w:val="20"/>
          <w:color w:val="auto"/>
        </w:rPr>
      </w:pPr>
    </w:p>
    <w:p>
      <w:pPr>
        <w:ind w:left="980" w:right="2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organized under the laws of the United States or a state thereof or is organized under the laws of a foreign jurisdiction and consents to the jurisdiction of the courts of the United States or a state thereof;</w:t>
      </w: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assumes by supplemental indenture all of our obligations under the Indenture, the debt securities and any coupons;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approvals of any regulatory body having jurisdiction over the transaction shall have been obtained;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default, as defined below, exists.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successor shall be substituted for us, and thereafter all of our obligations under the Indenture, the debt securities and any coupons shall terminate.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and Remedies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the Securities Resolution establishing the series otherwise provides (in which event the prospectus supplement will so state), an “event of default” with respect to a series of debt securities will occur if:</w:t>
      </w:r>
    </w:p>
    <w:p>
      <w:pPr>
        <w:spacing w:after="0" w:line="162" w:lineRule="exact"/>
        <w:rPr>
          <w:sz w:val="20"/>
          <w:szCs w:val="20"/>
          <w:color w:val="auto"/>
        </w:rPr>
      </w:pPr>
    </w:p>
    <w:p>
      <w:pPr>
        <w:ind w:left="980" w:right="2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any payment of interest on any debt securities of that series when the same becomes due and payable and the default continues for the period of time set forth in the prospectus supplement;</w:t>
      </w:r>
    </w:p>
    <w:p>
      <w:pPr>
        <w:ind w:left="980" w:right="2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payment of the principal and premium, if any, of any debt securities of the series when the same becomes due and payable at maturity or upon redemption, acceleration or otherwise;</w:t>
      </w:r>
    </w:p>
    <w:p>
      <w:pPr>
        <w:ind w:left="98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performance of any of our other agreements applicable to the series and the default continues for the period of time set forth in the prospectus supplement after the notice specified below;</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or within the meaning of any Bankruptcy Law, as defined below, we:</w:t>
      </w:r>
    </w:p>
    <w:p>
      <w:pPr>
        <w:spacing w:after="0" w:line="9" w:lineRule="exact"/>
        <w:rPr>
          <w:rFonts w:ascii="Times New Roman" w:cs="Times New Roman" w:eastAsia="Times New Roman" w:hAnsi="Times New Roman"/>
          <w:sz w:val="18"/>
          <w:szCs w:val="18"/>
          <w:color w:val="auto"/>
        </w:rPr>
      </w:pPr>
    </w:p>
    <w:p>
      <w:pPr>
        <w:ind w:left="1800" w:hanging="171"/>
        <w:spacing w:after="0"/>
        <w:tabs>
          <w:tab w:leader="none" w:pos="1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w:t>
      </w:r>
    </w:p>
    <w:p>
      <w:pPr>
        <w:spacing w:after="0" w:line="9" w:lineRule="exact"/>
        <w:rPr>
          <w:rFonts w:ascii="Times New Roman" w:cs="Times New Roman" w:eastAsia="Times New Roman" w:hAnsi="Times New Roman"/>
          <w:sz w:val="18"/>
          <w:szCs w:val="18"/>
          <w:color w:val="auto"/>
        </w:rPr>
      </w:pPr>
    </w:p>
    <w:p>
      <w:pPr>
        <w:ind w:left="1800" w:hanging="171"/>
        <w:spacing w:after="0"/>
        <w:tabs>
          <w:tab w:leader="none" w:pos="1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against us in an involuntary case;</w:t>
      </w:r>
    </w:p>
    <w:p>
      <w:pPr>
        <w:spacing w:after="0" w:line="9" w:lineRule="exact"/>
        <w:rPr>
          <w:rFonts w:ascii="Times New Roman" w:cs="Times New Roman" w:eastAsia="Times New Roman" w:hAnsi="Times New Roman"/>
          <w:sz w:val="18"/>
          <w:szCs w:val="18"/>
          <w:color w:val="auto"/>
        </w:rPr>
      </w:pPr>
    </w:p>
    <w:p>
      <w:pPr>
        <w:ind w:left="1800" w:hanging="171"/>
        <w:spacing w:after="0"/>
        <w:tabs>
          <w:tab w:leader="none" w:pos="1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custodian for us or for all or substantially all of our property; or</w:t>
      </w:r>
    </w:p>
    <w:p>
      <w:pPr>
        <w:spacing w:after="0" w:line="9" w:lineRule="exact"/>
        <w:rPr>
          <w:rFonts w:ascii="Times New Roman" w:cs="Times New Roman" w:eastAsia="Times New Roman" w:hAnsi="Times New Roman"/>
          <w:sz w:val="18"/>
          <w:szCs w:val="18"/>
          <w:color w:val="auto"/>
        </w:rPr>
      </w:pPr>
    </w:p>
    <w:p>
      <w:pPr>
        <w:ind w:left="1800" w:hanging="171"/>
        <w:spacing w:after="0"/>
        <w:tabs>
          <w:tab w:leader="none" w:pos="1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general assignment for the benefit of our creditors;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7" w:lineRule="exact"/>
        <w:rPr>
          <w:rFonts w:ascii="Times New Roman" w:cs="Times New Roman" w:eastAsia="Times New Roman" w:hAnsi="Times New Roman"/>
          <w:sz w:val="18"/>
          <w:szCs w:val="18"/>
          <w:color w:val="auto"/>
        </w:rPr>
      </w:pPr>
    </w:p>
    <w:p>
      <w:pPr>
        <w:ind w:left="2020" w:hanging="391"/>
        <w:spacing w:after="0"/>
        <w:tabs>
          <w:tab w:leader="none" w:pos="2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in an involuntary case;</w:t>
      </w:r>
    </w:p>
    <w:p>
      <w:pPr>
        <w:spacing w:after="0" w:line="49" w:lineRule="exact"/>
        <w:rPr>
          <w:rFonts w:ascii="Times New Roman" w:cs="Times New Roman" w:eastAsia="Times New Roman" w:hAnsi="Times New Roman"/>
          <w:sz w:val="18"/>
          <w:szCs w:val="18"/>
          <w:color w:val="auto"/>
        </w:rPr>
      </w:pPr>
    </w:p>
    <w:p>
      <w:pPr>
        <w:ind w:left="2020" w:hanging="391"/>
        <w:spacing w:after="0"/>
        <w:tabs>
          <w:tab w:leader="none" w:pos="2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for us or for all or substantially all of our property; or</w:t>
      </w:r>
    </w:p>
    <w:p>
      <w:pPr>
        <w:spacing w:after="0" w:line="49" w:lineRule="exact"/>
        <w:rPr>
          <w:rFonts w:ascii="Times New Roman" w:cs="Times New Roman" w:eastAsia="Times New Roman" w:hAnsi="Times New Roman"/>
          <w:sz w:val="18"/>
          <w:szCs w:val="18"/>
          <w:color w:val="auto"/>
        </w:rPr>
      </w:pPr>
    </w:p>
    <w:p>
      <w:pPr>
        <w:ind w:left="2020" w:hanging="391"/>
        <w:spacing w:after="0"/>
        <w:tabs>
          <w:tab w:leader="none" w:pos="2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our liquidation,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(and in each case the order or decree remains unstayed and in effect for the period of time set forth in the prospectus supplement); or</w:t>
      </w:r>
    </w:p>
    <w:p>
      <w:pPr>
        <w:spacing w:after="0" w:line="23"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any other event of default provided for in such series.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term “Bankruptcy Law” means Title 11, U.S. Code or any similar federal or state law for the relief of debtors. The term “Custodian” means any receiver, trustee, assignee, liquidator or a similar official under any Bankruptcy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sectPr>
      </w:pPr>
    </w:p>
    <w:bookmarkStart w:id="10" w:name="page11"/>
    <w:bookmarkEnd w:id="1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term “default” means any event which is, or after notice or passage of time would be, an event of default. A default is not an event of default until the trustee or the holders of at least 25% in principal amount of the series notify us of the default and we do not cure the default within the time specified after receipt of the notice. If an event of default occurs and is continuing on a series, the trustee by notice to us, or the holders of at least 25% in principal amount of the series, may declare the principal of and accrued interest on all the debt securities of the series to be due and payable immediately. The holders of a majority in principal amount of the series, by notice to the trustee, may rescind an acceleration and its consequences if the rescission would not conflict with any judgment or decree and if all existing events of default on the series have been cured or waived except nonpayment of principal or interest that has become due solely because of the acceleration. If an event of default occurs and is continuing on a series, the trustee may pursue any available remedy to collect principal or interest then due on the series, to enforce the performance of any provision applicable to the series, or otherwise to protect the rights of the trustee and holders of the series.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may require indemnity satisfactory to it before it enforces the Indenture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holders of that series notice of any continuing default if it determines that withholding the notice is in the interest of holders of the series. We are required to furnish the trustee annually a brief certificate as to our compliance with all conditions and covenants under the Indenture.</w:t>
      </w:r>
    </w:p>
    <w:p>
      <w:pPr>
        <w:spacing w:after="0" w:line="155"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The Indenture does not have a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default provision. Thus, a default by us on any other debt, including any other series of debt securities, would not constitute an event of default. A Securities Resolution which establishes a series of debt securities may provide for a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default provision, in which case the prospectus supplement will describe the terms of that provision.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Indenture and the debt securities may be amended, and any default may be waived as follows: Unless a Securities Resolution otherwise provides (in which event the prospectus supplement will state that), we and the trustee may amend the debt securities, the Indenture and any coupons with the written consent of the holders of a majority in principal amount of the debt securities of all series affected voting as one class. Unless the Securities Resolution otherwise provides (in which event the prospectus supplement will state that), a default on a particular series may be waived with the consent of the holders of a majority in principal amount of the debt securities of the series. However, without the consent of each debt security holder affected, no amendment or waiver may:</w:t>
      </w:r>
    </w:p>
    <w:p>
      <w:pPr>
        <w:spacing w:after="0" w:line="188"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or waiver;</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or have the effect of changing the time for payment of interest, including defaulted interest, on any debt securities;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or have the effect of changing the fixed maturity of any debt securities, or change the date on which any debt securities may be subject to redemption or reduce the redemption price therefor;</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securities payable in money other than that stated in the debt securities;</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provisions of the Indenture protecting the right of each holder to receive payment of principal of and interest on the debt securities on or after the due date thereof or to bring suit to enforce such payment, or permitting holders of a majority in principal amount of debt securities to waive defaults or events of default; or</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materially adversely affects the right to convert or exchange any debt security.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the consent of any debt security holder, we and the trustee may amend the Indenture, the debt securities or any coupons to:</w:t>
      </w:r>
    </w:p>
    <w:p>
      <w:pPr>
        <w:spacing w:after="0" w:line="225"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defect, or inconsistency;</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debt securities in addition to or in place of certificated debt securities;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Indenture’s provisions relating to corporate successors or rules relating to the conduct of meetings;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interests under the holders of debt securities or that does not materially adversely affect the rights or interests under the Indenture of any such holder;</w:t>
      </w: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series and establish its terms;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requirements of the SEC in order to effect or maintain qualification of the Indenture under the Trust Indenture Act;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specific provisions of the Indenture shall not apply to a series not previously issued;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separate trustee for one or more series.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Debt securities of a series may be defeased in accordance with their terms and, unless the Securities Resolution establishing the terms of the series otherwise provides, as set forth in the Indenture and described briefly below. We, at any time, may terminate as to a series all of our obligations (except certain obligations, including obligations with respect to the defeasance trust and obligations to register the transfer or exchange of a Security, to replace destroyed, lost or stolen debt securities and coupons, and to maintain paying agencies in respect of the debt securities) with respect to the debt securities of the series and any related coupons and the Indenture (“legal defeasance”). We, at any time, may terminate as to a series our obligations, if any, with respect to the debt securities and coupons of the series under any restrictive covenants which may be applicable to a particular series (“covenant defeasance”).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restrictive covenants which may be applicable to the particular series.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exercise either defeasance option as to a series, we must:</w:t>
      </w:r>
    </w:p>
    <w:p>
      <w:pPr>
        <w:spacing w:after="0" w:line="225"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deposit in trust (the “defeasance trust”) with the trustee or another trustee money or U.S. government obligations;</w:t>
      </w:r>
    </w:p>
    <w:p>
      <w:pPr>
        <w:spacing w:after="0" w:line="27"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the series to maturity or redemption, as the case may be; and</w:t>
      </w:r>
    </w:p>
    <w:p>
      <w:pPr>
        <w:spacing w:after="0" w:line="1"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other specified conditions; in particular, we must obtain an opinion of tax counsel that the defeasance will not result in recognition of any gain or loss to holders for federal income tax purposes.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 “government obligations” means direct obligations of, or obligations guaranteed by, the United States and for payment of which the United States pledges its full faith and credit.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series of debt securities may be guaranteed by some of our subsidiary corporations, if those guarantees are provided for in the Securities Resolution or the supplemental indenture relating to that series of debt securities. If guarantees are issued in connection with any debt securities, the terms of those guarantees, the names of our subsidiaries which are providing the guarantees, and additional financial information regarding the guarantor subsidiaries will be contained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The prospectus supplement relating to any debt securities will identify the trustee and registrar for those debt securities. Unless otherwise indicated in a prospectus supplement, the trustee will also act as transfer agent and paying agent with respect to the debt securities. We may remove the trustee with or without cause if we so notify the trustee three months in advance and if we are not in default during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The trustee, in its individual or any other capacity, may make loans to, accept deposits from, and perform services for us or our affiliates, and may otherwise deal with us or our affiliates, as if it were not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76"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Brady’s Restated Articles of Incorporation, the authorized capital stock of Brady consists of 100 million shares of Class A Nonvoting Common Stock, $.01 par value; 10 million shares of Class B Voting Common Stock, $.01 par value; 45,000 shares of Cumulative Preferred Stock, $100 par value; and 5 million shares of Preferred Stock, $.01 par value, issuable in series. The Cumulative Preferred Stock is divided into series as follows: 5,000 shares of 6.0% Cumulative Preferred Stock (entitled to a $6.00 per annum cumulative dividend, payable quarterly), 10,000 shares of Cumulative Preferred Stock, 1972 Series (also entitled to cumulative dividends at $6.00 per annum, payable quarterly) and 30,000 shares of Cumulative Preferred Stock, 1979 Series (entitled to cumulative dividends of $10.00 per annum, payable quarterly). No shares of Cumulative Preferred Stock or Preferred Stock are issued and outstanding at this time. As of September 24, 2014, there were 47,708,274 shares of Class A Nonvoting Common Stock issued and outstanding and 3,538,628 shares of Class B Voting Common Stock issued and outstanding. No Brady shareholder has cumulative voting rights or preemptive or other rights to subscribe for additional Brady shares. All of the outstanding shares are fully paid and non-assessable (subject to the personal liability which may be imposed upon a shareholder of Wisconsin corporations by former Section 180.0622(2)(b) of the Wisconsin Business Corporation Law, as judicially interpreted, for debts incurred prior to June 14, 2006 (for debts incurred on or after such date, Section 180.0622(2)(b) has been repealed) owing to employees for services performed, but not exceeding six months service in any one case).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brief description of Brady’s Common Stock. The rights of holders of the Common Stock are subject to the rights of holders of Brady’s Cumulative Preferred Stock and Preferred Stock.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the Class A Nonvoting Common Stock are not entitled to vote on any corporate matters, except as may be required by law, unless, in each of the three preceding fiscal years, the $0.01665 preferential dividend described below has not been paid in full. Holders of the Class A Nonvoting Common Stock are entitled to one vote per share for the election of directors and for all other purposes for the entire fiscal year immediately following the third consecutive fiscal year in which the preferential dividend is not paid in full. Holders of Class B Voting Common Stock are entitled to one vote per share for the election of directors and for all other purposes.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Before any dividend may be paid on the Class B Voting Common Stock, holders of the Class A Nonvoting Common Stock are entitled to receive an annual, non-cumulative cash dividend of $0.01665 per share (subject to adjustment in the event of stock splits, stock dividends or similar events involving shares of Class A Nonvoting Common Stock). Thereafter, any further dividend in that fiscal year must be paid on all shares of Common Stock on an equal basis.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prior rights of any shares of Cumulative Preferred Stock and/or Preferred Stock, upon liquidation, dissolution, or winding up of Brady, holders of the Class A Nonvoting Common Stock are entitled to receive the sum of $0.8333 per share (subject to adjustment in the event of stock splits, stock dividends or similar events involving shares of Class A Nonvoting Common Stock) before any payment or distribution to holders of the Class B Voting Common Stock. Holders of the Class B Voting Common Stock are then entitled to receive a payment or distribution of $0.8333 per share (subject to adjustment for stock splits, stock dividends or similar transactions involving shares of the Class B Voting Common Stock). Thereafter, holders of the Common Stock share on a pro rata basis all payments or distributions upon liquidation, dissolution or winding up of Brady. The preferences in dividends and liquidation rights of the Class A Nonvoting Common Stock over the Class B Voting Common Stock will terminate at any time that the voting rights of Class A Nonvoting Common Stock and Class B Voting Common Stock become equal, other than as required by law or upon nonpayment of dividends as described above.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the Class A Nonvoting Common Stock is Wells Fargo Bank Minnesota, N.A., St. Paul, Minnesota.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76"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Cumulative Preferred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brief description of Brady’s Cumulative Preferred Stock. Our Restated Articles of Incorporation authorize our Board of Directors to issue from time to time, without shareholder approval, the shares of Cumulative Preferred Stock. No Cumulative Preferred Stock is issued and outstanding at this time.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dividends may be paid and no distributions may be made on the Common Stock (except dividends payable in Common Stock) and no shares of Common Stock may be purchased or acquired for value by Brady (except shares acquired in exchange for, or through application of the proceeds or sale of, shares of Common Stock), unless (a) all accrued dividends on all classes of the Cumulative Preferred Stock have been paid and (b) the net assets of Brady which would remain after the dividend, distribution or acquisition relating to the Common Stock would be at least twice the amount payable to holders of the Cumulative Preferred Stock in the event of voluntary liquidation, or unless authorized by the affirmative vote or written consent of the holders of at least two-thirds of the outstanding shares of the Cumulative Preferred Stock.</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dissolution, liquidation or winding up of our affairs and after payment of all our debts, the Cumulative Preferred Stock must be redeemed at par value plus accrued but unpaid dividends, if any, before any payment may be made on account of the Common Stock, and, in the case of a voluntary dissolution, a premium of $6.00 per share must also be paid on each share of Cumulative Preferred Stock before any payment may be made on account of the Common Stock. The Cumulative Preferred Stock is subject to redemption at our option on any quarterly dividend paying date at par plus all accrued and unpaid dividends plus a premium of $6.00 per share.</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Cumulative Preferred Stock has no voting power except as otherwise provided by law, unless four quarterly dividends are unpaid in whole or in part. Whenever four quarterly dividend payments, whether consecutive or not, are unpaid in whole or in part, the holders of all series of Cumulative Preferred Stock, voting separately as one class, are entitled to elect and maintain in office such number of the directors as constitutes a maximum minority of the entire board of directors of Brady (i.e., one less than half of the then current number of directors) until all accrued and unpaid dividends have been paid. The affirmative vote of the holders of at least two-thirds of the outstanding shares of Cumulative Preferred Stock, voting as a class, is also required to make certain amendments to the Articles of Incorporation affecting the rights of the Cumulative Preferred Stock and to allow any merger or consolidation of Brady, and any sale, lease, exchange or other disposition of all or substantially all of our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Restated Articles of Incorporation authorize our Board of Directors to issue from time to time Preferred Stock in series and to fix the powers, preferences, rights, qualifications, limitations or restrictions of any series with respect to the rate of dividend, price and terms of redemption, the amounts payable in the event of voluntary or involuntary liquidation, any sinking fund provisions for redemption or repurchase, the terms and conditions of conversion into any other class or series of our stock and voting rights, if any. No series of Preferred Stock is issued and outstanding at this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without shareholder approval, could issue Preferred Stock with voting and conversion rights which could adversely affect the voting power and liquidation rights of the holders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Terms and Certain Statutory Provisions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provisions of our Restated Articles of Incorporation and our By-Laws may delay or make more difficult acquisitions or changes of control of Brady not approved by our Board of Directors. Such provisions could have the effect of discouraging third parties from making proposals involving an acquisition or change of control of us, although such proposals, if made, might be considered desirable by a majority of our shareholders. Such provisions may also have the effect of making it more difficult for third parties to cause the replacement of our current management without the concurrence of the Board of Directors.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Voting control of Brady is vested in the holders of Class B Voting Common Stock. As a result, the holders of the Class B Voting Common Stock will be able to elect or remove all of our Board of Directors and, except as otherwise required by applicable law or the Restated Articles of Incorporation, will be able to determine the outcome of all matters submitted for shareholder consideration. Such control may have the effect of discouraging certain types of transactions involving an actual or potential change of control of Brady, including transactions in which the holders of Class A Nonvoting Common Stock might otherwise receive a premium for their shares over then-current market prices.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76" w:right="239" w:bottom="1440" w:gutter="0" w:footer="0" w:header="0"/>
        </w:sectPr>
      </w:pPr>
    </w:p>
    <w:bookmarkStart w:id="14" w:name="page15"/>
    <w:bookmarkEnd w:id="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Brady’s Class B Voting Common Stock, the only class of Brady’s capital stock generally entitled to vote on the election of directors, is not registered or traded on a national securities exchange or registered under Section 12(g) of the Securities Exchange Act of 1934, and Brady has not elected in its Restated Articles of Incorporation to adopt the various anti-takeover provisions of the Wisconsin Business Corporation Law, such anti-takeover provisions do not currently apply to Brady.</w:t>
      </w:r>
    </w:p>
    <w:p>
      <w:pPr>
        <w:spacing w:after="0" w:line="15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BOOK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ENTRY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Depository Trust Company (“DTC”), New York, NY, may act as securities depository for the securities, in which case the applicable prospectus supplement will so provide. The securities will be issued as fully registered securities registered in the name of Cede &amp; Co. (DTC’s partnership nominee) or such other name as may be requested by an authorized representative of DTC. One fully registered security certificate will be issued for the securities, in the aggregate principal amount of such issue, and will be deposited with DTC.</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holds and provides asset servicing for over 3.5 million issues of U.S. and non-U.S. equity, corporate and municipal debt issues, and money market instruments from over 100 countries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and together with the Direct Participants, the “Participants”). DTC has Standard &amp; Poor’s rating of AA+. The DTC rules applicable to its Participants are on file with the Securities and Exchange Commission.</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each actual purchaser of each security (a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securities are to be accomplished by entries made on the books of Direct and Indirect Participants acting on behalf of beneficial owners. Beneficial owners will not receive certificates representing their ownership interests in Securities, except in the event that use of the book-entry system for the debt securities is discontinued.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securities deposited by Direct Participants with DTC are registered in the name of DTC’s partnership nominee, Cede &amp; Co., or such other name as may be requested by an authorized representative of DTC. The deposit of Securities with DTC and their registration in the name of Cede &amp; Co. or such other nominee do not effect any change in beneficial ownership. DTC has no knowledge of the actual beneficial owners of the securities; DTC’s records reflect only the identity of the Direct Participants to whose accounts such securities are credited, which may or may not be the beneficial owners. The Participants will remain responsible for keeping account of their holdings on behalf of their customers.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Redemption notices shall be sent to DTC. If less than all of the securities within an issue are being redeemed, DTC’s practice is to determine by lot the amount of the interest of each Direct Participant in such issue to be redeemed.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securities unless authorized by a Direct Participant in accordance with DTC’s procedures. Under its usual procedures, DTC mails an omnibus proxy to the Participants as soon as possible after the record date. The omnibus proxy assigns Cede &amp; Co.’s consenting or voting rights to those Direct Participants to whose accounts the securities are credited on the record date (identified in a listing attached to the omnibus proxy).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80" w:right="239" w:bottom="1440" w:gutter="0" w:footer="0" w:header="0"/>
        </w:sectPr>
      </w:pPr>
    </w:p>
    <w:bookmarkStart w:id="15" w:name="page16"/>
    <w:bookmarkEnd w:id="1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debt Securities will be made to Cede &amp; Co., or such other nominee as may be requested by an authorized representative of DTC. DTC’s practice is to credit Direct Participants’ accounts, upon DTC’s receipt of funds and corresponding detail information from Issuer or Agent on the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Brady, or any agent of either of them, subject to any statutory or regulatory requirements as may be in effect from time to time. Payment of redemption proceeds, distributions, and dividend payments to Cede &amp; Co. (or such other nominee as may be requested by an authorized representative of DTC) is the responsibility of Brady or the trustee, disbursement of such payments to Direct Participants will be the responsibility of DTC, and disbursement of such payments to the beneficial owners will be the responsibility of Direct and Indirect Participants.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depository with respect to the securities at any time by giving reasonable notice to Brady or the trustee. Under such circumstances, in the event that a successor securities depository is not obtained, security certificates are required to be printed and delivered.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also decide to discontinue use of the system of book-entry-only transfers through DTC (or a successor securities depository). In that event, security certificates will be printed and delivered.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not have any responsibility or obligation to Participants or to the persons for whom they act as nominees with respect to the accuracy of the records of DTC, its nominees or any Direct or Indirect Participants with respect to any ownership interest in the securities, or with respect to payments or providing of notice to the Direct Participants, the Indirect Participants, or the beneficial owners.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 We have no responsibility for the performance of DTC or its Participants of their obligations as described in this prospectus or under the rules and procedures governing their respective obligations.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the securities offered under this prospectus to or through underwriting syndicates represented by managing underwriters, though one or more underwriters without a syndicate for them to offer and sell to the public, agents or dealers or to investors directly in negotiated sales or in competitively bid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relevant prospectus supplement will identify any agents or underwriters and describe their compensation, including underwriting discount. The prospectus supplement will also describe other terms of the offering, including any discounts or concessions allowed or re-allowed or paid to dealers and any securities exchanges or automated quotation systems on which any offered debt securities may be listed.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distribution of securities under this prospectus may occur from time to time in one or more transactions at a fixed price or prices, which may be changed, at market prices prevailing at the time of sale, at prices related to those prevailing market prices or at negotiated prices.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Agents and Direct Sales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applicable prospectus supplement indicates, we will authorize dealers or our agents to solicit offers by various institutions to purchase offered securities from us pursuant to contracts that provide for payment and delivery on a future date. We must approve all institutions, but they may include, among others:</w:t>
      </w:r>
    </w:p>
    <w:p>
      <w:pPr>
        <w:spacing w:after="0" w:line="176"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savings banks;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and charitable institutions.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796" w:right="2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The institutional purchaser’s obligations will be subject only to the condition that the purchase of the securities is permitted at the time of delivery.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dealers and our agents will not be responsible for the validity or performance of the contract.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Underwriters, dealers and agents participating in a sale of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the agents, underwriters and dealers to indemnify them against various civil liabilities, including liabilities under the Securities Act, or to contribute to payments that the agents, underwriters or dealers may be required to make as a result of those civil liabilities.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Class A Nonvoting Common Stock is quoted on the New York Stock Exchange under the symbol “BRC.” However, unless we indicate differently in a prospectus supplement, we will not list the debt securities on any securities exchange or seek to have them included on the New York Stock Exchange or any other automated quotation system. If we sell a security offered under this prospectus to an underwriter for public offering and sale, the underwriter may make a market for that security, but is not obligated to do so. Therefore, we cannot give any assurances to you concerning the liquidity of any security offered under this prospectus.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Agents and underwriters and their affiliates may be customers of, engage in transactions with, or perform services for us or our subsidiary companies in the ordinary course of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securities to be sold pursuant to this prospectus will be passed upon for us by Quarles &amp; Brady LLP, Milwaukee, Wisconsin counsel to the Company. Legal matters will be passed upon for the underwriters, dealers or agents by counsel we will name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and the related financial statement schedule, incorporated in this Prospectus by reference from the Company's Annual Report on Form 10-K and the effectiveness of Brady Corporation’s internal control over financial reporting have been audited by Deloitte &amp; Touche LLP, an independent registered public accounting firm, as stated in their reports, which are incorporated herein by reference. Such consolidated financial statements and financial statement schedule have been so incorporated in reliance upon the reports of such firm given upon their authority as experts in accounting and auditing.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80"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aggregate estimated expenses, other than underwriting discounts and commissions, in connection with the issuance and distribution of the securities covered by this Registration Statement are currently anticipated to be as follows. All expenses of the offering will be paid by the Company.</w:t>
      </w:r>
    </w:p>
    <w:p>
      <w:pPr>
        <w:spacing w:after="0" w:line="315"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 (actual)</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Printing expenses</w:t>
            </w:r>
          </w:p>
        </w:tc>
        <w:tc>
          <w:tcPr>
            <w:tcW w:w="9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11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9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9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11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1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Miscellaneous</w:t>
            </w:r>
          </w:p>
        </w:tc>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(including any applicable listing fees, rating agency fees, trustee and transfer agent's fees and expenses)</w:t>
            </w:r>
          </w:p>
        </w:tc>
        <w:tc>
          <w:tcPr>
            <w:tcW w:w="9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11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64"/>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1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80" w:hanging="348"/>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 accordance with Rules 456(b) and 457(r) under the Securities Act of 1933.</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and number of offerings are indeterminable, and the expenses cannot be estimated at this time. An estimate of the various expenses in connection with the sale and distribution of the securities being offered will be included in the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Registrant is incorporated under the Wisconsin Business Corporation Law (“WBCL”). Under Section 180.0851(1) of the WBCL, the Registrant is required to indemnify a director or officer, to the extent such person is successful on the merits or otherwise in the defense of a proceeding, for all reasonable expenses incurred in the proceeding if such person was a party because he or she was a director or officer of the Registrant. In all other cases, the Registrant is required by Section 180.0851(2) of the WBCL to indemnify a director or officer against liability incurred in a proceeding to which such person was a party because he or she was an officer or director of the Registrant, unless it is determined that he or she breached or failed to perform a duty owed to the Registrant and the breach or failure to perform constitutes: (i) a willful failure to deal fairly with the Registrant or its shareholders in connection with a matter in which the director or officer has a material conflict of interest; (ii) a violation of criminal law, unless the director or officer had reasonable cause to believe his or her conduct was lawful or no reasonable cause to believe his or her conduct was unlawful; (iii) a transaction from which the director or officer derived an improper personal profit; or (iv) willful misconduct. Section 180.0858(1) of the WBCL provides that, subject to certain limitations, the mandatory indemnification provisions do not preclude any additional right to indemnification or allowance of expenses that a director or officer may have under the Registrant’s articles of incorporation, bylaws, a written agreement or a resolution of the board of directors or shareholders.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180.0859 of the WBCL provides that it is the public policy of the State of Wisconsin to require or permit indemnification, allowance of expenses and insurance to the extent required or permitted under Sections 180.0850 to 180.0858 of the WBCL for any liability incurred in connection with a proceeding involving a federal or state statute, rule or regulation regulating the offer, sale or purchase of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180.0828 of the WBCL provides that, with certain exceptions, a director is not liable to a corporation, its shareholders, or any person asserting rights on behalf of the corporation or its shareholders, for damages, settlements, fees, fines, penalties or other monetary liabilities arising from a breach of, or failure to perform, any duty resulting solely from his or her status as a director, unless the person asserting liability proves that the breach or failure to perform constitutes any of the four exceptions to mandatory indemnification under Section 180.0851(2) referred to above.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Section 180.0833 of the WBCL, directors of the Registrant against whom claims are asserted with respect to the declaration of an improper dividend or other distribution to shareholders to which the directors assented are entitled to contribution from other directors who assented to such distribution and from shareholders who knowingly accepted the improper distribution, as provided therein.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76" w:right="239" w:bottom="1440" w:gutter="0" w:footer="0" w:header="0"/>
        </w:sectPr>
      </w:pPr>
    </w:p>
    <w:bookmarkStart w:id="18" w:name="page19"/>
    <w:bookmarkEnd w:id="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Registrant’s Bylaws contain provisions that generally parallel the indemnification provisions of the WBCL and cover certain procedural matters not dealt with in the WBCL. Directors and officers of the Registrant are also covered by directors’ and officers’ liability insurance under which they are insured (subject to certain exceptions and limitations specified in the policy) against expenses and liabilities arising out of proceedings to which they are parties by reason of being or having been directors or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following the Signatures page in this Registration Statement, which Exhibit Index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65" w:lineRule="exact"/>
        <w:rPr>
          <w:rFonts w:ascii="Times New Roman" w:cs="Times New Roman" w:eastAsia="Times New Roman" w:hAnsi="Times New Roman"/>
          <w:sz w:val="18"/>
          <w:szCs w:val="18"/>
          <w:color w:val="auto"/>
        </w:rPr>
      </w:pPr>
    </w:p>
    <w:p>
      <w:pPr>
        <w:ind w:left="2120" w:hanging="815"/>
        <w:spacing w:after="0"/>
        <w:tabs>
          <w:tab w:leader="none" w:pos="21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65" w:lineRule="exact"/>
        <w:rPr>
          <w:rFonts w:ascii="Times New Roman" w:cs="Times New Roman" w:eastAsia="Times New Roman" w:hAnsi="Times New Roman"/>
          <w:sz w:val="18"/>
          <w:szCs w:val="18"/>
          <w:color w:val="auto"/>
        </w:rPr>
      </w:pPr>
    </w:p>
    <w:p>
      <w:pPr>
        <w:jc w:val="both"/>
        <w:ind w:left="1300" w:firstLine="5"/>
        <w:spacing w:after="0" w:line="302" w:lineRule="auto"/>
        <w:tabs>
          <w:tab w:leader="none" w:pos="216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9" w:lineRule="exact"/>
        <w:rPr>
          <w:rFonts w:ascii="Times New Roman" w:cs="Times New Roman" w:eastAsia="Times New Roman" w:hAnsi="Times New Roman"/>
          <w:sz w:val="18"/>
          <w:szCs w:val="18"/>
          <w:color w:val="auto"/>
        </w:rPr>
      </w:pPr>
    </w:p>
    <w:p>
      <w:pPr>
        <w:ind w:left="1300" w:firstLine="5"/>
        <w:spacing w:after="0" w:line="329" w:lineRule="auto"/>
        <w:tabs>
          <w:tab w:leader="none" w:pos="221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(1)(i), (1)(ii), and (1)(iii) of this section do not apply if the Registration Statement is on Form S-3,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periodic reports filed with or furnished to the Commission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660" w:hanging="4"/>
        <w:spacing w:after="0" w:line="266" w:lineRule="auto"/>
        <w:tabs>
          <w:tab w:leader="none" w:pos="10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Times New Roman" w:cs="Times New Roman" w:eastAsia="Times New Roman" w:hAnsi="Times New Roman"/>
          <w:sz w:val="18"/>
          <w:szCs w:val="18"/>
          <w:color w:val="auto"/>
        </w:rPr>
      </w:pPr>
    </w:p>
    <w:p>
      <w:pPr>
        <w:ind w:left="660" w:hanging="4"/>
        <w:spacing w:after="0" w:line="282" w:lineRule="auto"/>
        <w:tabs>
          <w:tab w:leader="none" w:pos="11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to any purchaser:</w:t>
      </w:r>
    </w:p>
    <w:p>
      <w:pPr>
        <w:spacing w:after="0" w:line="252" w:lineRule="exact"/>
        <w:rPr>
          <w:rFonts w:ascii="Times New Roman" w:cs="Times New Roman" w:eastAsia="Times New Roman" w:hAnsi="Times New Roman"/>
          <w:sz w:val="18"/>
          <w:szCs w:val="18"/>
          <w:color w:val="auto"/>
        </w:rPr>
      </w:pPr>
    </w:p>
    <w:p>
      <w:pPr>
        <w:ind w:left="1300" w:firstLine="5"/>
        <w:spacing w:after="0" w:line="329" w:lineRule="auto"/>
        <w:tabs>
          <w:tab w:leader="none" w:pos="211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1300" w:firstLine="5"/>
        <w:spacing w:after="0" w:line="305" w:lineRule="auto"/>
        <w:tabs>
          <w:tab w:leader="none" w:pos="21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415(a)(1)(i),(vii), or (x) for the purpose of providing the information required by section 10(a) of the Securities Act of 1933 shall be deemed to be a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80" w:right="239" w:bottom="1440" w:gutter="0" w:footer="0" w:header="0"/>
        </w:sectPr>
      </w:pPr>
    </w:p>
    <w:bookmarkStart w:id="19" w:name="page20"/>
    <w:bookmarkEnd w:id="19"/>
    <w:p>
      <w:pPr>
        <w:jc w:val="both"/>
        <w:ind w:left="968"/>
        <w:spacing w:after="0" w:line="302" w:lineRule="auto"/>
        <w:rPr>
          <w:sz w:val="20"/>
          <w:szCs w:val="20"/>
          <w:color w:val="auto"/>
        </w:rPr>
      </w:pPr>
      <w:r>
        <w:rPr>
          <w:rFonts w:ascii="Times New Roman" w:cs="Times New Roman" w:eastAsia="Times New Roman" w:hAnsi="Times New Roman"/>
          <w:sz w:val="18"/>
          <w:szCs w:val="18"/>
          <w:color w:val="auto"/>
        </w:rPr>
        <w:t>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2" w:lineRule="exact"/>
        <w:rPr>
          <w:sz w:val="20"/>
          <w:szCs w:val="20"/>
          <w:color w:val="auto"/>
        </w:rPr>
      </w:pPr>
    </w:p>
    <w:p>
      <w:pPr>
        <w:jc w:val="both"/>
        <w:ind w:left="328" w:hanging="4"/>
        <w:spacing w:after="0" w:line="258" w:lineRule="auto"/>
        <w:tabs>
          <w:tab w:leader="none" w:pos="76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10" w:lineRule="exact"/>
        <w:rPr>
          <w:rFonts w:ascii="Times New Roman" w:cs="Times New Roman" w:eastAsia="Times New Roman" w:hAnsi="Times New Roman"/>
          <w:sz w:val="18"/>
          <w:szCs w:val="18"/>
          <w:color w:val="auto"/>
        </w:rPr>
      </w:pPr>
    </w:p>
    <w:p>
      <w:pPr>
        <w:ind w:left="1788" w:hanging="815"/>
        <w:spacing w:after="0"/>
        <w:tabs>
          <w:tab w:leader="none" w:pos="178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49" w:lineRule="exact"/>
        <w:rPr>
          <w:rFonts w:ascii="Times New Roman" w:cs="Times New Roman" w:eastAsia="Times New Roman" w:hAnsi="Times New Roman"/>
          <w:sz w:val="18"/>
          <w:szCs w:val="18"/>
          <w:color w:val="auto"/>
        </w:rPr>
      </w:pPr>
    </w:p>
    <w:p>
      <w:pPr>
        <w:ind w:left="9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w:t>
      </w:r>
    </w:p>
    <w:p>
      <w:pPr>
        <w:spacing w:after="0" w:line="265" w:lineRule="exact"/>
        <w:rPr>
          <w:rFonts w:ascii="Times New Roman" w:cs="Times New Roman" w:eastAsia="Times New Roman" w:hAnsi="Times New Roman"/>
          <w:sz w:val="18"/>
          <w:szCs w:val="18"/>
          <w:color w:val="auto"/>
        </w:rPr>
      </w:pPr>
    </w:p>
    <w:p>
      <w:pPr>
        <w:ind w:left="968" w:right="20" w:firstLine="5"/>
        <w:spacing w:after="0" w:line="329" w:lineRule="auto"/>
        <w:tabs>
          <w:tab w:leader="none" w:pos="1836"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968" w:firstLine="5"/>
        <w:spacing w:after="0" w:line="329" w:lineRule="auto"/>
        <w:tabs>
          <w:tab w:leader="none" w:pos="1886"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888" w:hanging="915"/>
        <w:spacing w:after="0"/>
        <w:tabs>
          <w:tab w:leader="none" w:pos="188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38"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15(d) of the Securities Act of 1934 (and, where applicable, each filing of an employee benefits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Registrants hereby undertake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200" w:lineRule="exact"/>
        <w:rPr>
          <w:sz w:val="20"/>
          <w:szCs w:val="20"/>
          <w:color w:val="auto"/>
        </w:rPr>
      </w:pPr>
    </w:p>
    <w:p>
      <w:pPr>
        <w:spacing w:after="0" w:line="21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8"/>
          </w:cols>
          <w:pgMar w:left="572" w:top="607"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December 1, 2014.</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RADY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34290</wp:posOffset>
            </wp:positionV>
            <wp:extent cx="6449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J. Michael Nauman, Aaron J. Pearce and Louis T. Bolognini,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40" w:type="dxa"/>
            <w:vAlign w:val="bottom"/>
            <w:tcBorders>
              <w:bottom w:val="single" w:sz="8" w:color="auto"/>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242"/>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J. MICHAEL NAUMAN</w:t>
            </w:r>
          </w:p>
        </w:tc>
        <w:tc>
          <w:tcPr>
            <w:tcW w:w="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 Michael Nauman</w:t>
            </w:r>
          </w:p>
        </w:tc>
        <w:tc>
          <w:tcPr>
            <w:tcW w:w="5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AARON J. PEARCE</w:t>
            </w:r>
          </w:p>
        </w:tc>
        <w:tc>
          <w:tcPr>
            <w:tcW w:w="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237"/>
        </w:trPr>
        <w:tc>
          <w:tcPr>
            <w:tcW w:w="5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Aaron J. Pearce</w:t>
            </w:r>
          </w:p>
        </w:tc>
        <w:tc>
          <w:tcPr>
            <w:tcW w:w="5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KATHLEEN M. JOHNSON</w:t>
            </w:r>
          </w:p>
        </w:tc>
        <w:tc>
          <w:tcPr>
            <w:tcW w:w="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c>
          <w:tcPr>
            <w:tcW w:w="0" w:type="dxa"/>
            <w:vAlign w:val="bottom"/>
          </w:tcPr>
          <w:p>
            <w:pPr>
              <w:spacing w:after="0"/>
              <w:rPr>
                <w:sz w:val="1"/>
                <w:szCs w:val="1"/>
                <w:color w:val="auto"/>
              </w:rPr>
            </w:pPr>
          </w:p>
        </w:tc>
      </w:tr>
      <w:tr>
        <w:trPr>
          <w:trHeight w:val="237"/>
        </w:trPr>
        <w:tc>
          <w:tcPr>
            <w:tcW w:w="5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Kathleen M. Johnson</w:t>
            </w:r>
          </w:p>
        </w:tc>
        <w:tc>
          <w:tcPr>
            <w:tcW w:w="5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BRADLEY C. RICHARDSON</w:t>
            </w:r>
          </w:p>
        </w:tc>
        <w:tc>
          <w:tcPr>
            <w:tcW w:w="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Bradley C. Richardson</w:t>
            </w:r>
          </w:p>
        </w:tc>
        <w:tc>
          <w:tcPr>
            <w:tcW w:w="5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PATRICK W. ALLENDER</w:t>
            </w:r>
          </w:p>
        </w:tc>
        <w:tc>
          <w:tcPr>
            <w:tcW w:w="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Patrick W. Allender</w:t>
            </w:r>
          </w:p>
        </w:tc>
        <w:tc>
          <w:tcPr>
            <w:tcW w:w="5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FRANK W. HARRIS</w:t>
            </w:r>
          </w:p>
        </w:tc>
        <w:tc>
          <w:tcPr>
            <w:tcW w:w="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Frank W. Harris</w:t>
            </w:r>
          </w:p>
        </w:tc>
        <w:tc>
          <w:tcPr>
            <w:tcW w:w="5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NANCY L. GIOIA</w:t>
            </w:r>
          </w:p>
        </w:tc>
        <w:tc>
          <w:tcPr>
            <w:tcW w:w="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Nancy L. Gioia</w:t>
            </w:r>
          </w:p>
        </w:tc>
        <w:tc>
          <w:tcPr>
            <w:tcW w:w="5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CONRAD G. GOODKIND</w:t>
            </w:r>
          </w:p>
        </w:tc>
        <w:tc>
          <w:tcPr>
            <w:tcW w:w="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Conrad G. Goodkind</w:t>
            </w:r>
          </w:p>
        </w:tc>
        <w:tc>
          <w:tcPr>
            <w:tcW w:w="5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ELIZABETH P. PUNGELLO</w:t>
            </w:r>
          </w:p>
        </w:tc>
        <w:tc>
          <w:tcPr>
            <w:tcW w:w="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Elizabeth P. Pungello</w:t>
            </w:r>
          </w:p>
        </w:tc>
        <w:tc>
          <w:tcPr>
            <w:tcW w:w="5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GARY S. BALKEMA</w:t>
            </w:r>
          </w:p>
        </w:tc>
        <w:tc>
          <w:tcPr>
            <w:tcW w:w="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Gary S. Balkema</w:t>
            </w:r>
          </w:p>
        </w:tc>
        <w:tc>
          <w:tcPr>
            <w:tcW w:w="5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5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 Each of the above signatures is affixed as of December 1, 2014.</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8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21" w:name="page22"/>
    <w:bookmarkEnd w:id="21"/>
    <w:p>
      <w:pPr>
        <w:ind w:left="4980"/>
        <w:spacing w:after="0"/>
        <w:rPr>
          <w:sz w:val="20"/>
          <w:szCs w:val="20"/>
          <w:color w:val="auto"/>
        </w:rPr>
      </w:pPr>
      <w:r>
        <w:rPr>
          <w:rFonts w:ascii="Times New Roman" w:cs="Times New Roman" w:eastAsia="Times New Roman" w:hAnsi="Times New Roman"/>
          <w:sz w:val="18"/>
          <w:szCs w:val="18"/>
          <w:b w:val="1"/>
          <w:bCs w:val="1"/>
          <w:color w:val="auto"/>
        </w:rPr>
        <w:t>Brady Corporation</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(the “Registrant”)</w:t>
      </w:r>
    </w:p>
    <w:p>
      <w:pPr>
        <w:spacing w:after="0" w:line="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(Commission File No. 001-14959)</w:t>
      </w:r>
    </w:p>
    <w:p>
      <w:pPr>
        <w:spacing w:after="0" w:line="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FORM S-3 REGISTRATION STATEMENT</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with or incorporated by reference in this Registration Statement: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72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Incorporated Herein By Reference To</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Filed Herewith</w:t>
            </w:r>
          </w:p>
        </w:tc>
      </w:tr>
      <w:tr>
        <w:trPr>
          <w:trHeight w:val="27"/>
        </w:trPr>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0"/>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Agreement</w:t>
            </w:r>
          </w:p>
        </w:tc>
        <w:tc>
          <w:tcPr>
            <w:tcW w:w="3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3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Restated Articles of Incorporation of the</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4.1 to the Registrant’s Registration</w:t>
            </w:r>
          </w:p>
        </w:tc>
        <w:tc>
          <w:tcPr>
            <w:tcW w:w="1460" w:type="dxa"/>
            <w:vAlign w:val="bottom"/>
          </w:tcPr>
          <w:p>
            <w:pPr>
              <w:spacing w:after="0"/>
              <w:rPr>
                <w:sz w:val="19"/>
                <w:szCs w:val="19"/>
                <w:color w:val="auto"/>
              </w:rPr>
            </w:pPr>
          </w:p>
        </w:tc>
      </w:t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Registration</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Statement on Form S-3 (Registration No. 333-</w:t>
            </w:r>
          </w:p>
        </w:tc>
        <w:tc>
          <w:tcPr>
            <w:tcW w:w="1460" w:type="dxa"/>
            <w:vAlign w:val="bottom"/>
          </w:tcPr>
          <w:p>
            <w:pPr>
              <w:spacing w:after="0"/>
              <w:rPr>
                <w:sz w:val="18"/>
                <w:szCs w:val="18"/>
                <w:color w:val="auto"/>
              </w:rPr>
            </w:pPr>
          </w:p>
        </w:tc>
      </w:tr>
      <w:tr>
        <w:trPr>
          <w:trHeight w:val="234"/>
        </w:trPr>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04155).</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By-Laws of the Registrant, as amended</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3.1 to the Registrant’s Current Report on</w:t>
            </w:r>
          </w:p>
        </w:tc>
        <w:tc>
          <w:tcPr>
            <w:tcW w:w="1460" w:type="dxa"/>
            <w:vAlign w:val="bottom"/>
            <w:shd w:val="clear" w:color="auto" w:fill="CCEEFF"/>
          </w:tcPr>
          <w:p>
            <w:pPr>
              <w:spacing w:after="0"/>
              <w:rPr>
                <w:sz w:val="19"/>
                <w:szCs w:val="19"/>
                <w:color w:val="auto"/>
              </w:rPr>
            </w:pPr>
          </w:p>
        </w:tc>
      </w:tr>
      <w:tr>
        <w:trPr>
          <w:trHeight w:val="241"/>
        </w:trPr>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 8-K filed July 18, 2014.</w:t>
            </w:r>
          </w:p>
        </w:tc>
        <w:tc>
          <w:tcPr>
            <w:tcW w:w="1460" w:type="dxa"/>
            <w:vAlign w:val="bottom"/>
            <w:tcBorders>
              <w:bottom w:val="single" w:sz="8" w:color="CCEEFF"/>
            </w:tcBorders>
            <w:shd w:val="clear" w:color="auto" w:fill="CCEEFF"/>
          </w:tcPr>
          <w:p>
            <w:pPr>
              <w:spacing w:after="0"/>
              <w:rPr>
                <w:sz w:val="20"/>
                <w:szCs w:val="20"/>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3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Indenture</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4.3 to the Registrant's Registration</w:t>
            </w:r>
          </w:p>
        </w:tc>
        <w:tc>
          <w:tcPr>
            <w:tcW w:w="1460" w:type="dxa"/>
            <w:vAlign w:val="bottom"/>
          </w:tcPr>
          <w:p>
            <w:pPr>
              <w:spacing w:after="0"/>
              <w:rPr>
                <w:sz w:val="19"/>
                <w:szCs w:val="19"/>
                <w:color w:val="auto"/>
              </w:rPr>
            </w:pPr>
          </w:p>
        </w:tc>
      </w:t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Statement on Form S-3 filed on October 26,</w:t>
            </w:r>
          </w:p>
        </w:tc>
        <w:tc>
          <w:tcPr>
            <w:tcW w:w="1460" w:type="dxa"/>
            <w:vAlign w:val="bottom"/>
          </w:tcPr>
          <w:p>
            <w:pPr>
              <w:spacing w:after="0"/>
              <w:rPr>
                <w:sz w:val="18"/>
                <w:szCs w:val="18"/>
                <w:color w:val="auto"/>
              </w:rPr>
            </w:pPr>
          </w:p>
        </w:tc>
      </w:tr>
      <w:tr>
        <w:trPr>
          <w:trHeight w:val="234"/>
        </w:trPr>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Form of Debt Securities*</w:t>
            </w:r>
          </w:p>
        </w:tc>
        <w:tc>
          <w:tcPr>
            <w:tcW w:w="3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3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Opinion of Quarles &amp; Brady LLP as to the</w:t>
            </w: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legality of the securities being registered</w:t>
            </w: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Statement of Computation of Ratio of Earnings</w:t>
            </w:r>
          </w:p>
        </w:tc>
        <w:tc>
          <w:tcPr>
            <w:tcW w:w="3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41"/>
        </w:trPr>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 Fixed Charges</w:t>
            </w:r>
          </w:p>
        </w:tc>
        <w:tc>
          <w:tcPr>
            <w:tcW w:w="3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3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Consent of Deloitte &amp; Touche LLP</w:t>
            </w:r>
          </w:p>
        </w:tc>
        <w:tc>
          <w:tcPr>
            <w:tcW w:w="3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7"/>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Consent of Quarles &amp; Brady LLP</w:t>
            </w:r>
          </w:p>
        </w:tc>
        <w:tc>
          <w:tcPr>
            <w:tcW w:w="3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(Included in</w:t>
            </w:r>
          </w:p>
        </w:tc>
      </w:tr>
      <w:tr>
        <w:trPr>
          <w:trHeight w:val="241"/>
        </w:trPr>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Exhibit 5.1)</w:t>
            </w: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9"/>
                <w:szCs w:val="19"/>
                <w:color w:val="auto"/>
              </w:rPr>
            </w:pPr>
          </w:p>
        </w:tc>
        <w:tc>
          <w:tcPr>
            <w:tcW w:w="3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Powers of Attorney</w:t>
            </w: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(Included in the</w:t>
            </w:r>
          </w:p>
        </w:tc>
      </w:tr>
      <w:tr>
        <w:trPr>
          <w:trHeight w:val="234"/>
        </w:trPr>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Signature Pages)</w:t>
            </w:r>
          </w:p>
        </w:tc>
      </w:tr>
    </w:tbl>
    <w:p>
      <w:pPr>
        <w:spacing w:after="0" w:line="225" w:lineRule="exact"/>
        <w:rPr>
          <w:sz w:val="20"/>
          <w:szCs w:val="20"/>
          <w:color w:val="auto"/>
        </w:rPr>
      </w:pPr>
    </w:p>
    <w:p>
      <w:pPr>
        <w:ind w:left="5620" w:right="4800" w:hanging="5612"/>
        <w:spacing w:after="0" w:line="564" w:lineRule="auto"/>
        <w:tabs>
          <w:tab w:leader="none" w:pos="13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an exhibit to a Current Report on Form 8-K. 19</w:t>
      </w:r>
    </w:p>
    <w:p>
      <w:pPr>
        <w:sectPr>
          <w:pgSz w:w="11900" w:h="16838" w:orient="portrait"/>
          <w:cols w:equalWidth="0" w:num="1">
            <w:col w:w="10600"/>
          </w:cols>
          <w:pgMar w:left="240" w:top="792" w:right="105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Quarles &amp; Brady LLP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411 East Wisconsin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Milwaukee, Wisconsin 53202-4497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(414) 277-5000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Fax: (414) 271-3552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www.quarles.com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6555 West Good Hope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 53223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providing this opinion in connection with the Registration Statement of Brady Corporation (the "Company") on Form S-3 (the "Registration Statement") being filed with the Securities and Exchange Commission (the "Commission") under the Securities Act of 1933, as amended (the "Act"). The Registration Statement relates to the proposed offering on a delayed basis pursuant to Rule 415 under the Act, together or separately, of an indeterminate amount of the Company's (i) unsecured debt securities (the "Debt Securities") and/or (ii) Class A Nonvoting Common Stock, par value $0.01 per share (the "Common Stock"). The Debt Securities and the Common Stock are collectively referred to herein as the "Offered Securities."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examined (i) the Registration Statement; (ii) the Company's Restated Articles of Incorporation and By-Laws, as amended to date; (iii) corporate proceedings of the Company relating to the Registration Statement and the transactions contemplated thereby; and (iv) such other documents, and such matters of law, as we have deemed necessary in order to render this opinion.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assumed that, at or prior to the time of delivery of the Offered Securities, (i) the Registration Statement and any amendments thereto (including post-effective amendments) will have become effective under the Act; (ii) a prospectus supplement will have been prepared and filed with the Commission describing the terms of each particular issue of Offered Securities offered and the terms of the offering thereof; (iii) all Offered Securities will be issued and sold in compliance with applicable federal and state securities laws and in the manner stated in the Registration Statement and the applicable prospectus supplement; (iv) with respect to an offering of Debt Securities, any indenture providing for the issuance of Debt Securities (the "Indenture") will have been duly qualified under the Trust Indenture Act of 1939, as amended (the "Trust Indenture Act"), and will have been duly authorized, executed and delivered by the Company and the trustee under the Indenture, and any securities resolutions setting forth the terms of a series of Debt Securities to be issued under the Indenture (the "Securities Resolution") will have been duly authorized by the Company; (v) a Form T-1 will be filed with the Commission with respect to the trustee executing any Indenture or any supplemental indenture to any such Indenture; (vi) as appropriate, a definitive purchase, underwriting or similar agreement with respect to any Offered Securities offered will have been duly authorized, executed and delivered by the Company and the other parties thereto; and (vii) with respect to shares of Common Stock offered, there will be sufficient shares of Common Stock authorized under the Company's Restated Articles of Incorporation, as amended, and not otherwise reserved for issuance.</w:t>
      </w: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the basis and subject to the foregoing, we advise you that, in our opinion:</w:t>
      </w:r>
    </w:p>
    <w:p>
      <w:pPr>
        <w:spacing w:after="0" w:line="225"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validly existing under the laws of the State of Wisconsin.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Registration Statement has become effective under the Act and, in the case of Debt Securities, the Indenture has been duly qualified under the Trust Indenture Act, (ii) the terms of any class or series of Offered Securities have been authorized by appropriate action of the Company, (iii) any Debt Securities have been duly executed, authenticated, issued and delivered in accordance with the provisions of the Indenture and the applicable Securities Resolution, and (iv) any such class or series of Offered Securities has been duly issued and sold, and payment has been received for such Offered Securities in the manner contemplated in the Registration Statement and the prospectus supplement relating thereto, then (a) if the Offered Securities are</w:t>
      </w:r>
    </w:p>
    <w:p>
      <w:pPr>
        <w:sectPr>
          <w:pgSz w:w="11900" w:h="16838" w:orient="portrait"/>
          <w:cols w:equalWidth="0" w:num="1">
            <w:col w:w="11420"/>
          </w:cols>
          <w:pgMar w:left="240" w:top="576" w:right="239" w:bottom="1440" w:gutter="0" w:footer="0" w:header="0"/>
        </w:sectPr>
      </w:pPr>
    </w:p>
    <w:bookmarkStart w:id="23" w:name="page24"/>
    <w:bookmarkEnd w:id="23"/>
    <w:p>
      <w:pPr>
        <w:ind w:left="1300"/>
        <w:spacing w:after="0" w:line="329" w:lineRule="auto"/>
        <w:rPr>
          <w:sz w:val="20"/>
          <w:szCs w:val="20"/>
          <w:color w:val="auto"/>
        </w:rPr>
      </w:pPr>
      <w:r>
        <w:rPr>
          <w:rFonts w:ascii="Times New Roman" w:cs="Times New Roman" w:eastAsia="Times New Roman" w:hAnsi="Times New Roman"/>
          <w:sz w:val="18"/>
          <w:szCs w:val="18"/>
          <w:color w:val="auto"/>
        </w:rPr>
        <w:t>shares of Common Stock, such shares will be validly issued, fully paid and non-assessable; and (b) if the Offered Securities are Debt Securities, they will be legally issued and will constitute valid and binding obligations of the Company.</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qualified to practice law in the State of Wisconsin and we do not purport to be experts on the law other than that of the State of Wisconsin and the federal laws of the United States of America. We express no opinion as to the laws of any jurisdiction other than the State of Wisconsin and the federal laws of the United States.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to the reference to our firm under the caption "Legal Matters" in the prospectus constituting a part thereof. In giving our consent, we do not admit that we come within the category of persons whose consent is required under Section 7 of the Act or the rules and regulations of the Commission thereunder.</w:t>
      </w:r>
    </w:p>
    <w:p>
      <w:pPr>
        <w:spacing w:after="0" w:line="1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QUARLES &amp; BRADY LLP</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Quarles &amp; Brady LLP</w:t>
      </w:r>
    </w:p>
    <w:p>
      <w:pPr>
        <w:sectPr>
          <w:pgSz w:w="11900" w:h="16838" w:orient="portrait"/>
          <w:cols w:equalWidth="0" w:num="1">
            <w:col w:w="11420"/>
          </w:cols>
          <w:pgMar w:left="240" w:top="607"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 except ratio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2010</w:t>
            </w:r>
          </w:p>
        </w:tc>
      </w:tr>
      <w:tr>
        <w:trPr>
          <w:trHeight w:val="33"/>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(Loss) earnings from 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(53,109)</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(95,674)</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140,655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127,624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94,370</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Add back:</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Fixed charges less interest capitalized</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19,888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23,128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22,107</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Less: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16"/>
        </w:trPr>
        <w:tc>
          <w:tcPr>
            <w:tcW w:w="52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Preferential stock dividends and premium on redemption of preferred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52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stock</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b w:val="1"/>
                <w:bCs w:val="1"/>
                <w:color w:val="auto"/>
              </w:rPr>
              <w:t>Total (loss) earnings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160,543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150,752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116,477</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4"/>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Fixed Charges: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capitalized and expensed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13,879</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16,222</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18,407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21,777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20,843</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debt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379</w:t>
            </w:r>
          </w:p>
        </w:tc>
      </w:tr>
      <w:tr>
        <w:trPr>
          <w:trHeight w:val="237"/>
        </w:trPr>
        <w:tc>
          <w:tcPr>
            <w:tcW w:w="5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portion of rent expense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885</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Preferential stock dividends and premium on redemption of preferred stock</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84"/>
        </w:trPr>
        <w:tc>
          <w:tcPr>
            <w:tcW w:w="526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b w:val="1"/>
                <w:bCs w:val="1"/>
                <w:color w:val="auto"/>
              </w:rPr>
              <w:t>Total fixed charges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15,211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17,592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19,888</w:t>
            </w:r>
          </w:p>
        </w:tc>
        <w:tc>
          <w:tcPr>
            <w:tcW w:w="12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23,128</w:t>
            </w:r>
          </w:p>
        </w:tc>
        <w:tc>
          <w:tcPr>
            <w:tcW w:w="10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22,107</w:t>
            </w:r>
          </w:p>
        </w:tc>
      </w:tr>
      <w:tr>
        <w:trPr>
          <w:trHeight w:val="284"/>
        </w:trPr>
        <w:tc>
          <w:tcPr>
            <w:tcW w:w="5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90"/>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Ratio of Earnings to Fixed Charges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8.1x</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6.5x</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5.3x</w:t>
            </w:r>
          </w:p>
        </w:tc>
      </w:tr>
    </w:tbl>
    <w:p>
      <w:pPr>
        <w:spacing w:after="0" w:line="198" w:lineRule="exact"/>
        <w:rPr>
          <w:sz w:val="20"/>
          <w:szCs w:val="20"/>
          <w:color w:val="auto"/>
        </w:rPr>
      </w:pPr>
    </w:p>
    <w:p>
      <w:pPr>
        <w:jc w:val="both"/>
        <w:ind w:left="660" w:hanging="652"/>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Brady Corporation's loss for the year ended July 31, 2014, the Company did not have earnings adequate to cover fixed charges, and the ratio of earnings to fixed charges therefore has not been presented for that period. The coverage deficiency necessary for the ratio of earnings to fixed charges to equal 1.0x was $53.1 million for the year ended July 31, 2014. The non-cash deficiency was primarily a result of a non-cash intangible asset impairment charge of $148.6 million recognized during the fourth quarter of fiscal 2014.</w:t>
      </w:r>
    </w:p>
    <w:p>
      <w:pPr>
        <w:spacing w:after="0" w:line="180"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Brady Corporation's loss for the year ended July 31, 2013, the Company did not have earnings adequate to cover fixed charges, and the ratio of earnings to fixed charges therefore has not been presented for that period. The coverage deficiency necessary for the ratio of earnings to fixed charges to equal 1.0x was $95.7 million for the year ended July 31, 2013. The non-cash deficiency was primarily a result of a non-cash intangible asset impairment charge of $204.4 million recognized during the fourth quarter of fiscal 2013.</w:t>
      </w:r>
    </w:p>
    <w:p>
      <w:pPr>
        <w:sectPr>
          <w:pgSz w:w="11900" w:h="16838" w:orient="portrait"/>
          <w:cols w:equalWidth="0" w:num="1">
            <w:col w:w="11420"/>
          </w:cols>
          <w:pgMar w:left="240" w:top="576" w:right="2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reports dated September 29, 2014 relating to the consolidated financial statements and financial statement schedule of Brady Corporation and the effectiveness of Brady Corporation’s internal control over financial reporting, appearing in the Annual Report on Form 10-K of Brady Corporation for the year ended July 31, 2014, and to the reference to us under the heading "Experts" in the Prospectus, which is part of this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2014</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lvl w:ilvl="1">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436C6125"/>
    <w:multiLevelType w:val="hybridMultilevel"/>
    <w:lvl w:ilvl="0">
      <w:lvlJc w:val="left"/>
      <w:lvlText w:val="(%1)"/>
      <w:numFmt w:val="decimal"/>
      <w:start w:val="2"/>
    </w:lvl>
    <w:lvl w:ilvl="1">
      <w:lvlJc w:val="left"/>
      <w:lvlText w:val="(%2)"/>
      <w:numFmt w:val="lowerRoman"/>
      <w:start w:val="1"/>
    </w:lvl>
  </w:abstractNum>
  <w:abstractNum w:abstractNumId="18">
    <w:nsid w:val="628C895D"/>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9">
    <w:nsid w:val="333AB105"/>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2019-12-05T20:19:58Z</dcterms:created>
  <dcterms:modified xsi:type="dcterms:W3CDTF">2019-12-05T20:19:58Z</dcterms:modified>
</cp:coreProperties>
</file>