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44450</wp:posOffset>
            </wp:positionV>
            <wp:extent cx="15087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49530</wp:posOffset>
            </wp:positionV>
            <wp:extent cx="15087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20" w:lineRule="exact"/>
        <w:rPr>
          <w:sz w:val="24"/>
          <w:szCs w:val="24"/>
          <w:color w:val="auto"/>
        </w:rPr>
      </w:pPr>
    </w:p>
    <w:p>
      <w:pPr>
        <w:ind w:left="660" w:right="20" w:hanging="634"/>
        <w:spacing w:after="0" w:line="231" w:lineRule="auto"/>
        <w:tabs>
          <w:tab w:leader="none" w:pos="66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2023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2" w:lineRule="exact"/>
        <w:rPr>
          <w:sz w:val="24"/>
          <w:szCs w:val="24"/>
          <w:color w:val="auto"/>
        </w:rPr>
      </w:pPr>
    </w:p>
    <w:p>
      <w:pPr>
        <w:ind w:left="660" w:right="20" w:hanging="634"/>
        <w:spacing w:after="0" w:line="235" w:lineRule="auto"/>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6760" w:type="dxa"/>
            <w:vAlign w:val="bottom"/>
            <w:gridSpan w:val="5"/>
          </w:tcPr>
          <w:p>
            <w:pPr>
              <w:ind w:left="3420"/>
              <w:spacing w:after="0"/>
              <w:rPr>
                <w:sz w:val="20"/>
                <w:szCs w:val="20"/>
                <w:color w:val="auto"/>
              </w:rPr>
            </w:pPr>
            <w:r>
              <w:rPr>
                <w:rFonts w:ascii="Arial" w:cs="Arial" w:eastAsia="Arial" w:hAnsi="Arial"/>
                <w:sz w:val="18"/>
                <w:szCs w:val="18"/>
                <w:b w:val="1"/>
                <w:bCs w:val="1"/>
                <w:color w:val="auto"/>
              </w:rPr>
              <w:t>For the Transition Period from</w:t>
            </w: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378"/>
        </w:trPr>
        <w:tc>
          <w:tcPr>
            <w:tcW w:w="3620" w:type="dxa"/>
            <w:vAlign w:val="bottom"/>
          </w:tcPr>
          <w:p>
            <w:pPr>
              <w:spacing w:after="0"/>
              <w:rPr>
                <w:sz w:val="24"/>
                <w:szCs w:val="24"/>
                <w:color w:val="auto"/>
              </w:rPr>
            </w:pPr>
          </w:p>
        </w:tc>
        <w:tc>
          <w:tcPr>
            <w:tcW w:w="7620" w:type="dxa"/>
            <w:vAlign w:val="bottom"/>
            <w:gridSpan w:val="7"/>
          </w:tcPr>
          <w:p>
            <w:pPr>
              <w:jc w:val="center"/>
              <w:ind w:right="3548"/>
              <w:spacing w:after="0"/>
              <w:rPr>
                <w:sz w:val="20"/>
                <w:szCs w:val="20"/>
                <w:color w:val="auto"/>
              </w:rPr>
            </w:pPr>
            <w:r>
              <w:rPr>
                <w:rFonts w:ascii="Arial" w:cs="Arial" w:eastAsia="Arial" w:hAnsi="Arial"/>
                <w:sz w:val="18"/>
                <w:szCs w:val="18"/>
                <w:b w:val="1"/>
                <w:bCs w:val="1"/>
                <w:color w:val="auto"/>
                <w:w w:val="90"/>
              </w:rPr>
              <w:t>Commission File Number 1-14959</w:t>
            </w:r>
          </w:p>
        </w:tc>
        <w:tc>
          <w:tcPr>
            <w:tcW w:w="0" w:type="dxa"/>
            <w:vAlign w:val="bottom"/>
          </w:tcPr>
          <w:p>
            <w:pPr>
              <w:spacing w:after="0"/>
              <w:rPr>
                <w:sz w:val="1"/>
                <w:szCs w:val="1"/>
                <w:color w:val="auto"/>
              </w:rPr>
            </w:pPr>
          </w:p>
        </w:tc>
      </w:tr>
      <w:tr>
        <w:trPr>
          <w:trHeight w:val="81"/>
        </w:trPr>
        <w:tc>
          <w:tcPr>
            <w:tcW w:w="44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3"/>
        </w:trPr>
        <w:tc>
          <w:tcPr>
            <w:tcW w:w="11240" w:type="dxa"/>
            <w:vAlign w:val="bottom"/>
            <w:gridSpan w:val="8"/>
          </w:tcPr>
          <w:p>
            <w:pPr>
              <w:jc w:val="center"/>
              <w:spacing w:after="0"/>
              <w:rPr>
                <w:sz w:val="20"/>
                <w:szCs w:val="20"/>
                <w:color w:val="auto"/>
              </w:rPr>
            </w:pPr>
            <w:r>
              <w:rPr>
                <w:rFonts w:ascii="Arial" w:cs="Arial" w:eastAsia="Arial" w:hAnsi="Arial"/>
                <w:sz w:val="43"/>
                <w:szCs w:val="43"/>
                <w:b w:val="1"/>
                <w:bCs w:val="1"/>
                <w:color w:val="auto"/>
              </w:rPr>
              <w:t>BRADY CORPORATION</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7620" w:type="dxa"/>
            <w:vAlign w:val="bottom"/>
            <w:gridSpan w:val="7"/>
          </w:tcPr>
          <w:p>
            <w:pPr>
              <w:jc w:val="center"/>
              <w:ind w:right="352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4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35"/>
        </w:trPr>
        <w:tc>
          <w:tcPr>
            <w:tcW w:w="3620" w:type="dxa"/>
            <w:vAlign w:val="bottom"/>
          </w:tcPr>
          <w:p>
            <w:pPr>
              <w:jc w:val="center"/>
              <w:ind w:left="1622"/>
              <w:spacing w:after="0"/>
              <w:rPr>
                <w:sz w:val="20"/>
                <w:szCs w:val="20"/>
                <w:color w:val="auto"/>
              </w:rPr>
            </w:pPr>
            <w:r>
              <w:rPr>
                <w:rFonts w:ascii="Arial" w:cs="Arial" w:eastAsia="Arial" w:hAnsi="Arial"/>
                <w:sz w:val="18"/>
                <w:szCs w:val="18"/>
                <w:b w:val="1"/>
                <w:bCs w:val="1"/>
                <w:color w:val="auto"/>
                <w:w w:val="86"/>
              </w:rPr>
              <w:t>Wisconsin</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80" w:type="dxa"/>
            <w:vAlign w:val="bottom"/>
            <w:gridSpan w:val="3"/>
          </w:tcPr>
          <w:p>
            <w:pPr>
              <w:jc w:val="right"/>
              <w:ind w:right="2148"/>
              <w:spacing w:after="0"/>
              <w:rPr>
                <w:sz w:val="20"/>
                <w:szCs w:val="20"/>
                <w:color w:val="auto"/>
              </w:rPr>
            </w:pPr>
            <w:r>
              <w:rPr>
                <w:rFonts w:ascii="Arial" w:cs="Arial" w:eastAsia="Arial" w:hAnsi="Arial"/>
                <w:sz w:val="18"/>
                <w:szCs w:val="18"/>
                <w:b w:val="1"/>
                <w:bCs w:val="1"/>
                <w:color w:val="auto"/>
              </w:rPr>
              <w:t>39-0178960</w:t>
            </w:r>
          </w:p>
        </w:tc>
        <w:tc>
          <w:tcPr>
            <w:tcW w:w="0" w:type="dxa"/>
            <w:vAlign w:val="bottom"/>
          </w:tcPr>
          <w:p>
            <w:pPr>
              <w:spacing w:after="0"/>
              <w:rPr>
                <w:sz w:val="1"/>
                <w:szCs w:val="1"/>
                <w:color w:val="auto"/>
              </w:rPr>
            </w:pPr>
          </w:p>
        </w:tc>
      </w:tr>
      <w:tr>
        <w:trPr>
          <w:trHeight w:val="186"/>
        </w:trPr>
        <w:tc>
          <w:tcPr>
            <w:tcW w:w="6760" w:type="dxa"/>
            <w:vAlign w:val="bottom"/>
            <w:gridSpan w:val="5"/>
          </w:tcPr>
          <w:p>
            <w:pPr>
              <w:jc w:val="center"/>
              <w:ind w:right="1342"/>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Pr>
          <w:p>
            <w:pPr>
              <w:jc w:val="center"/>
              <w:ind w:right="82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18"/>
        </w:trPr>
        <w:tc>
          <w:tcPr>
            <w:tcW w:w="3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6555 West Good Hope Road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Milwaukee, Wisconsin 53223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7620" w:type="dxa"/>
            <w:vAlign w:val="bottom"/>
            <w:gridSpan w:val="7"/>
          </w:tcPr>
          <w:p>
            <w:pPr>
              <w:jc w:val="center"/>
              <w:ind w:right="3528"/>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0" w:type="dxa"/>
            <w:vAlign w:val="bottom"/>
          </w:tcPr>
          <w:p>
            <w:pPr>
              <w:spacing w:after="0"/>
              <w:rPr>
                <w:sz w:val="1"/>
                <w:szCs w:val="1"/>
                <w:color w:val="auto"/>
              </w:rPr>
            </w:pPr>
          </w:p>
        </w:tc>
      </w:tr>
      <w:tr>
        <w:trPr>
          <w:trHeight w:val="354"/>
        </w:trPr>
        <w:tc>
          <w:tcPr>
            <w:tcW w:w="3620" w:type="dxa"/>
            <w:vAlign w:val="bottom"/>
          </w:tcPr>
          <w:p>
            <w:pPr>
              <w:spacing w:after="0"/>
              <w:rPr>
                <w:sz w:val="24"/>
                <w:szCs w:val="24"/>
                <w:color w:val="auto"/>
              </w:rPr>
            </w:pPr>
          </w:p>
        </w:tc>
        <w:tc>
          <w:tcPr>
            <w:tcW w:w="3140" w:type="dxa"/>
            <w:vAlign w:val="bottom"/>
            <w:gridSpan w:val="4"/>
          </w:tcPr>
          <w:p>
            <w:pPr>
              <w:jc w:val="center"/>
              <w:ind w:left="777"/>
              <w:spacing w:after="0"/>
              <w:rPr>
                <w:sz w:val="20"/>
                <w:szCs w:val="20"/>
                <w:color w:val="auto"/>
              </w:rPr>
            </w:pPr>
            <w:r>
              <w:rPr>
                <w:rFonts w:ascii="Arial" w:cs="Arial" w:eastAsia="Arial" w:hAnsi="Arial"/>
                <w:sz w:val="18"/>
                <w:szCs w:val="18"/>
                <w:b w:val="1"/>
                <w:bCs w:val="1"/>
                <w:color w:val="auto"/>
                <w:w w:val="90"/>
              </w:rPr>
              <w:t>(414) 358-6600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7620" w:type="dxa"/>
            <w:vAlign w:val="bottom"/>
            <w:gridSpan w:val="7"/>
          </w:tcPr>
          <w:p>
            <w:pPr>
              <w:jc w:val="center"/>
              <w:ind w:right="35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93"/>
        </w:trPr>
        <w:tc>
          <w:tcPr>
            <w:tcW w:w="362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0"/>
        </w:trPr>
        <w:tc>
          <w:tcPr>
            <w:tcW w:w="36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6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Trading Symbol</w:t>
            </w: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6"/>
        </w:trPr>
        <w:tc>
          <w:tcPr>
            <w:tcW w:w="3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93"/>
              </w:rPr>
              <w:t>Class A Nonvoting Common Stock, par value $0.01 per share</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BRC</w:t>
            </w: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238" w:lineRule="exact"/>
        <w:rPr>
          <w:sz w:val="24"/>
          <w:szCs w:val="24"/>
          <w:color w:val="auto"/>
        </w:rPr>
      </w:pPr>
    </w:p>
    <w:p>
      <w:pPr>
        <w:jc w:val="both"/>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25" w:lineRule="exact"/>
        <w:rPr>
          <w:sz w:val="24"/>
          <w:szCs w:val="24"/>
          <w:color w:val="auto"/>
        </w:rPr>
      </w:pPr>
    </w:p>
    <w:p>
      <w:pPr>
        <w:jc w:val="both"/>
        <w:spacing w:after="0" w:line="20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jc w:val="both"/>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60" w:lineRule="exact"/>
        <w:rPr>
          <w:sz w:val="24"/>
          <w:szCs w:val="24"/>
          <w:color w:val="auto"/>
        </w:rPr>
      </w:pPr>
    </w:p>
    <w:p>
      <w:pPr>
        <w:ind w:left="20" w:right="440"/>
        <w:spacing w:after="0" w:line="420"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18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8" w:lineRule="exact"/>
        <w:rPr>
          <w:sz w:val="24"/>
          <w:szCs w:val="24"/>
          <w:color w:val="auto"/>
        </w:rPr>
      </w:pPr>
    </w:p>
    <w:p>
      <w:pPr>
        <w:sectPr>
          <w:pgSz w:w="11900" w:h="16838" w:orient="portrait"/>
          <w:cols w:equalWidth="0" w:num="6">
            <w:col w:w="1760" w:space="720"/>
            <w:col w:w="320" w:space="720"/>
            <w:col w:w="1780" w:space="720"/>
            <w:col w:w="340" w:space="720"/>
            <w:col w:w="1740" w:space="720"/>
            <w:col w:w="1700"/>
          </w:cols>
          <w:pgMar w:left="320" w:top="229" w:right="339" w:bottom="1440" w:gutter="0" w:footer="0" w:header="0"/>
          <w:type w:val="continuous"/>
        </w:sectPr>
      </w:pPr>
    </w:p>
    <w:p>
      <w:pPr>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As of May 16, 2023, there were 45,911,762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20" w:type="dxa"/>
            <w:vAlign w:val="bottom"/>
            <w:gridSpan w:val="2"/>
          </w:tcPr>
          <w:p>
            <w:pPr>
              <w:jc w:val="center"/>
              <w:ind w:right="3560"/>
              <w:spacing w:after="0"/>
              <w:rPr>
                <w:sz w:val="20"/>
                <w:szCs w:val="20"/>
                <w:color w:val="auto"/>
              </w:rPr>
            </w:pPr>
            <w:r>
              <w:rPr>
                <w:rFonts w:ascii="Arial" w:cs="Arial" w:eastAsia="Arial" w:hAnsi="Arial"/>
                <w:sz w:val="18"/>
                <w:szCs w:val="18"/>
                <w:color w:val="auto"/>
                <w:w w:val="93"/>
              </w:rPr>
              <w:t>FORM 10-Q</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gridSpan w:val="6"/>
          </w:tcPr>
          <w:p>
            <w:pPr>
              <w:jc w:val="center"/>
              <w:ind w:right="2860"/>
              <w:spacing w:after="0"/>
              <w:rPr>
                <w:sz w:val="20"/>
                <w:szCs w:val="20"/>
                <w:color w:val="auto"/>
              </w:rPr>
            </w:pPr>
            <w:r>
              <w:rPr>
                <w:rFonts w:ascii="Arial" w:cs="Arial" w:eastAsia="Arial" w:hAnsi="Arial"/>
                <w:sz w:val="18"/>
                <w:szCs w:val="18"/>
                <w:color w:val="auto"/>
                <w:w w:val="95"/>
              </w:rPr>
              <w:t>BRADY CORPORATION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720" w:type="dxa"/>
            <w:vAlign w:val="bottom"/>
            <w:gridSpan w:val="2"/>
          </w:tcPr>
          <w:p>
            <w:pPr>
              <w:jc w:val="center"/>
              <w:ind w:right="3560"/>
              <w:spacing w:after="0"/>
              <w:rPr>
                <w:sz w:val="20"/>
                <w:szCs w:val="20"/>
                <w:color w:val="auto"/>
              </w:rPr>
            </w:pPr>
            <w:r>
              <w:rPr>
                <w:rFonts w:ascii="Arial" w:cs="Arial" w:eastAsia="Arial" w:hAnsi="Arial"/>
                <w:sz w:val="18"/>
                <w:szCs w:val="18"/>
                <w:color w:val="auto"/>
              </w:rPr>
              <w:t>INDEX</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2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gridSpan w:val="5"/>
          </w:tcPr>
          <w:p>
            <w:pPr>
              <w:ind w:left="560"/>
              <w:spacing w:after="0"/>
              <w:rPr>
                <w:sz w:val="20"/>
                <w:szCs w:val="20"/>
                <w:color w:val="auto"/>
              </w:rPr>
            </w:pPr>
            <w:r>
              <w:rPr>
                <w:rFonts w:ascii="Arial" w:cs="Arial" w:eastAsia="Arial" w:hAnsi="Arial"/>
                <w:sz w:val="18"/>
                <w:szCs w:val="18"/>
                <w:color w:val="auto"/>
              </w:rPr>
              <w:t>Page</w:t>
            </w:r>
          </w:p>
        </w:tc>
      </w:tr>
      <w:tr>
        <w:trPr>
          <w:trHeight w:val="176"/>
        </w:trPr>
        <w:tc>
          <w:tcPr>
            <w:tcW w:w="20" w:type="dxa"/>
            <w:vAlign w:val="bottom"/>
          </w:tcPr>
          <w:p>
            <w:pPr>
              <w:spacing w:after="0"/>
              <w:rPr>
                <w:sz w:val="15"/>
                <w:szCs w:val="15"/>
                <w:color w:val="auto"/>
              </w:rPr>
            </w:pPr>
          </w:p>
        </w:tc>
        <w:tc>
          <w:tcPr>
            <w:tcW w:w="2460" w:type="dxa"/>
            <w:vAlign w:val="bottom"/>
            <w:gridSpan w:val="8"/>
          </w:tcPr>
          <w:p>
            <w:pPr>
              <w:spacing w:after="0" w:line="156" w:lineRule="exact"/>
              <w:rPr>
                <w:sz w:val="20"/>
                <w:szCs w:val="20"/>
                <w:color w:val="auto"/>
              </w:rPr>
            </w:pPr>
            <w:r>
              <w:rPr>
                <w:rFonts w:ascii="Arial" w:cs="Arial" w:eastAsia="Arial" w:hAnsi="Arial"/>
                <w:sz w:val="18"/>
                <w:szCs w:val="18"/>
                <w:color w:val="0000FF"/>
              </w:rPr>
              <w:t>PART I. Financial Information</w:t>
            </w:r>
          </w:p>
        </w:tc>
        <w:tc>
          <w:tcPr>
            <w:tcW w:w="7280" w:type="dxa"/>
            <w:vAlign w:val="bottom"/>
            <w:gridSpan w:val="11"/>
          </w:tcPr>
          <w:p>
            <w:pPr>
              <w:spacing w:after="0"/>
              <w:rPr>
                <w:sz w:val="15"/>
                <w:szCs w:val="15"/>
                <w:color w:val="auto"/>
              </w:rPr>
            </w:pPr>
          </w:p>
        </w:tc>
        <w:tc>
          <w:tcPr>
            <w:tcW w:w="1440" w:type="dxa"/>
            <w:vAlign w:val="bottom"/>
            <w:tcBorders>
              <w:top w:val="single" w:sz="8" w:color="auto"/>
            </w:tcBorders>
            <w:gridSpan w:val="3"/>
          </w:tcPr>
          <w:p>
            <w:pPr>
              <w:jc w:val="right"/>
              <w:spacing w:after="0" w:line="156" w:lineRule="exact"/>
              <w:rPr>
                <w:sz w:val="20"/>
                <w:szCs w:val="20"/>
                <w:color w:val="auto"/>
              </w:rPr>
            </w:pPr>
            <w:r>
              <w:rPr>
                <w:rFonts w:ascii="Arial" w:cs="Arial" w:eastAsia="Arial" w:hAnsi="Arial"/>
                <w:sz w:val="18"/>
                <w:szCs w:val="18"/>
                <w:color w:val="0000FF"/>
              </w:rPr>
              <w:t>3</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Arial" w:cs="Arial" w:eastAsia="Arial" w:hAnsi="Arial"/>
                <w:sz w:val="18"/>
                <w:szCs w:val="18"/>
                <w:color w:val="0000FF"/>
              </w:rPr>
              <w:t>Item 1. Financial Statements (Unaudited)</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gridSpan w:val="17"/>
          </w:tcPr>
          <w:p>
            <w:pPr>
              <w:ind w:left="20"/>
              <w:spacing w:after="0"/>
              <w:rPr>
                <w:sz w:val="20"/>
                <w:szCs w:val="20"/>
                <w:color w:val="auto"/>
              </w:rPr>
            </w:pPr>
            <w:r>
              <w:rPr>
                <w:rFonts w:ascii="Arial" w:cs="Arial" w:eastAsia="Arial" w:hAnsi="Arial"/>
                <w:sz w:val="18"/>
                <w:szCs w:val="18"/>
                <w:color w:val="0000FF"/>
              </w:rPr>
              <w:t>Condensed Consolidated Balance Sheets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gridSpan w:val="9"/>
          </w:tcPr>
          <w:p>
            <w:pPr>
              <w:ind w:left="20"/>
              <w:spacing w:after="0"/>
              <w:rPr>
                <w:sz w:val="20"/>
                <w:szCs w:val="20"/>
                <w:color w:val="auto"/>
              </w:rPr>
            </w:pPr>
            <w:r>
              <w:rPr>
                <w:rFonts w:ascii="Arial" w:cs="Arial" w:eastAsia="Arial" w:hAnsi="Arial"/>
                <w:sz w:val="18"/>
                <w:szCs w:val="18"/>
                <w:color w:val="0000FF"/>
                <w:w w:val="88"/>
              </w:rPr>
              <w:t>Condensed Consolidated Statements of Income</w:t>
            </w:r>
          </w:p>
        </w:tc>
        <w:tc>
          <w:tcPr>
            <w:tcW w:w="6000" w:type="dxa"/>
            <w:vAlign w:val="bottom"/>
            <w:gridSpan w:val="8"/>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13"/>
          </w:tcPr>
          <w:p>
            <w:pPr>
              <w:ind w:left="20"/>
              <w:spacing w:after="0"/>
              <w:rPr>
                <w:sz w:val="20"/>
                <w:szCs w:val="20"/>
                <w:color w:val="auto"/>
              </w:rPr>
            </w:pPr>
            <w:r>
              <w:rPr>
                <w:rFonts w:ascii="Arial" w:cs="Arial" w:eastAsia="Arial" w:hAnsi="Arial"/>
                <w:sz w:val="18"/>
                <w:szCs w:val="18"/>
                <w:color w:val="0000FF"/>
                <w:w w:val="88"/>
              </w:rPr>
              <w:t>Condensed Consolidated Statements of Comprehensive Income</w:t>
            </w:r>
          </w:p>
        </w:tc>
        <w:tc>
          <w:tcPr>
            <w:tcW w:w="4820" w:type="dxa"/>
            <w:vAlign w:val="bottom"/>
            <w:gridSpan w:val="4"/>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80" w:type="dxa"/>
            <w:vAlign w:val="bottom"/>
            <w:gridSpan w:val="12"/>
          </w:tcPr>
          <w:p>
            <w:pPr>
              <w:ind w:left="20"/>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220" w:type="dxa"/>
            <w:vAlign w:val="bottom"/>
          </w:tcPr>
          <w:p>
            <w:pPr>
              <w:spacing w:after="0"/>
              <w:rPr>
                <w:sz w:val="18"/>
                <w:szCs w:val="18"/>
                <w:color w:val="auto"/>
              </w:rPr>
            </w:pPr>
          </w:p>
        </w:tc>
        <w:tc>
          <w:tcPr>
            <w:tcW w:w="4820" w:type="dxa"/>
            <w:vAlign w:val="bottom"/>
            <w:gridSpan w:val="4"/>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80" w:type="dxa"/>
            <w:vAlign w:val="bottom"/>
            <w:gridSpan w:val="12"/>
          </w:tcPr>
          <w:p>
            <w:pPr>
              <w:ind w:left="20"/>
              <w:spacing w:after="0"/>
              <w:rPr>
                <w:sz w:val="20"/>
                <w:szCs w:val="20"/>
                <w:color w:val="auto"/>
              </w:rPr>
            </w:pPr>
            <w:r>
              <w:rPr>
                <w:rFonts w:ascii="Arial" w:cs="Arial" w:eastAsia="Arial" w:hAnsi="Arial"/>
                <w:sz w:val="18"/>
                <w:szCs w:val="18"/>
                <w:color w:val="0000FF"/>
              </w:rPr>
              <w:t>Condensed Consolidated Statements of Cash Flows</w:t>
            </w:r>
          </w:p>
        </w:tc>
        <w:tc>
          <w:tcPr>
            <w:tcW w:w="5040" w:type="dxa"/>
            <w:vAlign w:val="bottom"/>
            <w:gridSpan w:val="5"/>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gridSpan w:val="17"/>
          </w:tcPr>
          <w:p>
            <w:pPr>
              <w:ind w:left="20"/>
              <w:spacing w:after="0"/>
              <w:rPr>
                <w:sz w:val="20"/>
                <w:szCs w:val="20"/>
                <w:color w:val="auto"/>
              </w:rPr>
            </w:pPr>
            <w:r>
              <w:rPr>
                <w:rFonts w:ascii="Arial" w:cs="Arial" w:eastAsia="Arial" w:hAnsi="Arial"/>
                <w:sz w:val="18"/>
                <w:szCs w:val="18"/>
                <w:color w:val="0000FF"/>
              </w:rPr>
              <w:t>Notes to Condensed Consolidated Financial Statements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9"/>
              </w:rPr>
              <w:t>Item 4. Controls and Procedures</w:t>
            </w:r>
          </w:p>
        </w:tc>
        <w:tc>
          <w:tcPr>
            <w:tcW w:w="2560" w:type="dxa"/>
            <w:vAlign w:val="bottom"/>
            <w:tcBorders>
              <w:top w:val="single" w:sz="8" w:color="0000FF"/>
            </w:tcBorders>
            <w:gridSpan w:val="9"/>
          </w:tcPr>
          <w:p>
            <w:pPr>
              <w:spacing w:after="0"/>
              <w:rPr>
                <w:sz w:val="18"/>
                <w:szCs w:val="18"/>
                <w:color w:val="auto"/>
              </w:rPr>
            </w:pPr>
          </w:p>
        </w:tc>
        <w:tc>
          <w:tcPr>
            <w:tcW w:w="47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40" w:type="dxa"/>
            <w:vAlign w:val="bottom"/>
            <w:gridSpan w:val="19"/>
          </w:tcPr>
          <w:p>
            <w:pPr>
              <w:spacing w:after="0"/>
              <w:rPr>
                <w:sz w:val="20"/>
                <w:szCs w:val="20"/>
                <w:color w:val="auto"/>
              </w:rPr>
            </w:pPr>
            <w:r>
              <w:rPr>
                <w:rFonts w:ascii="Arial" w:cs="Arial" w:eastAsia="Arial" w:hAnsi="Arial"/>
                <w:sz w:val="18"/>
                <w:szCs w:val="18"/>
                <w:color w:val="0000FF"/>
              </w:rPr>
              <w:t>PART II. Other Information</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1"/>
              </w:rPr>
              <w:t>Item 1A. Risk Factors</w:t>
            </w:r>
          </w:p>
        </w:tc>
        <w:tc>
          <w:tcPr>
            <w:tcW w:w="280" w:type="dxa"/>
            <w:vAlign w:val="bottom"/>
            <w:tcBorders>
              <w:top w:val="single" w:sz="8" w:color="0000FF"/>
            </w:tcBorders>
          </w:tcPr>
          <w:p>
            <w:pPr>
              <w:spacing w:after="0"/>
              <w:rPr>
                <w:sz w:val="19"/>
                <w:szCs w:val="19"/>
                <w:color w:val="auto"/>
              </w:rPr>
            </w:pPr>
          </w:p>
        </w:tc>
        <w:tc>
          <w:tcPr>
            <w:tcW w:w="7740" w:type="dxa"/>
            <w:vAlign w:val="bottom"/>
            <w:gridSpan w:val="13"/>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Item 2. Unregistered Sale of Equity Securities and Use of Proceeds</w:t>
            </w:r>
          </w:p>
        </w:tc>
        <w:tc>
          <w:tcPr>
            <w:tcW w:w="4780" w:type="dxa"/>
            <w:vAlign w:val="bottom"/>
            <w:gridSpan w:val="3"/>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Arial" w:cs="Arial" w:eastAsia="Arial" w:hAnsi="Arial"/>
                <w:sz w:val="18"/>
                <w:szCs w:val="18"/>
                <w:color w:val="0000FF"/>
              </w:rPr>
              <w:t>Item 6. Exhibits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Signatures</w:t>
            </w:r>
          </w:p>
        </w:tc>
        <w:tc>
          <w:tcPr>
            <w:tcW w:w="8460" w:type="dxa"/>
            <w:vAlign w:val="bottom"/>
            <w:gridSpan w:val="15"/>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85"/>
        </w:trPr>
        <w:tc>
          <w:tcPr>
            <w:tcW w:w="140" w:type="dxa"/>
            <w:vAlign w:val="bottom"/>
            <w:gridSpan w:val="2"/>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6240" w:type="dxa"/>
            <w:vAlign w:val="bottom"/>
            <w:gridSpan w:val="15"/>
          </w:tcPr>
          <w:p>
            <w:pPr>
              <w:jc w:val="center"/>
              <w:ind w:left="3110"/>
              <w:spacing w:after="0"/>
              <w:rPr>
                <w:sz w:val="20"/>
                <w:szCs w:val="20"/>
                <w:color w:val="auto"/>
              </w:rPr>
            </w:pPr>
            <w:r>
              <w:rPr>
                <w:rFonts w:ascii="Arial" w:cs="Arial" w:eastAsia="Arial" w:hAnsi="Arial"/>
                <w:sz w:val="18"/>
                <w:szCs w:val="18"/>
                <w:color w:val="auto"/>
                <w:w w:val="79"/>
              </w:rPr>
              <w:t>2</w:t>
            </w:r>
          </w:p>
        </w:tc>
        <w:tc>
          <w:tcPr>
            <w:tcW w:w="2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April 30, 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July 31, 2022</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135,047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114,069</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Accounts receivable, net of allowance for credit losses of $8,417 and $7,355, respectively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184,907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183,233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190,023</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10,743</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516,783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498,068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Property, plant and equipment—net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139,511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590,684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586,832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74,028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15,881</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27,378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31,293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21,719</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1,376,766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1,367,332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74,745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81,116</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65,789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76,764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12,539</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15,003</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61,458</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255,174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50,849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95,000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19,143</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86,717</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456,034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5"/>
              </w:rPr>
              <w:t>Class A nonvoting common stock—Issued 51,261,487 shares, and outstanding 45,935,672 and 46,370,708 shares,</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345,266</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983,694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892,417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stock—5,325,815 and 4,890,779 shares, respectively, of Class A nonvoting common stock, at cost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(217,856)</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(109,077)</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995,096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911,298</w:t>
            </w:r>
          </w:p>
        </w:tc>
        <w:tc>
          <w:tcPr>
            <w:tcW w:w="0" w:type="dxa"/>
            <w:vAlign w:val="bottom"/>
          </w:tcPr>
          <w:p>
            <w:pPr>
              <w:spacing w:after="0"/>
              <w:rPr>
                <w:sz w:val="1"/>
                <w:szCs w:val="1"/>
                <w:color w:val="auto"/>
              </w:rPr>
            </w:pPr>
          </w:p>
        </w:tc>
      </w:tr>
      <w:tr>
        <w:trPr>
          <w:trHeight w:val="206"/>
        </w:trPr>
        <w:tc>
          <w:tcPr>
            <w:tcW w:w="81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1,376,766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1,367,332</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Amounts,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w w:val="97"/>
              </w:rPr>
              <w:t>Three months ended April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8"/>
              </w:rPr>
              <w:t>Nine months ended April 30,</w:t>
            </w:r>
          </w:p>
        </w:tc>
      </w:tr>
      <w:tr>
        <w:trPr>
          <w:trHeight w:val="210"/>
        </w:trPr>
        <w:tc>
          <w:tcPr>
            <w:tcW w:w="5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337,116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985,934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978,081</w:t>
            </w: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504,539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509,705</w:t>
            </w:r>
          </w:p>
        </w:tc>
      </w:tr>
      <w:tr>
        <w:trPr>
          <w:trHeight w:val="20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468,376</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42,795</w:t>
            </w:r>
          </w:p>
        </w:tc>
      </w:tr>
      <w:tr>
        <w:trPr>
          <w:trHeight w:val="216"/>
        </w:trPr>
        <w:tc>
          <w:tcPr>
            <w:tcW w:w="548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90,975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96,214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273,202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285,485</w:t>
            </w: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328,280</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63,001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52,889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163,168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140,096</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Investment and other income (expense)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(1,343)</w:t>
            </w:r>
          </w:p>
        </w:tc>
      </w:tr>
      <w:tr>
        <w:trPr>
          <w:trHeight w:val="219"/>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63,033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51,252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161,878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137,990</w:t>
            </w:r>
          </w:p>
        </w:tc>
      </w:tr>
      <w:tr>
        <w:trPr>
          <w:trHeight w:val="21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29,075</w:t>
            </w:r>
          </w:p>
        </w:tc>
      </w:tr>
      <w:tr>
        <w:trPr>
          <w:trHeight w:val="209"/>
        </w:trPr>
        <w:tc>
          <w:tcPr>
            <w:tcW w:w="5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48,052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40,054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125,479</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108,915</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0.97</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0.78</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0.96</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0.78</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2.49</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49,653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49,755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51,700</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52,055</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280"/>
        <w:spacing w:after="0" w:line="275"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w w:val="96"/>
              </w:rPr>
              <w:t>Three months ended April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8"/>
              </w:rPr>
              <w:t>Nine months ended April 30,</w:t>
            </w:r>
          </w:p>
        </w:tc>
      </w:tr>
      <w:tr>
        <w:trPr>
          <w:trHeight w:val="210"/>
        </w:trPr>
        <w:tc>
          <w:tcPr>
            <w:tcW w:w="5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125,479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108,915</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(42,754)</w:t>
            </w:r>
          </w:p>
        </w:tc>
      </w:tr>
      <w:tr>
        <w:trPr>
          <w:trHeight w:val="216"/>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500" w:type="dxa"/>
            <w:vAlign w:val="bottom"/>
          </w:tcPr>
          <w:p>
            <w:pPr>
              <w:ind w:left="680"/>
              <w:spacing w:after="0"/>
              <w:rPr>
                <w:sz w:val="20"/>
                <w:szCs w:val="20"/>
                <w:color w:val="auto"/>
              </w:rPr>
            </w:pPr>
            <w:r>
              <w:rPr>
                <w:rFonts w:ascii="Arial" w:cs="Arial" w:eastAsia="Arial" w:hAnsi="Arial"/>
                <w:sz w:val="16"/>
                <w:szCs w:val="16"/>
                <w:color w:val="auto"/>
              </w:rPr>
              <w:t>Net gain recognized in other comprehensive (loss)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16"/>
        </w:trPr>
        <w:tc>
          <w:tcPr>
            <w:tcW w:w="55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Reclassification adjustment for gains included in net income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209"/>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other post-retirement benefits: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5500" w:type="dxa"/>
            <w:vAlign w:val="bottom"/>
          </w:tcPr>
          <w:p>
            <w:pPr>
              <w:ind w:left="680"/>
              <w:spacing w:after="0"/>
              <w:rPr>
                <w:sz w:val="20"/>
                <w:szCs w:val="20"/>
                <w:color w:val="auto"/>
              </w:rPr>
            </w:pPr>
            <w:r>
              <w:rPr>
                <w:rFonts w:ascii="Arial" w:cs="Arial" w:eastAsia="Arial" w:hAnsi="Arial"/>
                <w:sz w:val="16"/>
                <w:szCs w:val="16"/>
                <w:color w:val="auto"/>
              </w:rPr>
              <w:t>Net loss recognized in other comprehensive (loss)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6"/>
        </w:trPr>
        <w:tc>
          <w:tcPr>
            <w:tcW w:w="55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actuarial gain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09"/>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19"/>
        </w:trPr>
        <w:tc>
          <w:tcPr>
            <w:tcW w:w="55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07"/>
        </w:trPr>
        <w:tc>
          <w:tcPr>
            <w:tcW w:w="5500" w:type="dxa"/>
            <w:vAlign w:val="bottom"/>
          </w:tcPr>
          <w:p>
            <w:pPr>
              <w:ind w:left="20"/>
              <w:spacing w:after="0"/>
              <w:rPr>
                <w:sz w:val="20"/>
                <w:szCs w:val="20"/>
                <w:color w:val="auto"/>
              </w:rPr>
            </w:pPr>
            <w:r>
              <w:rPr>
                <w:rFonts w:ascii="Arial" w:cs="Arial" w:eastAsia="Arial" w:hAnsi="Arial"/>
                <w:sz w:val="16"/>
                <w:szCs w:val="16"/>
                <w:color w:val="auto"/>
              </w:rPr>
              <w:t>Other comprehensive (loss) income, before tax</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(43,087)</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Income tax (expense) benefit related to items of other comprehensive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07"/>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(42,935)</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48,021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139,155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65,980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360"/>
        <w:spacing w:after="0" w:line="275" w:lineRule="auto"/>
        <w:rPr>
          <w:sz w:val="20"/>
          <w:szCs w:val="20"/>
          <w:color w:val="auto"/>
        </w:rPr>
      </w:pPr>
      <w:r>
        <w:rPr>
          <w:rFonts w:ascii="Arial" w:cs="Arial" w:eastAsia="Arial" w:hAnsi="Arial"/>
          <w:sz w:val="16"/>
          <w:szCs w:val="16"/>
          <w:b w:val="1"/>
          <w:bCs w:val="1"/>
          <w:color w:val="auto"/>
        </w:rPr>
        <w:t xml:space="preserve">CONDENSED CONSOLIDATED STATEMENTS OF STOCKHOLDERS' EQUITY </w:t>
      </w:r>
      <w:r>
        <w:rPr>
          <w:rFonts w:ascii="Arial" w:cs="Arial" w:eastAsia="Arial" w:hAnsi="Arial"/>
          <w:sz w:val="16"/>
          <w:szCs w:val="16"/>
          <w:color w:val="auto"/>
        </w:rPr>
        <w:t>(Dollars in Thousands,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7"/>
          </w:tcPr>
          <w:p>
            <w:pPr>
              <w:jc w:val="right"/>
              <w:ind w:right="939"/>
              <w:spacing w:after="0"/>
              <w:rPr>
                <w:sz w:val="20"/>
                <w:szCs w:val="20"/>
                <w:color w:val="auto"/>
              </w:rPr>
            </w:pPr>
            <w:r>
              <w:rPr>
                <w:rFonts w:ascii="Arial" w:cs="Arial" w:eastAsia="Arial" w:hAnsi="Arial"/>
                <w:sz w:val="16"/>
                <w:szCs w:val="16"/>
                <w:b w:val="1"/>
                <w:bCs w:val="1"/>
                <w:color w:val="auto"/>
                <w:w w:val="92"/>
              </w:rPr>
              <w:t>Three months ended April 30, 2023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Common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4"/>
              </w:rPr>
              <w:t>Retained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7"/>
              </w:rPr>
              <w:t>Treasury</w:t>
            </w:r>
          </w:p>
        </w:tc>
        <w:tc>
          <w:tcPr>
            <w:tcW w:w="120" w:type="dxa"/>
            <w:vAlign w:val="bottom"/>
          </w:tcPr>
          <w:p>
            <w:pPr>
              <w:spacing w:after="0"/>
              <w:rPr>
                <w:sz w:val="13"/>
                <w:szCs w:val="13"/>
                <w:color w:val="auto"/>
              </w:rPr>
            </w:pPr>
          </w:p>
        </w:tc>
        <w:tc>
          <w:tcPr>
            <w:tcW w:w="14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Accumulated Other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7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Earnings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Loss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January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947,051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(233,338)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(95,370)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967,404</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48,052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48,052</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6"/>
        </w:trPr>
        <w:tc>
          <w:tcPr>
            <w:tcW w:w="3980" w:type="dxa"/>
            <w:vAlign w:val="bottom"/>
          </w:tcPr>
          <w:p>
            <w:pPr>
              <w:ind w:left="20"/>
              <w:spacing w:after="0" w:line="166" w:lineRule="exact"/>
              <w:rPr>
                <w:sz w:val="20"/>
                <w:szCs w:val="20"/>
                <w:color w:val="auto"/>
              </w:rPr>
            </w:pPr>
            <w:r>
              <w:rPr>
                <w:rFonts w:ascii="Arial" w:cs="Arial" w:eastAsia="Arial" w:hAnsi="Arial"/>
                <w:sz w:val="16"/>
                <w:szCs w:val="16"/>
                <w:color w:val="auto"/>
              </w:rPr>
              <w:t>Issuance of shares of Class A Common Stock</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Arial" w:cs="Arial" w:eastAsia="Arial" w:hAnsi="Arial"/>
                <w:sz w:val="16"/>
                <w:szCs w:val="16"/>
                <w:color w:val="auto"/>
              </w:rPr>
              <w:t>under stock plan</w:t>
            </w: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(11,913)</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180"/>
              <w:spacing w:after="0"/>
              <w:rPr>
                <w:sz w:val="20"/>
                <w:szCs w:val="20"/>
                <w:color w:val="auto"/>
              </w:rPr>
            </w:pPr>
            <w:r>
              <w:rPr>
                <w:rFonts w:ascii="Arial" w:cs="Arial" w:eastAsia="Arial" w:hAnsi="Arial"/>
                <w:sz w:val="16"/>
                <w:szCs w:val="16"/>
                <w:color w:val="auto"/>
              </w:rPr>
              <w:t>Class A — $0.2300 per share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(10,595)</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$0.2300 per share</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Arial" w:cs="Arial" w:eastAsia="Arial" w:hAnsi="Arial"/>
                <w:sz w:val="16"/>
                <w:szCs w:val="16"/>
                <w:color w:val="auto"/>
              </w:rPr>
              <w:t>Balances at April 30, 2023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350,758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983,694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(244,503)</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(95,401)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995,096</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7"/>
          </w:tcPr>
          <w:p>
            <w:pPr>
              <w:jc w:val="right"/>
              <w:ind w:right="1059"/>
              <w:spacing w:after="0"/>
              <w:rPr>
                <w:sz w:val="20"/>
                <w:szCs w:val="20"/>
                <w:color w:val="auto"/>
              </w:rPr>
            </w:pPr>
            <w:r>
              <w:rPr>
                <w:rFonts w:ascii="Arial" w:cs="Arial" w:eastAsia="Arial" w:hAnsi="Arial"/>
                <w:sz w:val="16"/>
                <w:szCs w:val="16"/>
                <w:b w:val="1"/>
                <w:bCs w:val="1"/>
                <w:color w:val="auto"/>
                <w:w w:val="95"/>
              </w:rPr>
              <w:t>Nine months ended April 30, 2023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5"/>
              </w:rPr>
              <w:t>Common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Retained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Treasury</w:t>
            </w:r>
          </w:p>
        </w:tc>
        <w:tc>
          <w:tcPr>
            <w:tcW w:w="120" w:type="dxa"/>
            <w:vAlign w:val="bottom"/>
          </w:tcPr>
          <w:p>
            <w:pPr>
              <w:spacing w:after="0"/>
              <w:rPr>
                <w:sz w:val="13"/>
                <w:szCs w:val="13"/>
                <w:color w:val="auto"/>
              </w:rPr>
            </w:pPr>
          </w:p>
        </w:tc>
        <w:tc>
          <w:tcPr>
            <w:tcW w:w="14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Accumulated Other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Earnings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July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892,417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911,298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125,479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125,479</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13,676</w:t>
            </w:r>
          </w:p>
        </w:tc>
        <w:tc>
          <w:tcPr>
            <w:tcW w:w="0" w:type="dxa"/>
            <w:vAlign w:val="bottom"/>
          </w:tcPr>
          <w:p>
            <w:pPr>
              <w:spacing w:after="0"/>
              <w:rPr>
                <w:sz w:val="1"/>
                <w:szCs w:val="1"/>
                <w:color w:val="auto"/>
              </w:rPr>
            </w:pPr>
          </w:p>
        </w:tc>
      </w:tr>
      <w:tr>
        <w:trPr>
          <w:trHeight w:val="166"/>
        </w:trPr>
        <w:tc>
          <w:tcPr>
            <w:tcW w:w="372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6,427</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(29,774)</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 $0.6900 per share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(31,819)</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B — $0.6734 per share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April 30, 2023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350,758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983,694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995,096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April 30, 2022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Common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4"/>
              </w:rPr>
              <w:t>Retained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7"/>
              </w:rPr>
              <w:t>Treasury</w:t>
            </w:r>
          </w:p>
        </w:tc>
        <w:tc>
          <w:tcPr>
            <w:tcW w:w="120" w:type="dxa"/>
            <w:vAlign w:val="bottom"/>
          </w:tcPr>
          <w:p>
            <w:pPr>
              <w:spacing w:after="0"/>
              <w:rPr>
                <w:sz w:val="13"/>
                <w:szCs w:val="13"/>
                <w:color w:val="auto"/>
              </w:rPr>
            </w:pPr>
          </w:p>
        </w:tc>
        <w:tc>
          <w:tcPr>
            <w:tcW w:w="14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Accumulated Other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Earnings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Loss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January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833,981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(130,911)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3"/>
              </w:rPr>
              <w:t>(78,939)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966,568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40,054</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3"/>
              </w:rPr>
              <w:t>(19,949)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(19,949)</w:t>
            </w:r>
          </w:p>
        </w:tc>
        <w:tc>
          <w:tcPr>
            <w:tcW w:w="0" w:type="dxa"/>
            <w:vAlign w:val="bottom"/>
          </w:tcPr>
          <w:p>
            <w:pPr>
              <w:spacing w:after="0"/>
              <w:rPr>
                <w:sz w:val="1"/>
                <w:szCs w:val="1"/>
                <w:color w:val="auto"/>
              </w:rPr>
            </w:pPr>
          </w:p>
        </w:tc>
      </w:tr>
      <w:tr>
        <w:trPr>
          <w:trHeight w:val="166"/>
        </w:trPr>
        <w:tc>
          <w:tcPr>
            <w:tcW w:w="3980" w:type="dxa"/>
            <w:vAlign w:val="bottom"/>
          </w:tcPr>
          <w:p>
            <w:pPr>
              <w:ind w:left="20"/>
              <w:spacing w:after="0" w:line="166" w:lineRule="exact"/>
              <w:rPr>
                <w:sz w:val="20"/>
                <w:szCs w:val="20"/>
                <w:color w:val="auto"/>
              </w:rPr>
            </w:pPr>
            <w:r>
              <w:rPr>
                <w:rFonts w:ascii="Arial" w:cs="Arial" w:eastAsia="Arial" w:hAnsi="Arial"/>
                <w:sz w:val="16"/>
                <w:szCs w:val="16"/>
                <w:color w:val="auto"/>
              </w:rPr>
              <w:t>Issuance of shares of Class A Common Stock</w:t>
            </w:r>
          </w:p>
        </w:tc>
        <w:tc>
          <w:tcPr>
            <w:tcW w:w="140" w:type="dxa"/>
            <w:vAlign w:val="bottom"/>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66" w:lineRule="exact"/>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262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ind w:left="1040"/>
              <w:spacing w:after="0" w:line="166"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6" w:lineRule="exact"/>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Arial" w:cs="Arial" w:eastAsia="Arial" w:hAnsi="Arial"/>
                <w:sz w:val="16"/>
                <w:szCs w:val="16"/>
                <w:color w:val="auto"/>
              </w:rPr>
              <w:t>under stock plan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(63,210)</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180"/>
              <w:spacing w:after="0"/>
              <w:rPr>
                <w:sz w:val="20"/>
                <w:szCs w:val="20"/>
                <w:color w:val="auto"/>
              </w:rPr>
            </w:pPr>
            <w:r>
              <w:rPr>
                <w:rFonts w:ascii="Arial" w:cs="Arial" w:eastAsia="Arial" w:hAnsi="Arial"/>
                <w:sz w:val="16"/>
                <w:szCs w:val="16"/>
                <w:color w:val="auto"/>
              </w:rPr>
              <w:t>Class A — $0.2250 per share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(10,655)</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$0.2250 per share</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Arial" w:cs="Arial" w:eastAsia="Arial" w:hAnsi="Arial"/>
                <w:sz w:val="16"/>
                <w:szCs w:val="16"/>
                <w:color w:val="auto"/>
              </w:rPr>
              <w:t>Balances at April 30, 2022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343,854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862,583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(193,859)</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60" w:type="dxa"/>
            <w:vAlign w:val="bottom"/>
          </w:tcPr>
          <w:p>
            <w:pPr>
              <w:ind w:left="680"/>
              <w:spacing w:after="0"/>
              <w:rPr>
                <w:sz w:val="20"/>
                <w:szCs w:val="20"/>
                <w:color w:val="auto"/>
              </w:rPr>
            </w:pPr>
            <w:r>
              <w:rPr>
                <w:rFonts w:ascii="Arial" w:cs="Arial" w:eastAsia="Arial" w:hAnsi="Arial"/>
                <w:sz w:val="16"/>
                <w:szCs w:val="16"/>
                <w:color w:val="auto"/>
                <w:w w:val="93"/>
              </w:rPr>
              <w:t>(98,888)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914,238</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7"/>
          </w:tcPr>
          <w:p>
            <w:pPr>
              <w:ind w:left="100"/>
              <w:spacing w:after="0"/>
              <w:rPr>
                <w:sz w:val="20"/>
                <w:szCs w:val="20"/>
                <w:color w:val="auto"/>
              </w:rPr>
            </w:pPr>
            <w:r>
              <w:rPr>
                <w:rFonts w:ascii="Arial" w:cs="Arial" w:eastAsia="Arial" w:hAnsi="Arial"/>
                <w:sz w:val="16"/>
                <w:szCs w:val="16"/>
                <w:b w:val="1"/>
                <w:bCs w:val="1"/>
                <w:color w:val="auto"/>
              </w:rPr>
              <w:t>Nine months ended April 30, 2022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5"/>
              </w:rPr>
              <w:t>Common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Retained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7"/>
              </w:rPr>
              <w:t>Treasury</w:t>
            </w:r>
          </w:p>
        </w:tc>
        <w:tc>
          <w:tcPr>
            <w:tcW w:w="120" w:type="dxa"/>
            <w:vAlign w:val="bottom"/>
          </w:tcPr>
          <w:p>
            <w:pPr>
              <w:spacing w:after="0"/>
              <w:rPr>
                <w:sz w:val="13"/>
                <w:szCs w:val="13"/>
                <w:color w:val="auto"/>
              </w:rPr>
            </w:pPr>
          </w:p>
        </w:tc>
        <w:tc>
          <w:tcPr>
            <w:tcW w:w="14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Accumulated Other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Earnings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July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788,369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(55,953)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963,028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108,915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108,915</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(42,935)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(42,935)</w:t>
            </w:r>
          </w:p>
        </w:tc>
        <w:tc>
          <w:tcPr>
            <w:tcW w:w="0" w:type="dxa"/>
            <w:vAlign w:val="bottom"/>
          </w:tcPr>
          <w:p>
            <w:pPr>
              <w:spacing w:after="0"/>
              <w:rPr>
                <w:sz w:val="1"/>
                <w:szCs w:val="1"/>
                <w:color w:val="auto"/>
              </w:rPr>
            </w:pPr>
          </w:p>
        </w:tc>
      </w:tr>
      <w:tr>
        <w:trPr>
          <w:trHeight w:val="166"/>
        </w:trPr>
        <w:tc>
          <w:tcPr>
            <w:tcW w:w="372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(4,539)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(4,407)</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9,153</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(84,930)</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 $0.6750 per share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(32,370)</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B — $0.6584 per share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April 30, 2022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862,583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(98,888)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914,238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210"/>
        </w:trPr>
        <w:tc>
          <w:tcPr>
            <w:tcW w:w="8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125,479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108,915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25,448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Gain on sale of business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(26,438)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(47,784)</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65,236</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(22,130)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 of business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Payment of dividends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(34,701)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Payments for employee taxes withheld from stock-based awards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(5,070)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Purchase of treasury stock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(84,930)</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Proceeds from borrowing on credit agreement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102,916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155,216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Repayment of borrowing on credit agreement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(116,216)</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(81,762)</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(44,267)</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114,069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147,335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135,047</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103,068</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8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2023 and July 31, 2022, its results of operations and comprehensive income for the three and nine months ended April 30, 2023 and 2022, and cash flows for the nine months ended April 30, 2023 and 2022. The condensed consolidated balance sheet as of July 31, 2022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2022.</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Standards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requires contract assets and contract liabilities (e.g. deferred revenue) acquired in a business combination to be recognized and measured by the acquirer on the acquisition date in accordance with ASC 606, “Revenue from Contracts with Customers” as if the acquirer had originated the contracts. The guidance is applied prospectively to acquisitions occurring on or after the effective date. The Company early adopted ASU No. 2021-08 during the quarter ended October 31, 2022. The adoption of the new standard will only have an impact on the Company's condensed consolidated financial statements in the event of future acquisitions.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NOTE C — Additional Balance Sheet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April 30, 2023 and July 31, 2022,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April 30, 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July 31, 2022</w:t>
            </w:r>
          </w:p>
        </w:tc>
      </w:tr>
      <w:tr>
        <w:trPr>
          <w:trHeight w:val="212"/>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103,623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112,323</w:t>
            </w: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28,802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29,272</w:t>
            </w: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50,384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48,428</w:t>
            </w:r>
          </w:p>
        </w:tc>
      </w:tr>
      <w:tr>
        <w:trPr>
          <w:trHeight w:val="210"/>
        </w:trPr>
        <w:tc>
          <w:tcPr>
            <w:tcW w:w="7960" w:type="dxa"/>
            <w:vAlign w:val="bottom"/>
          </w:tcPr>
          <w:p>
            <w:pPr>
              <w:ind w:left="220"/>
              <w:spacing w:after="0"/>
              <w:rPr>
                <w:sz w:val="20"/>
                <w:szCs w:val="20"/>
                <w:color w:val="auto"/>
              </w:rPr>
            </w:pPr>
            <w:r>
              <w:rPr>
                <w:rFonts w:ascii="Arial" w:cs="Arial" w:eastAsia="Arial" w:hAnsi="Arial"/>
                <w:sz w:val="16"/>
                <w:szCs w:val="16"/>
                <w:color w:val="auto"/>
              </w:rPr>
              <w:t>Total inventories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182,809</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190,023</w:t>
            </w:r>
          </w:p>
        </w:tc>
      </w:tr>
      <w:tr>
        <w:trPr>
          <w:trHeight w:val="23"/>
        </w:trPr>
        <w:tc>
          <w:tcPr>
            <w:tcW w:w="79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$287,368 and $272,376 as of April 30, 2023 and July 31, 2022,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D — Goodwill and Other Intangible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the nine months ended April 30, 2023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IDS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WPS</w:t>
            </w:r>
          </w:p>
        </w:tc>
        <w:tc>
          <w:tcPr>
            <w:tcW w:w="120" w:type="dxa"/>
            <w:vAlign w:val="bottom"/>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8"/>
              </w:rPr>
              <w:t>Americas &amp; Asia</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Europe &amp;</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Australia</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ind w:left="20"/>
              <w:spacing w:after="0"/>
              <w:rPr>
                <w:sz w:val="20"/>
                <w:szCs w:val="20"/>
                <w:color w:val="auto"/>
              </w:rPr>
            </w:pPr>
            <w:r>
              <w:rPr>
                <w:rFonts w:ascii="Arial" w:cs="Arial" w:eastAsia="Arial" w:hAnsi="Arial"/>
                <w:sz w:val="16"/>
                <w:szCs w:val="16"/>
                <w:color w:val="auto"/>
              </w:rPr>
              <w:t>Balance as of July 31, 2022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556,151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30,681</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586,832</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Translation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Arial" w:cs="Arial" w:eastAsia="Arial" w:hAnsi="Arial"/>
                <w:sz w:val="16"/>
                <w:szCs w:val="16"/>
                <w:color w:val="auto"/>
              </w:rPr>
              <w:t>Balance as of January 31, 2023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559,470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31,306</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590,776</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Reallocation due to change in segments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442,290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60" w:type="dxa"/>
            <w:vAlign w:val="bottom"/>
          </w:tcPr>
          <w:p>
            <w:pPr>
              <w:ind w:left="360"/>
              <w:spacing w:after="0"/>
              <w:rPr>
                <w:sz w:val="20"/>
                <w:szCs w:val="20"/>
                <w:color w:val="auto"/>
              </w:rPr>
            </w:pPr>
            <w:r>
              <w:rPr>
                <w:rFonts w:ascii="Arial" w:cs="Arial" w:eastAsia="Arial" w:hAnsi="Arial"/>
                <w:sz w:val="16"/>
                <w:szCs w:val="16"/>
                <w:color w:val="auto"/>
              </w:rPr>
              <w:t>Divestiture of business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Translation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Arial" w:cs="Arial" w:eastAsia="Arial" w:hAnsi="Arial"/>
                <w:sz w:val="16"/>
                <w:szCs w:val="16"/>
                <w:color w:val="auto"/>
              </w:rPr>
              <w:t>Balance as of April 30, 2023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440,718</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149,966</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590,684</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February 1, 2023, the Company is organized and managed within two regions: Americas &amp; Asia and Europe &amp; Australia, which are the reportable segments. Prior to February 1, 2023, the Company was organized and managed on a global basis within two business platforms: Identification Solutions ("IDS") and Workplace Safety ("WPS"). As a result, goodwill was allocated to the new reportable segments in accordance with ASC 350, "Intangibles - Goodwill and Other." Refer to Note H, "Segment Information," and Management's Discussion and Analysis for additional information regarding the Company's segment change.</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nine-month period ended April 30, 2023, goodwill increased $3,852 primarily due to the positive effects of foreign currency translation, which was partially offset by a reduction due to the sale of our PremiSys business within the Americas &amp; Asia segment during the three months ended April 30, 2023.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as of April 30, 2023 and July 31, 2022,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July 31, 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20" w:type="dxa"/>
            <w:vAlign w:val="bottom"/>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7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Period (Years)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Period (Years)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Amortized other intangible assets:</w:t>
            </w: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2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100" w:type="dxa"/>
            <w:vAlign w:val="bottom"/>
          </w:tcPr>
          <w:p>
            <w:pPr>
              <w:jc w:val="center"/>
              <w:spacing w:after="0"/>
              <w:rPr>
                <w:sz w:val="20"/>
                <w:szCs w:val="20"/>
                <w:color w:val="auto"/>
              </w:rPr>
            </w:pPr>
            <w:r>
              <w:rPr>
                <w:rFonts w:ascii="Arial" w:cs="Arial" w:eastAsia="Arial" w:hAnsi="Arial"/>
                <w:sz w:val="14"/>
                <w:szCs w:val="14"/>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1,762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(1,525)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237</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76"/>
              </w:rPr>
              <w:t>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1,749</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(1,014)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Customer relationships</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50,053</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76"/>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105,404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56,976</w:t>
            </w:r>
          </w:p>
        </w:tc>
        <w:tc>
          <w:tcPr>
            <w:tcW w:w="0" w:type="dxa"/>
            <w:vAlign w:val="bottom"/>
          </w:tcPr>
          <w:p>
            <w:pPr>
              <w:spacing w:after="0"/>
              <w:rPr>
                <w:sz w:val="1"/>
                <w:szCs w:val="1"/>
                <w:color w:val="auto"/>
              </w:rPr>
            </w:pPr>
          </w:p>
        </w:tc>
      </w:tr>
      <w:tr>
        <w:trPr>
          <w:trHeight w:val="182"/>
        </w:trPr>
        <w:tc>
          <w:tcPr>
            <w:tcW w:w="2920" w:type="dxa"/>
            <w:vAlign w:val="bottom"/>
          </w:tcPr>
          <w:p>
            <w:pPr>
              <w:ind w:left="180"/>
              <w:spacing w:after="0"/>
              <w:rPr>
                <w:sz w:val="20"/>
                <w:szCs w:val="20"/>
                <w:color w:val="auto"/>
              </w:rPr>
            </w:pPr>
            <w:r>
              <w:rPr>
                <w:rFonts w:ascii="Arial" w:cs="Arial" w:eastAsia="Arial" w:hAnsi="Arial"/>
                <w:sz w:val="14"/>
                <w:szCs w:val="14"/>
                <w:color w:val="auto"/>
              </w:rPr>
              <w:t>Technology</w:t>
            </w:r>
          </w:p>
        </w:tc>
        <w:tc>
          <w:tcPr>
            <w:tcW w:w="110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5,523</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9,136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6,895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Unamortized other intangible assets:</w:t>
            </w: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100" w:type="dxa"/>
            <w:vAlign w:val="bottom"/>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9,397</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9,397</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9,422</w:t>
            </w:r>
          </w:p>
        </w:tc>
        <w:tc>
          <w:tcPr>
            <w:tcW w:w="0" w:type="dxa"/>
            <w:vAlign w:val="bottom"/>
          </w:tcPr>
          <w:p>
            <w:pPr>
              <w:spacing w:after="0"/>
              <w:rPr>
                <w:sz w:val="1"/>
                <w:szCs w:val="1"/>
                <w:color w:val="auto"/>
              </w:rPr>
            </w:pPr>
          </w:p>
        </w:tc>
      </w:tr>
      <w:tr>
        <w:trPr>
          <w:trHeight w:val="22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84,449</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(19,239)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65,210</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125,711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74,028</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decrease in the gross carrying amount and accumulated amortization of other intangible assets as of April 30, 2023 compared to July 31, 2022 was primarily due to the removal of a fully amortized customer relationship intangible asset as the period of economic benefit related to this asset has lapsed.</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of intangible assets was $2,461 and $3,735 for the three months ended April 30, 2023 and 2022, respectively, and $9,350 and $11,291 for the nine months ended April 30, 2023 and 2022,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E — Leases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leases certain manufacturing facilities, warehouse and office spaces, and vehicles accounted for as operating leases. Lease terms typically range from one year to ten years. As of April 30, 2023, the Company did not have any finance leases.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lease expense was $3,997 and $4,346 for the three months ended April 30, 2023 and 2022, respectively, and $11,645 and $13,198 for the nine months ended April 30, 2023 and 2022, respectively, which was recognized in either "Cost of goods sold" or "Selling, general and administrative" expenses in the condensed consolidated statements of income, based on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nature of the lease. Short-term lease expense, variable lease expenses, and sublease income was immaterial to the condensed consolidated statements of income for the three and nine months ended April 30, 2023 and 2022.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Supplemental cash flow information related to the Company's operating leases for the nine months ended April 30, 2023 and 2022,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62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w w:val="92"/>
              </w:rPr>
              <w:t>Nine months ended April 30,</w:t>
            </w:r>
          </w:p>
        </w:tc>
        <w:tc>
          <w:tcPr>
            <w:tcW w:w="56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outflows from operating leases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13,196</w:t>
            </w:r>
          </w:p>
        </w:tc>
        <w:tc>
          <w:tcPr>
            <w:tcW w:w="108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14,582</w:t>
            </w:r>
          </w:p>
        </w:tc>
      </w:tr>
      <w:tr>
        <w:trPr>
          <w:trHeight w:val="279"/>
        </w:trPr>
        <w:tc>
          <w:tcPr>
            <w:tcW w:w="8060" w:type="dxa"/>
            <w:vAlign w:val="bottom"/>
          </w:tcPr>
          <w:p>
            <w:pPr>
              <w:ind w:left="20"/>
              <w:spacing w:after="0"/>
              <w:rPr>
                <w:sz w:val="20"/>
                <w:szCs w:val="20"/>
                <w:color w:val="auto"/>
              </w:rPr>
            </w:pPr>
            <w:r>
              <w:rPr>
                <w:rFonts w:ascii="Arial" w:cs="Arial" w:eastAsia="Arial" w:hAnsi="Arial"/>
                <w:sz w:val="16"/>
                <w:szCs w:val="16"/>
                <w:color w:val="auto"/>
              </w:rPr>
              <w:t xml:space="preserve">Operating lease assets obtained in exchange for new operating lease liabilities </w:t>
            </w:r>
            <w:r>
              <w:rPr>
                <w:rFonts w:ascii="Arial" w:cs="Arial" w:eastAsia="Arial" w:hAnsi="Arial"/>
                <w:sz w:val="21"/>
                <w:szCs w:val="21"/>
                <w:color w:val="auto"/>
                <w:vertAlign w:val="superscript"/>
              </w:rPr>
              <w:t>(1)</w:t>
            </w: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6,545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2,553</w:t>
            </w:r>
          </w:p>
        </w:tc>
      </w:tr>
    </w:tbl>
    <w:p>
      <w:pPr>
        <w:spacing w:after="0" w:line="17" w:lineRule="exact"/>
        <w:rPr>
          <w:sz w:val="20"/>
          <w:szCs w:val="20"/>
          <w:color w:val="auto"/>
        </w:rPr>
      </w:pPr>
    </w:p>
    <w:p>
      <w:pPr>
        <w:ind w:left="480" w:hanging="148"/>
        <w:spacing w:after="0"/>
        <w:tabs>
          <w:tab w:leader="none" w:pos="4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new leases and remeasurements or modifications of existing leases</w:t>
      </w:r>
      <w:r>
        <w:rPr>
          <w:rFonts w:ascii="Arial" w:cs="Arial" w:eastAsia="Arial" w:hAnsi="Arial"/>
          <w:sz w:val="15"/>
          <w:szCs w:val="15"/>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F — Accumulated Other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unrealized gains and losses from cash flow hedges, and the unamortized gain on post-retirement plans, net of their related tax effects.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nine months ended April 30,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Unrealized gain on</w:t>
            </w:r>
          </w:p>
        </w:tc>
        <w:tc>
          <w:tcPr>
            <w:tcW w:w="12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Unamortized gain</w:t>
            </w:r>
          </w:p>
        </w:tc>
        <w:tc>
          <w:tcPr>
            <w:tcW w:w="1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Foreign currency</w:t>
            </w:r>
          </w:p>
        </w:tc>
        <w:tc>
          <w:tcPr>
            <w:tcW w:w="12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on post-retirement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5"/>
              </w:rPr>
              <w:t>cash flow hedges</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86"/>
              </w:rPr>
              <w:t>plans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adjustments</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2"/>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July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(111,467)</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(109,077)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before reclassification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12,985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14,951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13"/>
        </w:trPr>
        <w:tc>
          <w:tcPr>
            <w:tcW w:w="5340" w:type="dxa"/>
            <w:vAlign w:val="bottom"/>
          </w:tcPr>
          <w:p>
            <w:pPr>
              <w:ind w:left="20"/>
              <w:spacing w:after="0"/>
              <w:rPr>
                <w:sz w:val="20"/>
                <w:szCs w:val="20"/>
                <w:color w:val="auto"/>
              </w:rPr>
            </w:pPr>
            <w:r>
              <w:rPr>
                <w:rFonts w:ascii="Arial" w:cs="Arial" w:eastAsia="Arial" w:hAnsi="Arial"/>
                <w:sz w:val="16"/>
                <w:szCs w:val="16"/>
                <w:color w:val="auto"/>
              </w:rPr>
              <w:t>Ending balance, April 30, 2023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1,974</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1,107</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(98,482)</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(95,401)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decrease in accumulated other comprehensive loss as of April 30, 2023 compared to July 31, 2022 was primarily due to the depreciation of the U.S. dollar against certain other currencies during the nine-month period. The foreign currency translation adjustments column in the table above includes the impact of foreign currency translation, foreign currency translation on intercompany notes, and the settlements of net investment hedges, net of tax.</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accumulated other comprehensive loss by component, net of tax, for the nine months ended April 30, 2022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Unrealized gain on</w:t>
            </w:r>
          </w:p>
        </w:tc>
        <w:tc>
          <w:tcPr>
            <w:tcW w:w="12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Unamortized gain</w:t>
            </w:r>
          </w:p>
        </w:tc>
        <w:tc>
          <w:tcPr>
            <w:tcW w:w="14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Foreign currency</w:t>
            </w:r>
          </w:p>
        </w:tc>
        <w:tc>
          <w:tcPr>
            <w:tcW w:w="120" w:type="dxa"/>
            <w:vAlign w:val="bottom"/>
          </w:tcPr>
          <w:p>
            <w:pPr>
              <w:spacing w:after="0"/>
              <w:rPr>
                <w:sz w:val="16"/>
                <w:szCs w:val="16"/>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3"/>
              </w:rPr>
              <w:t>on post-retirement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cash flow hedges</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plans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adjustments</w:t>
            </w:r>
          </w:p>
        </w:tc>
        <w:tc>
          <w:tcPr>
            <w:tcW w:w="12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July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89"/>
              </w:rPr>
              <w:t>729</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(58,570)</w:t>
            </w:r>
          </w:p>
        </w:tc>
        <w:tc>
          <w:tcPr>
            <w:tcW w:w="58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(55,953)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left="799"/>
              <w:spacing w:after="0"/>
              <w:rPr>
                <w:sz w:val="20"/>
                <w:szCs w:val="20"/>
                <w:color w:val="auto"/>
              </w:rPr>
            </w:pPr>
            <w:r>
              <w:rPr>
                <w:rFonts w:ascii="Arial" w:cs="Arial" w:eastAsia="Arial" w:hAnsi="Arial"/>
                <w:sz w:val="16"/>
                <w:szCs w:val="16"/>
                <w:color w:val="auto"/>
                <w:w w:val="89"/>
              </w:rPr>
              <w:t>307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(42,408)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(42,160)</w:t>
            </w:r>
          </w:p>
        </w:tc>
        <w:tc>
          <w:tcPr>
            <w:tcW w:w="0" w:type="dxa"/>
            <w:vAlign w:val="bottom"/>
          </w:tcPr>
          <w:p>
            <w:pPr>
              <w:spacing w:after="0"/>
              <w:rPr>
                <w:sz w:val="1"/>
                <w:szCs w:val="1"/>
                <w:color w:val="auto"/>
              </w:rPr>
            </w:pPr>
          </w:p>
        </w:tc>
      </w:tr>
      <w:tr>
        <w:trPr>
          <w:trHeight w:val="21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color w:val="auto"/>
                <w:w w:val="90"/>
              </w:rPr>
              <w:t>(486)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Ending balance, April 30,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center"/>
              <w:ind w:left="799"/>
              <w:spacing w:after="0"/>
              <w:rPr>
                <w:sz w:val="20"/>
                <w:szCs w:val="20"/>
                <w:color w:val="auto"/>
              </w:rPr>
            </w:pPr>
            <w:r>
              <w:rPr>
                <w:rFonts w:ascii="Arial" w:cs="Arial" w:eastAsia="Arial" w:hAnsi="Arial"/>
                <w:sz w:val="16"/>
                <w:szCs w:val="16"/>
                <w:color w:val="auto"/>
                <w:w w:val="89"/>
              </w:rPr>
              <w:t>550</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1,540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(100,978)</w:t>
            </w:r>
          </w:p>
        </w:tc>
        <w:tc>
          <w:tcPr>
            <w:tcW w:w="5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(98,888)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accumulated other comprehensive loss as of April 30, 2022 compared to July 31, 2021, was primarily due to the appreciation of the U.S. dollar against certain other currencies during the nine-month period.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amounts reclassified from accumulated other comprehensive loss during the nine months ended April 30, 2023 and 2022, unrealized gains on cash flow hedges were reclassified to "Cost of goods sold" and unamortized gains on post-retirement plans were reclassified into "Investment and other income" on the condensed consolidated statements of income.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income tax (expense) benefit on the components of other comprehensive (loss) income for the three and nine months ended April 30, 2023 and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Three months ended April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Income tax (expense) benefit related to items of other comprehensive (loss)</w:t>
            </w: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180"/>
              <w:spacing w:after="0"/>
              <w:rPr>
                <w:sz w:val="20"/>
                <w:szCs w:val="20"/>
                <w:color w:val="auto"/>
              </w:rPr>
            </w:pPr>
            <w:r>
              <w:rPr>
                <w:rFonts w:ascii="Arial" w:cs="Arial" w:eastAsia="Arial" w:hAnsi="Arial"/>
                <w:sz w:val="16"/>
                <w:szCs w:val="16"/>
                <w:color w:val="auto"/>
              </w:rPr>
              <w:t>(8)</w:t>
            </w:r>
          </w:p>
        </w:tc>
        <w:tc>
          <w:tcPr>
            <w:tcW w:w="112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(15)</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Pension and other post-retirement benefits</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tax adjustments and currency translation</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6"/>
              </w:rPr>
              <w:t>Income tax (expense) benefit related to items of other comprehensive (loss)</w:t>
            </w:r>
          </w:p>
        </w:tc>
        <w:tc>
          <w:tcPr>
            <w:tcW w:w="1040" w:type="dxa"/>
            <w:vAlign w:val="bottom"/>
            <w:vMerge w:val="restart"/>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0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(8)</w:t>
            </w:r>
          </w:p>
        </w:tc>
        <w:tc>
          <w:tcPr>
            <w:tcW w:w="1120" w:type="dxa"/>
            <w:vAlign w:val="bottom"/>
            <w:gridSpan w:val="2"/>
            <w:vMerge w:val="restart"/>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(105)</w:t>
            </w:r>
          </w:p>
        </w:tc>
        <w:tc>
          <w:tcPr>
            <w:tcW w:w="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04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NOTE G — Revenue Recognition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H, “Segment Information,” for the Company’s disaggregated revenue disclosure.</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$2,737 and $2,675 as of April 30, 2023 and July 31, 2022, respectively. The current portion and non-current portion of contract liabilities are included in “Other current liabilities” and “Other liabilities," respectively, on the condensed consolidated balance sheets. The Company recognized revenue of $311 and $297 during the three months ended April 30, 2023 and 2022, respectively, and $928 and $882 during the nine months ended April 30, 2023 and 2022, respectively, that was included in the contract liability balance at the beginning of the respective period from the amortization of extended service warranties. Of the contract liability balance outstanding at April 30, 2023, the Company expects to recognize 12% by the end of fiscal 2023, an additional 37% by the end of fiscal 2024, and the remaining balance thereafter.</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NOTE H — Segment Information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February 1, 2023, the Company is organized and managed within two regions: Americas &amp; Asia and Europe &amp; Australia, which are the reportable segments. Prior to February 1, 2023, the Company was organized and managed on a global basis within three operating segments: Identification Solutions and People Identification ("PDC"), which aggregated into the IDS reportable segment, and Workplace Safety ("WPS"), which was the WPS reportable segment. As such, all segment-related data has been recast to the new reportable segments.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net sales by segment and geographic region for the three and nine months ended April 30, 2023 and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w w:val="97"/>
              </w:rPr>
              <w:t>Three months ended April 30,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Americas &amp; Asia</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198,074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196,266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584,505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560,184</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Asia</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83,108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222,813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222,579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661,375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643,292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Europe &amp; Australia</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Europe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100,480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102,809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284,432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296,426</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Australia</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114,303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115,972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324,559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334,789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Company</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337,116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338,551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985,934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978,081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profit for the three and nine months ended April 30,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April 30,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profit: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color w:val="auto"/>
              </w:rPr>
              <w:t>Americas &amp; Asia</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49,192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45,021</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130,511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114,659</w:t>
            </w:r>
          </w:p>
        </w:tc>
      </w:tr>
      <w:tr>
        <w:trPr>
          <w:trHeight w:val="216"/>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Europe &amp; Australia</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17,099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46,165</w:t>
            </w:r>
          </w:p>
        </w:tc>
      </w:tr>
      <w:tr>
        <w:trPr>
          <w:trHeight w:val="209"/>
        </w:trPr>
        <w:tc>
          <w:tcPr>
            <w:tcW w:w="520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66,291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61,071</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177,827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160,824</w:t>
            </w:r>
          </w:p>
        </w:tc>
      </w:tr>
      <w:tr>
        <w:trPr>
          <w:trHeight w:val="23"/>
        </w:trPr>
        <w:tc>
          <w:tcPr>
            <w:tcW w:w="520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segment profit to income before income taxes for the three and nine months ended April 30, 2023 and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April 30,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profit from reportable segments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66,291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61,071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177,827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160,824</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Unallocated amounts: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Administrative costs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(7,060)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(20,728)</w:t>
            </w: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color w:val="auto"/>
              </w:rPr>
              <w:t>Gain on sale of business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r>
      <w:tr>
        <w:trPr>
          <w:trHeight w:val="21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expense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63,033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161,878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137,990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sales by business platform for the three and nine months ended April 30,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w w:val="97"/>
              </w:rPr>
              <w:t>Three months ended April 30,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262,984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264,124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775,023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757,727</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WPS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74,132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74,427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210,911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220,354</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Company</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337,116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338,551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985,934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978,081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I — Net Income per Common Share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April 30,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200" w:type="dxa"/>
            <w:vAlign w:val="bottom"/>
          </w:tcPr>
          <w:p>
            <w:pPr>
              <w:ind w:left="360"/>
              <w:spacing w:after="0" w:line="166" w:lineRule="exact"/>
              <w:rPr>
                <w:sz w:val="20"/>
                <w:szCs w:val="20"/>
                <w:color w:val="auto"/>
              </w:rPr>
            </w:pPr>
            <w:r>
              <w:rPr>
                <w:rFonts w:ascii="Arial" w:cs="Arial" w:eastAsia="Arial" w:hAnsi="Arial"/>
                <w:sz w:val="16"/>
                <w:szCs w:val="16"/>
                <w:color w:val="auto"/>
              </w:rPr>
              <w:t>Net income (Numerator for basic and diluted income per Class A</w:t>
            </w:r>
          </w:p>
        </w:tc>
        <w:tc>
          <w:tcPr>
            <w:tcW w:w="900" w:type="dxa"/>
            <w:vAlign w:val="bottom"/>
            <w:vMerge w:val="restart"/>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w w:val="89"/>
              </w:rPr>
              <w:t>48,052</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40,054</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125,479</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108,915</w:t>
            </w:r>
          </w:p>
        </w:tc>
        <w:tc>
          <w:tcPr>
            <w:tcW w:w="0" w:type="dxa"/>
            <w:vAlign w:val="bottom"/>
          </w:tcPr>
          <w:p>
            <w:pPr>
              <w:spacing w:after="0"/>
              <w:rPr>
                <w:sz w:val="1"/>
                <w:szCs w:val="1"/>
                <w:color w:val="auto"/>
              </w:rPr>
            </w:pPr>
          </w:p>
        </w:tc>
      </w:tr>
      <w:tr>
        <w:trPr>
          <w:trHeight w:val="209"/>
        </w:trPr>
        <w:tc>
          <w:tcPr>
            <w:tcW w:w="5200" w:type="dxa"/>
            <w:vAlign w:val="bottom"/>
          </w:tcPr>
          <w:p>
            <w:pPr>
              <w:ind w:left="360"/>
              <w:spacing w:after="0"/>
              <w:rPr>
                <w:sz w:val="20"/>
                <w:szCs w:val="20"/>
                <w:color w:val="auto"/>
              </w:rPr>
            </w:pPr>
            <w:r>
              <w:rPr>
                <w:rFonts w:ascii="Arial" w:cs="Arial" w:eastAsia="Arial" w:hAnsi="Arial"/>
                <w:sz w:val="16"/>
                <w:szCs w:val="16"/>
                <w:color w:val="auto"/>
              </w:rPr>
              <w:t>Nonvoting Common Share)</w:t>
            </w:r>
          </w:p>
        </w:tc>
        <w:tc>
          <w:tcPr>
            <w:tcW w:w="9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680"/>
              <w:spacing w:after="0"/>
              <w:rPr>
                <w:sz w:val="20"/>
                <w:szCs w:val="20"/>
                <w:color w:val="auto"/>
              </w:rPr>
            </w:pPr>
            <w:r>
              <w:rPr>
                <w:rFonts w:ascii="Arial" w:cs="Arial" w:eastAsia="Arial" w:hAnsi="Arial"/>
                <w:sz w:val="16"/>
                <w:szCs w:val="16"/>
                <w:color w:val="auto"/>
              </w:rPr>
              <w:t>Preferential dividends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Preferential dividends on dilutive stock options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46"/>
        </w:trPr>
        <w:tc>
          <w:tcPr>
            <w:tcW w:w="5200" w:type="dxa"/>
            <w:vAlign w:val="bottom"/>
          </w:tcPr>
          <w:p>
            <w:pPr>
              <w:ind w:left="360"/>
              <w:spacing w:after="0" w:line="146" w:lineRule="exact"/>
              <w:rPr>
                <w:sz w:val="20"/>
                <w:szCs w:val="20"/>
                <w:color w:val="auto"/>
              </w:rPr>
            </w:pPr>
            <w:r>
              <w:rPr>
                <w:rFonts w:ascii="Arial" w:cs="Arial" w:eastAsia="Arial" w:hAnsi="Arial"/>
                <w:sz w:val="16"/>
                <w:szCs w:val="16"/>
                <w:color w:val="auto"/>
                <w:w w:val="99"/>
              </w:rPr>
              <w:t>Numerator for basic and diluted income per Class B Voting Common</w:t>
            </w:r>
          </w:p>
        </w:tc>
        <w:tc>
          <w:tcPr>
            <w:tcW w:w="900" w:type="dxa"/>
            <w:vAlign w:val="bottom"/>
            <w:vMerge w:val="restart"/>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w w:val="89"/>
              </w:rPr>
              <w:t>48,052</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40,054</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124,706</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108,104</w:t>
            </w:r>
          </w:p>
        </w:tc>
        <w:tc>
          <w:tcPr>
            <w:tcW w:w="0" w:type="dxa"/>
            <w:vAlign w:val="bottom"/>
          </w:tcPr>
          <w:p>
            <w:pPr>
              <w:spacing w:after="0"/>
              <w:rPr>
                <w:sz w:val="1"/>
                <w:szCs w:val="1"/>
                <w:color w:val="auto"/>
              </w:rPr>
            </w:pPr>
          </w:p>
        </w:tc>
      </w:tr>
      <w:tr>
        <w:trPr>
          <w:trHeight w:val="185"/>
        </w:trPr>
        <w:tc>
          <w:tcPr>
            <w:tcW w:w="5200" w:type="dxa"/>
            <w:vAlign w:val="bottom"/>
          </w:tcPr>
          <w:p>
            <w:pPr>
              <w:ind w:left="360"/>
              <w:spacing w:after="0"/>
              <w:rPr>
                <w:sz w:val="20"/>
                <w:szCs w:val="20"/>
                <w:color w:val="auto"/>
              </w:rPr>
            </w:pPr>
            <w:r>
              <w:rPr>
                <w:rFonts w:ascii="Arial" w:cs="Arial" w:eastAsia="Arial" w:hAnsi="Arial"/>
                <w:sz w:val="16"/>
                <w:szCs w:val="16"/>
                <w:color w:val="auto"/>
              </w:rPr>
              <w:t>Share</w:t>
            </w:r>
          </w:p>
        </w:tc>
        <w:tc>
          <w:tcPr>
            <w:tcW w:w="9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 (in thousands):</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color w:val="auto"/>
                <w:w w:val="97"/>
              </w:rPr>
              <w:t>Denominator for basic income per share for both Class A and Class B</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49,653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51,326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49,755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51,700</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Plus: Effect of dilutive equity awards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0"/>
        </w:trPr>
        <w:tc>
          <w:tcPr>
            <w:tcW w:w="5200" w:type="dxa"/>
            <w:vAlign w:val="bottom"/>
          </w:tcPr>
          <w:p>
            <w:pPr>
              <w:ind w:left="360"/>
              <w:spacing w:after="0"/>
              <w:rPr>
                <w:sz w:val="20"/>
                <w:szCs w:val="20"/>
                <w:color w:val="auto"/>
              </w:rPr>
            </w:pPr>
            <w:r>
              <w:rPr>
                <w:rFonts w:ascii="Arial" w:cs="Arial" w:eastAsia="Arial" w:hAnsi="Arial"/>
                <w:sz w:val="16"/>
                <w:szCs w:val="16"/>
                <w:color w:val="auto"/>
                <w:w w:val="95"/>
              </w:rPr>
              <w:t>Denominator for diluted income per share for both Class A and Class B</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50,001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51,568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50,033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52,055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680"/>
              <w:spacing w:after="0"/>
              <w:rPr>
                <w:sz w:val="20"/>
                <w:szCs w:val="20"/>
                <w:color w:val="auto"/>
              </w:rPr>
            </w:pPr>
            <w:r>
              <w:rPr>
                <w:rFonts w:ascii="Arial" w:cs="Arial" w:eastAsia="Arial" w:hAnsi="Arial"/>
                <w:sz w:val="16"/>
                <w:szCs w:val="16"/>
                <w:color w:val="auto"/>
              </w:rPr>
              <w:t>Basic</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0.97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0.78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Diluted</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Basic</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0"/>
        </w:trPr>
        <w:tc>
          <w:tcPr>
            <w:tcW w:w="5200" w:type="dxa"/>
            <w:vAlign w:val="bottom"/>
          </w:tcPr>
          <w:p>
            <w:pPr>
              <w:ind w:left="680"/>
              <w:spacing w:after="0"/>
              <w:rPr>
                <w:sz w:val="20"/>
                <w:szCs w:val="20"/>
                <w:color w:val="auto"/>
              </w:rPr>
            </w:pPr>
            <w:r>
              <w:rPr>
                <w:rFonts w:ascii="Arial" w:cs="Arial" w:eastAsia="Arial" w:hAnsi="Arial"/>
                <w:sz w:val="16"/>
                <w:szCs w:val="16"/>
                <w:color w:val="auto"/>
              </w:rPr>
              <w:t>Diluted</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0.96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0.78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2.49</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 amount of anti-dilutive shares were 447,210 and 526,603 for the three months ended April 30, 2023 and 2022, respectively, and 555,247 and 492,527 for the nine months ended April 30, 2023 and 2022, respectively.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NOTE J — Fair Value Measurements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financial assets and liabilities that were accounted for at fair value on a recurring basis as of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 and July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8"/>
              </w:rPr>
              <w:t>April 30, 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7"/>
              </w:rPr>
              <w:t>July 31, 2022</w:t>
            </w:r>
          </w:p>
        </w:tc>
        <w:tc>
          <w:tcPr>
            <w:tcW w:w="120" w:type="dxa"/>
            <w:vAlign w:val="bottom"/>
          </w:tcPr>
          <w:p>
            <w:pPr>
              <w:spacing w:after="0"/>
              <w:rPr>
                <w:sz w:val="16"/>
                <w:szCs w:val="16"/>
                <w:color w:val="auto"/>
              </w:rPr>
            </w:pPr>
          </w:p>
        </w:tc>
        <w:tc>
          <w:tcPr>
            <w:tcW w:w="144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Hierarchy</w:t>
            </w:r>
          </w:p>
        </w:tc>
        <w:tc>
          <w:tcPr>
            <w:tcW w:w="0" w:type="dxa"/>
            <w:vAlign w:val="bottom"/>
          </w:tcPr>
          <w:p>
            <w:pPr>
              <w:spacing w:after="0"/>
              <w:rPr>
                <w:sz w:val="1"/>
                <w:szCs w:val="1"/>
                <w:color w:val="auto"/>
              </w:rPr>
            </w:pPr>
          </w:p>
        </w:tc>
      </w:tr>
      <w:tr>
        <w:trPr>
          <w:trHeight w:val="19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20" w:type="dxa"/>
            <w:vAlign w:val="bottom"/>
          </w:tcPr>
          <w:p>
            <w:pPr>
              <w:ind w:left="220"/>
              <w:spacing w:after="0"/>
              <w:rPr>
                <w:sz w:val="20"/>
                <w:szCs w:val="20"/>
                <w:color w:val="auto"/>
              </w:rPr>
            </w:pPr>
            <w:r>
              <w:rPr>
                <w:rFonts w:ascii="Arial" w:cs="Arial" w:eastAsia="Arial" w:hAnsi="Arial"/>
                <w:sz w:val="16"/>
                <w:szCs w:val="16"/>
                <w:color w:val="auto"/>
              </w:rPr>
              <w:t>Deferred compensation plan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17,798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18,037</w:t>
            </w:r>
          </w:p>
        </w:tc>
        <w:tc>
          <w:tcPr>
            <w:tcW w:w="120" w:type="dxa"/>
            <w:vAlign w:val="bottom"/>
          </w:tcPr>
          <w:p>
            <w:pPr>
              <w:spacing w:after="0"/>
              <w:rPr>
                <w:sz w:val="18"/>
                <w:szCs w:val="18"/>
                <w:color w:val="auto"/>
              </w:rPr>
            </w:pPr>
          </w:p>
        </w:tc>
        <w:tc>
          <w:tcPr>
            <w:tcW w:w="1440" w:type="dxa"/>
            <w:vAlign w:val="bottom"/>
          </w:tcPr>
          <w:p>
            <w:pPr>
              <w:ind w:left="940"/>
              <w:spacing w:after="0"/>
              <w:rPr>
                <w:sz w:val="20"/>
                <w:szCs w:val="20"/>
                <w:color w:val="auto"/>
              </w:rPr>
            </w:pPr>
            <w:r>
              <w:rPr>
                <w:rFonts w:ascii="Arial" w:cs="Arial" w:eastAsia="Arial" w:hAnsi="Arial"/>
                <w:sz w:val="16"/>
                <w:szCs w:val="16"/>
                <w:color w:val="auto"/>
                <w:w w:val="92"/>
              </w:rPr>
              <w:t>Level 1</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ind w:left="940"/>
              <w:spacing w:after="0"/>
              <w:rPr>
                <w:sz w:val="20"/>
                <w:szCs w:val="20"/>
                <w:color w:val="auto"/>
              </w:rPr>
            </w:pPr>
            <w:r>
              <w:rPr>
                <w:rFonts w:ascii="Arial" w:cs="Arial" w:eastAsia="Arial" w:hAnsi="Arial"/>
                <w:sz w:val="16"/>
                <w:szCs w:val="16"/>
                <w:color w:val="auto"/>
                <w:w w:val="92"/>
              </w:rPr>
              <w:t>Level 2</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ind w:left="940"/>
              <w:spacing w:after="0"/>
              <w:rPr>
                <w:sz w:val="20"/>
                <w:szCs w:val="20"/>
                <w:color w:val="auto"/>
              </w:rPr>
            </w:pPr>
            <w:r>
              <w:rPr>
                <w:rFonts w:ascii="Arial" w:cs="Arial" w:eastAsia="Arial" w:hAnsi="Arial"/>
                <w:sz w:val="16"/>
                <w:szCs w:val="16"/>
                <w:color w:val="auto"/>
                <w:w w:val="92"/>
              </w:rPr>
              <w:t>Level 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Deferred compensation plan assets: </w:t>
      </w:r>
      <w:r>
        <w:rPr>
          <w:rFonts w:ascii="Arial" w:cs="Arial" w:eastAsia="Arial" w:hAnsi="Arial"/>
          <w:sz w:val="18"/>
          <w:szCs w:val="18"/>
          <w:color w:val="auto"/>
        </w:rPr>
        <w:t>The Company’s deferred compensation investments consist of investments in mutual funds, which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K, “Derivatives and Hedging Activities,” for additional information.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cash and cash equivalents, accounts receivable, accounts payable, and other liabilities approximated carrying values due to their short-term nature.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K — Derivatives and Hedging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April 30, 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9"/>
              </w:rPr>
              <w:t>July 31, 2022</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Designated as cash flow hedges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25,276</w:t>
            </w:r>
          </w:p>
        </w:tc>
      </w:tr>
      <w:tr>
        <w:trPr>
          <w:trHeight w:val="216"/>
        </w:trPr>
        <w:tc>
          <w:tcPr>
            <w:tcW w:w="8260" w:type="dxa"/>
            <w:vAlign w:val="bottom"/>
          </w:tcPr>
          <w:p>
            <w:pPr>
              <w:ind w:left="20"/>
              <w:spacing w:after="0"/>
              <w:rPr>
                <w:sz w:val="20"/>
                <w:szCs w:val="20"/>
                <w:color w:val="auto"/>
              </w:rPr>
            </w:pPr>
            <w:r>
              <w:rPr>
                <w:rFonts w:ascii="Arial" w:cs="Arial" w:eastAsia="Arial" w:hAnsi="Arial"/>
                <w:sz w:val="16"/>
                <w:szCs w:val="16"/>
                <w:color w:val="auto"/>
              </w:rPr>
              <w:t>Non-designated hedges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4,057</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foreign exchange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April 30, 2023 and July 31, 2022, unrealized gains of $1,945 and $1,040 have been included in OCI,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April 30, 2023 and July 31, 2022, the cumulative balance recognized in accumulated other comprehensive income were losses of $1,502 and $0, respectively, on any outstanding foreign currency denominated debt obligations.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amount of pre-tax gains and losses related to derivatives designated as hedging instruments: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Three months ended April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1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Gains (losses) recognized in OCI:</w:t>
            </w:r>
          </w:p>
        </w:tc>
        <w:tc>
          <w:tcPr>
            <w:tcW w:w="9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3"/>
        </w:trPr>
        <w:tc>
          <w:tcPr>
            <w:tcW w:w="5180" w:type="dxa"/>
            <w:vAlign w:val="bottom"/>
          </w:tcPr>
          <w:p>
            <w:pPr>
              <w:ind w:left="220"/>
              <w:spacing w:after="0"/>
              <w:rPr>
                <w:sz w:val="20"/>
                <w:szCs w:val="20"/>
                <w:color w:val="auto"/>
              </w:rPr>
            </w:pPr>
            <w:r>
              <w:rPr>
                <w:rFonts w:ascii="Arial" w:cs="Arial" w:eastAsia="Arial" w:hAnsi="Arial"/>
                <w:sz w:val="16"/>
                <w:szCs w:val="16"/>
                <w:color w:val="auto"/>
              </w:rPr>
              <w:t>Forward exchange contracts (cash flow hedges)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center"/>
              <w:spacing w:after="0"/>
              <w:rPr>
                <w:sz w:val="20"/>
                <w:szCs w:val="20"/>
                <w:color w:val="auto"/>
              </w:rPr>
            </w:pPr>
            <w:r>
              <w:rPr>
                <w:rFonts w:ascii="Arial" w:cs="Arial" w:eastAsia="Arial" w:hAnsi="Arial"/>
                <w:sz w:val="16"/>
                <w:szCs w:val="16"/>
                <w:color w:val="auto"/>
                <w:w w:val="97"/>
              </w:rPr>
              <w:t>496</w:t>
            </w:r>
          </w:p>
        </w:tc>
        <w:tc>
          <w:tcPr>
            <w:tcW w:w="116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475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center"/>
              <w:ind w:left="539"/>
              <w:spacing w:after="0"/>
              <w:rPr>
                <w:sz w:val="20"/>
                <w:szCs w:val="20"/>
                <w:color w:val="auto"/>
              </w:rPr>
            </w:pPr>
            <w:r>
              <w:rPr>
                <w:rFonts w:ascii="Arial" w:cs="Arial" w:eastAsia="Arial" w:hAnsi="Arial"/>
                <w:sz w:val="16"/>
                <w:szCs w:val="16"/>
                <w:color w:val="auto"/>
                <w:w w:val="89"/>
              </w:rPr>
              <w:t>2,165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19"/>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denominated debt (net investment hedges)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(661)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0"/>
              </w:rPr>
              <w:t>(1,502)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Gains reclassified from OCI into cost of goods sold</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Forward exchange contracts (cash flow hedges)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463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w w:val="89"/>
              </w:rPr>
              <w:t>1,261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April 30, 2023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July 31, 2022</w:t>
            </w:r>
          </w:p>
        </w:tc>
        <w:tc>
          <w:tcPr>
            <w:tcW w:w="0" w:type="dxa"/>
            <w:vAlign w:val="bottom"/>
          </w:tcPr>
          <w:p>
            <w:pPr>
              <w:spacing w:after="0"/>
              <w:rPr>
                <w:sz w:val="1"/>
                <w:szCs w:val="1"/>
                <w:color w:val="auto"/>
              </w:rPr>
            </w:pPr>
          </w:p>
        </w:tc>
      </w:tr>
      <w:tr>
        <w:trPr>
          <w:trHeight w:val="158"/>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91"/>
              </w:rPr>
              <w:t>Prepaid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95"/>
              </w:rPr>
              <w:t>Prepaid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4"/>
              </w:rPr>
              <w:t>expenses and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5"/>
              </w:rPr>
              <w:t>Other current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Long-term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4"/>
              </w:rPr>
              <w:t>expenses and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1"/>
              </w:rPr>
              <w:t>Other current</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4"/>
              </w:rPr>
              <w:t>other current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2"/>
              </w:rPr>
              <w:t>other current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76"/>
              </w:rPr>
              <w:t>assets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liabilities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obligations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0"/>
              </w:rPr>
              <w:t>assets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rPr>
                <w:sz w:val="20"/>
                <w:szCs w:val="20"/>
                <w:color w:val="auto"/>
              </w:rPr>
            </w:pPr>
            <w:r>
              <w:rPr>
                <w:rFonts w:ascii="Arial" w:cs="Arial" w:eastAsia="Arial" w:hAnsi="Arial"/>
                <w:sz w:val="16"/>
                <w:szCs w:val="16"/>
                <w:color w:val="auto"/>
              </w:rPr>
              <w:t>Foreign exchange contracts (cash flow hedges)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denominated debt (net investment hedges)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 (non-designated hedges)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Total derivative instruments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(37,849)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NOTE L — Income Taxes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income tax rate for the three months ended April 30, 2023 and 2022, was 23.8% and 21.8%, respectively. The income tax rate for the nine months ended April 30, 2023 and 2022, was 22.5% and 21.1%, respectively. The increase in the tax rate in both the three and nine-month periods was due to the sale of the PremiSys business as well as lapses in the statutes of limitations that did not reoccur in 2023. The Company expects its ongoing annual income tax rate to be approximately 21% based on its current global business mix and based on tax laws and statutory tax rates currently in effect.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NOTE M — Subsequent Events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16, 2023, the Board of Directors declared a quarterly cash dividend to shareholders of the Company’s Class A and Class B Common Stock of $0.23 per share payable on July 31, 2023, to shareholders of record at the close of business on July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700"/>
        <w:spacing w:after="0" w:line="438"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Brady Corporation is a global manufacturer and supplier of identification solutions and workplace safety products that identify and protect premises, products and people. Effective February 1, 2023, the Company is organized and managed on a geographic basis with two reportable segments: Americas &amp; Asia and Europe &amp; Australia. As such, all segment-related data has been recast to reflect our new reportable segments in the Management's Discussion and Analysis of Financial Condition and Results of Operations section. Prior to February 1, 2023, the Company operated two former segments: Identification Solutions (“IDS”) and Workplace Safety (“WPS”). The IDS segment is primarily involved in the design, manufacture, and distribution of high-performance and innovative identification and healthcare products. The WPS segment manufactures a broad range of stock and custom identification products and is a distributor of a wide variety of resale products.</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new products, deliver a high level of customer service, advance our digital capabilities, and continuously improve the efficiency of our global operations. Our strategy for growth includes an increased focus on the development of technologically advanced, innovative and proprietary products and a focus on providing customers with relevant, comprehensive and complimentary solutions. We are enhancing our omnichannel experience for customers, streamlining our product offerings and improving our price competitiveness while delivering relevant products to our customers.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our strategy in fiscal 2023:</w:t>
      </w:r>
    </w:p>
    <w:p>
      <w:pPr>
        <w:spacing w:after="0" w:line="158"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Expanding and enhancing our sales capabilities through an improved digital presence and the use of data-driven marketing automation tools.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profitability through pricing mechanisms to mitigate the impacts of ongoing supply chain disruptions and inflationary pressures while ensuring prices are market competitive.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Investing in acquisitions that enhance our strategic position and accelerate long-term sales growth and profitability.</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 and managing working capital.</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Building on our culture of diversity, equity and inclusion to increase employee engagement and enhance recruitment and retention practices in order to drive differentiated performance and execute our strategy.</w:t>
      </w: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our reorganization to a regional operating structure to support continued growth in key geographies, facilitate new product development in our recent acquisitions, and simplify and further integrate our businesses.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has experienced, and expects to continue to experience, inflationary pressures and supply chain and other business disruptions. The Company has taken and will continue to take actions to mitigate inflation issues through pricing actions and the execution of sustainable efficiency gains.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have the financial strength to continue to invest in organic sales growth opportunities including sales, marketing, and research and development ("R&amp;D") and inorganic sales opportunities including acquisitions, while continuing to drive sustainable efficiency gains and automation in our operations and selling, general and administrative ("SG&amp;A") functions. At April 30, 2023, we had cash of $135.0 million, as well as a credit agreement with $247.6 million available for future borrowing, which can be increased up to $1,047.6 million at the Company's option and subject to certain conditions, for total available liquidity of $1,182.6 million.</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believe that our financial resources and liquidity levels, including the remaining undrawn amount of our credit agreement and our ability to increase our credit line as necessary, are sufficient to manage the impact of economic or geopolitical events which may result in reduced sales, net income, or cash provided by operating activities. Refer to Risk Factors, included in Part I, Item 1A of our Annual Report on Form 10-K for the year ended July 31, 2022, for further discussion of the potential impact of global economic or geopolitical events or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three and nine months ended April 30, 2023 and 2022,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4"/>
              </w:rPr>
              <w:t>Three months ended April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2"/>
              </w:rPr>
              <w:t>Nine months ended April 30,</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r>
      <w:tr>
        <w:trPr>
          <w:trHeight w:val="210"/>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337,116</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338,551</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985,934</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978,081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169,691</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50.3 %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164,026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481,395</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48.8 %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468,376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47.9 %</w:t>
            </w: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340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15,715</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14,923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45,025</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42,795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4.4 %</w:t>
            </w:r>
          </w:p>
        </w:tc>
      </w:tr>
      <w:tr>
        <w:trPr>
          <w:trHeight w:val="216"/>
        </w:trPr>
        <w:tc>
          <w:tcPr>
            <w:tcW w:w="3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90,975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96,214</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273,202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285,485</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29.2 %</w:t>
            </w:r>
          </w:p>
        </w:tc>
      </w:tr>
      <w:tr>
        <w:trPr>
          <w:trHeight w:val="209"/>
        </w:trPr>
        <w:tc>
          <w:tcPr>
            <w:tcW w:w="3400" w:type="dxa"/>
            <w:vAlign w:val="bottom"/>
          </w:tcPr>
          <w:p>
            <w:pPr>
              <w:ind w:left="6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106,690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111,137</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318,227</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328,280</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33.6 %</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63,001</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18.7 %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52,889</w:t>
            </w: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15.6 %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163,168</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16.5 %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References in this Form 10-Q to “organic sales” refer to sales calculated in accordance with GAAP, excluding the impact of foreign currency translation, sales recorded from divested companies up to the first anniversary of their divestiture and sales recorded from acquired companies prior to the first anniversary date of their acquisition.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sales for the three months ended April 30, 2023 declined 0.4% to $337.1 million, compared to $338.6 million in the same period in the prior year. Organic sales growth of 1.9% was offset by a decrease from foreign currency translation of 2.1% and a decrease of 0.2% due to the divestiture of a business. Organic sales grew 1.2% in the Americas &amp; Asia segment and 3.4% in the Europe &amp; Australia segment during the three months ended April 30, 2023 compared to the same period in the prior year.</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sales for the nine months ended April 30, 2023 increased 0.8% to $985.9 million, compared to $978.1 million in the same period in the prior year. The increase consisted of organic sales growth of 5.0%, which was partially offset by a decrease from foreign currency translation of 4.1% and a decrease of 0.1% due to the divestiture of a business. Organic sales increased 4.0% in the Americas &amp; Asia segment and 7.0% in the Europe &amp; Australia segment during the nine months ended April 30, 2023 compared to the same period in the prior year.</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Gross margin increased 3.5% to $169.7 million in the three months ended April 30, 2023 compared to $164.0 million in the same period in the prior year. As a percentage of net sales, gross margin increased to 50.3% from 48.4% in the three-month period. Gross margin increased 2.8% to $481.4 million for the nine months ended April 30, 2023 compared to $468.4 million in the same period in the prior year. As a percentage of net sales, gross margin increased to 48.8% from 47.9% in the nine-month period. The increase in gross margin as a percentage of net sales was primarily due to operating efficiencies, reductions in freight expenses and pricing actions in response to higher costs.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R&amp;D expenses increased 5.3% to $15.7 million in the three months ended April 30, 2023 compared to $14.9 million in the same period in the prior year. As a percentage of net sales, R&amp;D expenses increased to 4.7% from 4.4% in the three-month period. R&amp;D expenses increased 5.2% to $45.0 million in the nine months ended April 30, 2023 compared to $42.8 million in the same period in the prior year. As a percentage of net sales, R&amp;D expenses increased to 4.6% from 4.4% in the nine-month period. The Company remains committed to investing in new product development to increase sales within our businesses. Investments in new printers, materials and the build out of industrial track and trace solutions remain the primary focus of R&amp;D expenditures for the remainder of fiscal 2023.</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decreased 5.4% to $91.0 million in the three months ended April 30, 2023 compared to $96.2 million in the same period in the prior year. As a percentage of net sales, SG&amp;A decreased to 27.0% from 28.4% in the three-month period. SG&amp;A expenses decreased 4.3% to $273.2 million for the nine months ended April 30, 2023 compared to $285.5 million in the same period in the prior year. As a percentage of net sales, SG&amp;A decreased to 27.7% from 29.2% in the nine-month period. SG&amp;A expenses include a gain of $3.8 million from the sale of the PremiSys business during the three months ended April 30, 2023. The decrease in SG&amp;A expenses during the three and nine months ended April 30, 2023 was due to foreign currency translation, the gain on the sale of the divested business and ongoing efficiency activities.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increased 19.1% to $63.0 million and increased 16.5% to $163.2 million for the three and nine months ended April 30, 2023, respectively, compared to $52.9 million and $140.1 million in the same periods in the prior year. The increase in operating income in both the three and nine-month periods was primarily due to the increase in segment profit in the Americas &amp; Asia segment as a result of organic sales growth and the realization of pricing actions taken during fiscal 2022 and the beginning of fiscal 2023, and to a lesser extent due to the gain on the sale of the PremiSys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ind w:left="680"/>
              <w:spacing w:after="0"/>
              <w:rPr>
                <w:sz w:val="20"/>
                <w:szCs w:val="20"/>
                <w:color w:val="auto"/>
              </w:rPr>
            </w:pPr>
            <w:r>
              <w:rPr>
                <w:rFonts w:ascii="Arial" w:cs="Arial" w:eastAsia="Arial" w:hAnsi="Arial"/>
                <w:sz w:val="16"/>
                <w:szCs w:val="16"/>
                <w:b w:val="1"/>
                <w:bCs w:val="1"/>
                <w:color w:val="auto"/>
                <w:w w:val="94"/>
              </w:rPr>
              <w:t>Three months ended April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0"/>
              </w:rPr>
              <w:t>Nine months ended April 30,</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2"/>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Sales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r>
      <w:tr>
        <w:trPr>
          <w:trHeight w:val="20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52,889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163,168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 (expense)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338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161,878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14.1 %</w:t>
            </w:r>
          </w:p>
        </w:tc>
      </w:tr>
      <w:tr>
        <w:trPr>
          <w:trHeight w:val="216"/>
        </w:trPr>
        <w:tc>
          <w:tcPr>
            <w:tcW w:w="33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14,981</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11,198</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29,075</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125,479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11.1 %</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Investment and other income was $0.8 million and $1.6 million for the three and nine months ended April 30, 2023, respectively, compared to investment and other expense of $1.3 million in both the three and nine-month periods in the prior year. The increase in income during the three and nine-month periods was primarily due to an increase in the market value of securities held in deferred compensation plans and, to a lesser extent, an increase in interest income.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increased to $0.8 million and $2.9 million for the three and nine months ended April 30, 2023, respectively, compared to $0.3 million and $0.8 million in the same periods in the prior year. The increase in interest expense was primarily due to an increase in benchmark interest rates compared to the same periods in the prior year.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income tax rate was 23.8% and 21.8% for the three months ended April 30, 2023 and 2022, respectively, and the income tax rate was 22.5% and 21.1% for the nine months ended April 30, 2023 and 2022, respectively. Refer to Note L, "Income Taxes" for additional information on the Company's income tax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evaluates short-term segment performance based on segment profit and customer sales. Interest expense, investment and other income (expense), income tax expense, and certain corporate administrative expenses are excluded when evaluating segment performance.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nine months ended April 30,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April 30,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SALES GROWTH INFORMATION</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Americas &amp; Asia</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13"/>
        </w:trPr>
        <w:tc>
          <w:tcPr>
            <w:tcW w:w="4920" w:type="dxa"/>
            <w:vAlign w:val="bottom"/>
          </w:tcPr>
          <w:p>
            <w:pPr>
              <w:ind w:left="360"/>
              <w:spacing w:after="0"/>
              <w:rPr>
                <w:sz w:val="20"/>
                <w:szCs w:val="20"/>
                <w:color w:val="auto"/>
              </w:rPr>
            </w:pPr>
            <w:r>
              <w:rPr>
                <w:rFonts w:ascii="Arial" w:cs="Arial" w:eastAsia="Arial" w:hAnsi="Arial"/>
                <w:sz w:val="16"/>
                <w:szCs w:val="16"/>
                <w:color w:val="auto"/>
              </w:rPr>
              <w:t>Currency</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Divestiture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Europe &amp; Australia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13"/>
        </w:trPr>
        <w:tc>
          <w:tcPr>
            <w:tcW w:w="4920" w:type="dxa"/>
            <w:vAlign w:val="bottom"/>
          </w:tcPr>
          <w:p>
            <w:pPr>
              <w:ind w:left="360"/>
              <w:spacing w:after="0"/>
              <w:rPr>
                <w:sz w:val="20"/>
                <w:szCs w:val="20"/>
                <w:color w:val="auto"/>
              </w:rPr>
            </w:pPr>
            <w:r>
              <w:rPr>
                <w:rFonts w:ascii="Arial" w:cs="Arial" w:eastAsia="Arial" w:hAnsi="Arial"/>
                <w:sz w:val="16"/>
                <w:szCs w:val="16"/>
                <w:color w:val="auto"/>
              </w:rPr>
              <w:t>Currency</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07"/>
        </w:trPr>
        <w:tc>
          <w:tcPr>
            <w:tcW w:w="492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360"/>
              <w:spacing w:after="0"/>
              <w:rPr>
                <w:sz w:val="20"/>
                <w:szCs w:val="20"/>
                <w:color w:val="auto"/>
              </w:rPr>
            </w:pPr>
            <w:r>
              <w:rPr>
                <w:rFonts w:ascii="Arial" w:cs="Arial" w:eastAsia="Arial" w:hAnsi="Arial"/>
                <w:sz w:val="16"/>
                <w:szCs w:val="16"/>
                <w:color w:val="auto"/>
              </w:rPr>
              <w:t>Organic</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Currency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4920" w:type="dxa"/>
            <w:vAlign w:val="bottom"/>
          </w:tcPr>
          <w:p>
            <w:pPr>
              <w:ind w:left="360"/>
              <w:spacing w:after="0"/>
              <w:rPr>
                <w:sz w:val="20"/>
                <w:szCs w:val="20"/>
                <w:color w:val="auto"/>
              </w:rPr>
            </w:pPr>
            <w:r>
              <w:rPr>
                <w:rFonts w:ascii="Arial" w:cs="Arial" w:eastAsia="Arial" w:hAnsi="Arial"/>
                <w:sz w:val="16"/>
                <w:szCs w:val="16"/>
                <w:color w:val="auto"/>
              </w:rPr>
              <w:t>Divestiture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06"/>
        </w:trPr>
        <w:tc>
          <w:tcPr>
            <w:tcW w:w="492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360"/>
              <w:spacing w:after="0"/>
              <w:rPr>
                <w:sz w:val="20"/>
                <w:szCs w:val="20"/>
                <w:color w:val="auto"/>
              </w:rPr>
            </w:pPr>
            <w:r>
              <w:rPr>
                <w:rFonts w:ascii="Arial" w:cs="Arial" w:eastAsia="Arial" w:hAnsi="Arial"/>
                <w:sz w:val="16"/>
                <w:szCs w:val="16"/>
                <w:color w:val="auto"/>
              </w:rPr>
              <w:t>Americas &amp; Asia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49,192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45,021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130,511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114,659</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Europe &amp; Australia</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17,099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16,050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47,316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46,165</w:t>
            </w:r>
          </w:p>
        </w:tc>
        <w:tc>
          <w:tcPr>
            <w:tcW w:w="0" w:type="dxa"/>
            <w:vAlign w:val="bottom"/>
          </w:tcPr>
          <w:p>
            <w:pPr>
              <w:spacing w:after="0"/>
              <w:rPr>
                <w:sz w:val="1"/>
                <w:szCs w:val="1"/>
                <w:color w:val="auto"/>
              </w:rPr>
            </w:pPr>
          </w:p>
        </w:tc>
      </w:tr>
      <w:tr>
        <w:trPr>
          <w:trHeight w:val="207"/>
        </w:trPr>
        <w:tc>
          <w:tcPr>
            <w:tcW w:w="492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66,291</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61,071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177,827</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160,824</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AS A PERCENT OF NET SALES</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360"/>
              <w:spacing w:after="0"/>
              <w:rPr>
                <w:sz w:val="20"/>
                <w:szCs w:val="20"/>
                <w:color w:val="auto"/>
              </w:rPr>
            </w:pPr>
            <w:r>
              <w:rPr>
                <w:rFonts w:ascii="Arial" w:cs="Arial" w:eastAsia="Arial" w:hAnsi="Arial"/>
                <w:sz w:val="16"/>
                <w:szCs w:val="16"/>
                <w:color w:val="auto"/>
              </w:rPr>
              <w:t>Americas &amp; Asia</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Europe &amp; Australia</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06"/>
        </w:trPr>
        <w:tc>
          <w:tcPr>
            <w:tcW w:w="492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&amp; Asia</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Americas &amp; Asia net sales were essentially flat at $222.8 million for the three months ended April 30, 2023 compared to $222.6 million in the same period in the prior year, which consisted of organic sales growth of 1.2% and decreases from foreign currency translation of 0.8% and the sale of the PremiSys business of 0.3%. Americas &amp; Asia net sales increased 2.8% to $661.4 million for the nine months ended April 30, 2023 compared to $643.3 million in the same period in the prior year, which consisted of organic sales growth of 4.0% and decreases from foreign currency translation of 1.1% and the sale of the PremiSys business of 0.1%.</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Organic sales in the Americas increased in the low-single digits in the three months ended April 30, 2023 and increased in the mid-single digits in the nine months ended April 30, 2023 compared to the same periods in the prior year. The increase in organic sales during the three-month period was primarily due to organic sales growth in IDS with the strongest growth in the safety and facility identification and healthcare identification product lines, which was partially offset by organic sales declines in wire identification and product identification. During the nine-month period, organic sales grew in the safety and facility identification, healthcare identification and wire identification product lines, which was partially offset by an organic sales decline in the product identification product line. Organic growth in IDS was partially offset by a mid-single digit organic decline in WPS during both the three and nine months ended April 30, 2023.</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Asia declined in the low-single digits in the both the three and nine-month periods ended April 30, 2023 compared to the same periods in the prior year. The organic sales decline during the three-month period was primarily driven by decreased sales in Malaysia and Singapore, which were partially offset by sales growth in China and India. The organic sales decline during the nine-month period was primarily driven by decreased sales in China due to the spread of COVID-19 during the second quarter of fiscal 2023, which was partially offset by strong sales growth in India and Japan during the nine-month period.</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Americas &amp; Asia segment profit increased 9.3% to $49.2 million for the three months ended April 30, 2023 compared to $45.0 million in the same period in the prior year. Segment profit increased 13.8% to $130.5 million for the nine months ended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April 30, 2023 compared to $114.7 million in the same period in the prior year. As a percentage of net sales, segment profit increased to 22.1% from 20.2% for the three-month period, and segment profit increased to 19.7% from 17.8% for the nine-month period ended April 30, 2023 compared to the same periods in the prior year. The increase in segment profit as a percentage of net sales was primarily due to ongoing efforts to streamline processes to drive operational efficiencies as well as price increases, which were partially offset by an increase in costs due to inflationary pressures.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&amp; Australia</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Europe &amp; Australia net sales declined 1.4% to $114.3 million for the three months ended April 30, 2023 compared to $116.0 million in the same period in the prior year, which consisted of organic sales growth of 3.4% and a decrease from foreign currency translation of 4.8%. Europe &amp; Australia net sales declined 3.1% to $324.6 million for the nine months ended April 30, 2023 compared to $334.8 million in the same period in the prior year, which consisted of organic sales growth of 7.0% and a decrease from foreign currency translation of 10.1%.</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Organic sales in Europe increased in the low-single digits in the three months ended April 30, 2023 and increased in the mid-single digits in the nine months ended April 30, 2023 compared to the same periods in the prior year. The increase in organic sales during the three-month period was primarily driven by mid-single digit growth within WPS, which included digital sales growth of approximately 15%. Organic sales in IDS increased in the low-single digits during the three-month period, which consisted of growth in the safety and facility identification product line, which was partially offset by a decline in the product identification and wire identification product lines. Organic sales growth during the nine-month period was driven by mid-single digit growth in both IDS and WPS. Organic sales growth in IDS was strongest in the safety and facility identification and product identification product lines, followed by wire identification. Organic sales in WPS included digital sales growth of approximately 13%.</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increased in the low-teens in both the three and nine months ended April 30, 2023 compared to the same periods in the prior year. Organic sales were driven by consistent growth in both digital and sales from all other channels, including catalogs, in both the three and nine-month periods, which was primarily the result of price increases implemented throughout the nine months ended April 30, 2023. Organic sales growth was led by core safety and facility identification products.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Europe &amp; Australia segment profit increased 6.5% to $17.1 million from $16.1 million, and as a percentage of net sales, segment profit increased to 15.0% from 13.8% for the three months ended April 30, 2023 compared to the same period in the prior year. Segment profit increased 2.5% to $47.3 million from $46.2 million and as a percentage of net sales, segment profit increased to 14.6% from 13.8% for the nine months ended April 30, 2023 compared to the same period in the prior year. The increase in segment profit for both periods was primarily due to actions taken during fiscal 2022 to reduce the cost structure as well as pricing actions implemented throughout the nine months ended April 30,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cash balances are generated and held in numerous locations throughout the world. At April 30, 2023, 99%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and beyond. Although the Company believes these sources of cash are currently sufficient to fund domestic operations, annual cash needs could require repatriation of cash to the U.S. from foreign jurisdictions, which may result in additional tax payments.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$135.0 million at April 30, 2023, an increase of $21.0 million from July 31, 2022. The significant changes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(used in):</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129,861</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65,236</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(22,071)</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(105,935)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(81,762)</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(5,670)</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20,978</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(44,267)</w:t>
            </w:r>
          </w:p>
        </w:tc>
      </w:tr>
      <w:tr>
        <w:trPr>
          <w:trHeight w:val="23"/>
        </w:trPr>
        <w:tc>
          <w:tcPr>
            <w:tcW w:w="826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operating activities was $129.9 million for the nine months ended April 30, 2023 compared to $65.2 million in the same period of the prior year. The increase in cash provided by operating activities was primarily due to improved profitability and reduced inventory purchases compared to elevated inventory purchases in the prior year to reduce the risk of supply chain disruption.</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used in investing activities was $4.9 million in the nine months ended April 30, 2023, which consisted of capital expenditures of $12.9 million partially offset by proceeds of $8.0 million received from the sale of the PremiSys business. Net cash used in investing activities was $22.1 million in the nine months ended April 30, 2022, which was elevated due to the purchase of two facilities that were previously leased.</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financing activities was $105.9 million in the nine months ended April 30, 2023 compared to $81.8 million in the same period of the prior year. The increase in cash used by financing activities was primarily due to $44.2 million of net repayments on the credit agreement in the nine months ended April 30, 2023 compared to $39.0 million of net borrowings on the credit agreement in the same period of the prior year, which was due to the increase in net cash provided by operating activities in the current nine-month period. The increase in cash used in financing activities was partially offset by a decrease in share repurchases compared to the prior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Cash Requirements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material cash requirements for known contractual obligations include capital expenditures,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1, 2019, the Company and certain of its subsidiaries entered into an unsecured $200 million multi-currency credit agreement with a group of five banks.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December 21, 2021, the Company and certain of its subsidiaries entered into an amendment to the credit agreement dated August 1, 2019. The amendment modified the credit agreement to, among other things, (a) change the interest rate under the credit agreement for borrowings (i) denominated in British Pounds from the London Inter-bank Offered Rate ("LIBOR") to a daily simple SONIA-based rate, (ii) denominated in Euro from a LIBOR-based rate to a rate based on the Euro Interbank Offered Rate and (iii) denominated in Japanese Yen from a LIBOR-based rate to a rate based on the Tokyo Interbank Offered Rate, in each of the foregoing cases subject to certain adjustments specified in the credit agreement; and (b) provide mechanics relating to a transition away from U.S. dollar LIBOR (with respect to borrowings denominated in U.S. dollars) and the designated benchmarks for the other eligible currencies as benchmark interest rates and the replacement of any such benchmark by a replacement benchmark rate. The amendment to the credit agreement did not have a material impact on the interest rate or related balances in the Company's consolidated financial statements.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November 14, 2022, the Company and certain of its subsidiaries entered into a Second Amendment to Credit Agreement (“Amendment No. 2”) with a group of six banks, which amended the original credit agreement dated August 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2019. Amendment No. 2 amended the credit agreement to, among other items, (a) increase the lending commitments by $100 million for total lending commitments of $300 million, (b) extend the final maturity date to November 14, 2027, (c) increase the interest rate on certain borrowings by 0.125%, and</w:t>
      </w:r>
    </w:p>
    <w:p>
      <w:pPr>
        <w:jc w:val="both"/>
        <w:ind w:firstLine="8"/>
        <w:spacing w:after="0" w:line="302" w:lineRule="auto"/>
        <w:tabs>
          <w:tab w:leader="none" w:pos="27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 Borrowings under Amendment No. 2 are unsecured and are guaranteed by certain of the Company's domestic subsidiaries.</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April 30, 2023, the outstanding balance on the Company's credit agreement was $50.8 million. The maximum amount outstanding on the credit agreement during the nine months ended April 30, 2023 was $103.0 million. As of April 30, 2023, the U.S. dollar-denominated borrowings of $13.0 million bear interest at 6.0%; the Euro-denominated borrowings of €23.0 million bear interest at 3.9%; and the British Pound-denominated borrowings of £10.0 million bear interest at 5.1% for a weighted average interest rate of 4.7%. The Company had letters of credit outstanding under the credit agreement of $1.6 million as of April 30, 2023, and there was $247.6 million available for future borrowing, which can be increased to $1,047.6 million at the Company's option, subject to certain conditions. The credit agreement has a final maturity date of November 14, 2027. As such, borrowings were classified as long-term on the condensed consolidated balance sheets.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credit agreement requires it to maintain certain financial covenants, including a ratio of debt to the trailing twelve months EBITDA, as defined in the credit agreement, of not more than a 3.5 to 1.0 ratio (leverage ratio) and the trailing twelve months EBITDA to interest expense of not less than a 3.0 to 1.0 ratio (interest expense coverage). As of April 30, 2023, the Company was in compliance with these financial covenants, with a ratio of debt to EBITDA, as defined by the agreement, equal to 0.19 to 1.0 and the interest expense coverage ratio equal to 77.1 to 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 of raw materials, labor and freight as well as raw material shortages and supply chain disruptions</w:t>
      </w:r>
    </w:p>
    <w:p>
      <w:pPr>
        <w:spacing w:after="0" w:line="23" w:lineRule="exact"/>
        <w:rPr>
          <w:rFonts w:ascii="Arial" w:cs="Arial" w:eastAsia="Arial" w:hAnsi="Arial"/>
          <w:sz w:val="18"/>
          <w:szCs w:val="18"/>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compete effectively or to successfully execute the Company's strategy</w:t>
      </w:r>
    </w:p>
    <w:p>
      <w:pPr>
        <w:spacing w:after="0" w:line="9" w:lineRule="exact"/>
        <w:rPr>
          <w:rFonts w:ascii="Arial" w:cs="Arial" w:eastAsia="Arial" w:hAnsi="Arial"/>
          <w:sz w:val="18"/>
          <w:szCs w:val="18"/>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identify, integrate, and grow acquired companies, and to manage contingent liabilities from divested businesses</w:t>
      </w:r>
    </w:p>
    <w:p>
      <w:pPr>
        <w:spacing w:after="0" w:line="9" w:lineRule="exact"/>
        <w:rPr>
          <w:rFonts w:ascii="Arial" w:cs="Arial" w:eastAsia="Arial" w:hAnsi="Arial"/>
          <w:sz w:val="18"/>
          <w:szCs w:val="18"/>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impacts of the novel coronavirus ("COVID-19") pandemic or other pandemics</w:t>
      </w:r>
    </w:p>
    <w:p>
      <w:pPr>
        <w:spacing w:after="0" w:line="9" w:lineRule="exact"/>
        <w:rPr>
          <w:rFonts w:ascii="Arial" w:cs="Arial" w:eastAsia="Arial" w:hAnsi="Arial"/>
          <w:sz w:val="18"/>
          <w:szCs w:val="18"/>
          <w:color w:val="auto"/>
        </w:rPr>
      </w:pPr>
    </w:p>
    <w:p>
      <w:pPr>
        <w:ind w:left="540" w:hanging="330"/>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 and difficulties in preventing phishing attacks, social engineering or malicious break-ins</w:t>
      </w: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write-offs of goodwill and other intangible assets</w:t>
      </w:r>
    </w:p>
    <w:p>
      <w:pPr>
        <w:spacing w:after="0" w:line="9" w:lineRule="exact"/>
        <w:rPr>
          <w:rFonts w:ascii="Arial" w:cs="Arial" w:eastAsia="Arial" w:hAnsi="Arial"/>
          <w:sz w:val="18"/>
          <w:szCs w:val="18"/>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40" w:hanging="330"/>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jc w:val="both"/>
        <w:ind w:left="540" w:hanging="330"/>
        <w:spacing w:after="0" w:line="25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2022.</w:t>
      </w:r>
    </w:p>
    <w:p>
      <w:pPr>
        <w:spacing w:after="0" w:line="13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2022. There has been no material change in this information since the 2022 Form 10-K.</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(the "Chief Executive Officer") and its Chief Financial Officer, Chief Accounting Officer and Treasurer (the "Chief Financial Officer"), of the effectiveness of the design and operation of the Company’s disclosure controls and procedures pursuant to Rule 13a-15 of the Exchange Act. Based on that evaluation, the Company’s Chief Executive Officer and Chief Financial Officer concluded that the Company’s disclosure controls and procedures are effective as of the end of the period covered by this report.</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2022. There have been no material changes from the risk factors set forth in the 2022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has a share repurchase program for the Company's Class A Nonvoting Common Stock. The repurchase program may be implemented by purchasing shares in the open market or in privately negotiated transactions, with repurchased shares available for use in connection with the Company's stock-based plans and for other corporate purposes. On May 24, 2022, the Company's Board of Directors authorized an increase in the Company's share repurchase program, authorizing the repurchase of up to $100.0 million of the Company's Class A Nonvoting Common Stock. As of April 30, 2023, there were $55.2 million worth of shares authorized to purchase remaining pursuant to the existing share repurchase program.</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information with respect to the purchases by the Company of Class A Nonvoting Common Stock during the three months ended April 30,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5"/>
              </w:rPr>
              <w:t>Total Number 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1"/>
              </w:rPr>
              <w:t>Average Price Paid per</w:t>
            </w:r>
          </w:p>
        </w:tc>
        <w:tc>
          <w:tcPr>
            <w:tcW w:w="80" w:type="dxa"/>
            <w:vAlign w:val="bottom"/>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Yet Be Purchased Under</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8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Publicly Announced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3"/>
              </w:rPr>
              <w:t>the Plan</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Purchased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Share</w:t>
            </w:r>
          </w:p>
        </w:tc>
        <w:tc>
          <w:tcPr>
            <w:tcW w:w="8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(Dollars in Thousands)</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1, 2023 - February 28, 2023</w:t>
            </w: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67,148</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March 1, 2023 - March 31, 2023</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70,566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51.83</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70,566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63,491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April 1, 2023 - April 30, 2023</w:t>
            </w:r>
          </w:p>
        </w:tc>
        <w:tc>
          <w:tcPr>
            <w:tcW w:w="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158,754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52.00</w:t>
            </w:r>
          </w:p>
        </w:tc>
        <w:tc>
          <w:tcPr>
            <w:tcW w:w="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158,754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55,235</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Total</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229,320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51.95</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229,320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55,235</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ITEM 6. EXHIBITS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7"/>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Exhibit Description</w:t>
            </w:r>
          </w:p>
        </w:tc>
      </w:tr>
      <w:tr>
        <w:trPr>
          <w:trHeight w:val="445"/>
        </w:trPr>
        <w:tc>
          <w:tcPr>
            <w:tcW w:w="2080" w:type="dxa"/>
            <w:vAlign w:val="bottom"/>
          </w:tcPr>
          <w:p>
            <w:pPr>
              <w:ind w:lef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rFonts w:ascii="Arial" w:cs="Arial" w:eastAsia="Arial" w:hAnsi="Arial"/>
                <w:sz w:val="18"/>
                <w:szCs w:val="18"/>
                <w:color w:val="0000FF"/>
                <w:w w:val="89"/>
              </w:rPr>
            </w:pPr>
            <w:hyperlink r:id="rId36">
              <w:r>
                <w:rPr>
                  <w:rFonts w:ascii="Arial" w:cs="Arial" w:eastAsia="Arial" w:hAnsi="Arial"/>
                  <w:sz w:val="18"/>
                  <w:szCs w:val="18"/>
                  <w:color w:val="0000FF"/>
                  <w:w w:val="89"/>
                </w:rPr>
                <w:t>Complete and Permanent Release and Resignation Agreement between the Company and Aaron J. Pearce dated as of April</w:t>
              </w:r>
            </w:hyperlink>
          </w:p>
        </w:tc>
      </w:tr>
      <w:tr>
        <w:trPr>
          <w:trHeight w:val="156"/>
        </w:trPr>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36">
              <w:r>
                <w:rPr>
                  <w:rFonts w:ascii="Arial" w:cs="Arial" w:eastAsia="Arial" w:hAnsi="Arial"/>
                  <w:sz w:val="18"/>
                  <w:szCs w:val="18"/>
                  <w:color w:val="0000FF"/>
                </w:rPr>
                <w:t>13, 2023 (incorporated by reference to Registrant's Current Report on Form 8-K filed April 19, 2023).*</w:t>
              </w:r>
            </w:hyperlink>
          </w:p>
        </w:tc>
        <w:tc>
          <w:tcPr>
            <w:tcW w:w="20" w:type="dxa"/>
            <w:vAlign w:val="bottom"/>
          </w:tcPr>
          <w:p>
            <w:pPr>
              <w:spacing w:after="0"/>
              <w:rPr>
                <w:sz w:val="13"/>
                <w:szCs w:val="13"/>
                <w:color w:val="auto"/>
              </w:rPr>
            </w:pPr>
          </w:p>
        </w:tc>
      </w:tr>
      <w:tr>
        <w:trPr>
          <w:trHeight w:val="20"/>
        </w:trPr>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493"/>
        </w:trPr>
        <w:tc>
          <w:tcPr>
            <w:tcW w:w="2080" w:type="dxa"/>
            <w:vAlign w:val="bottom"/>
          </w:tcPr>
          <w:p>
            <w:pPr>
              <w:ind w:left="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rFonts w:ascii="Arial" w:cs="Arial" w:eastAsia="Arial" w:hAnsi="Arial"/>
                <w:sz w:val="18"/>
                <w:szCs w:val="18"/>
                <w:color w:val="0000FF"/>
                <w:w w:val="99"/>
              </w:rPr>
            </w:pPr>
            <w:hyperlink r:id="rId37">
              <w:r>
                <w:rPr>
                  <w:rFonts w:ascii="Arial" w:cs="Arial" w:eastAsia="Arial" w:hAnsi="Arial"/>
                  <w:sz w:val="18"/>
                  <w:szCs w:val="18"/>
                  <w:color w:val="0000FF"/>
                  <w:w w:val="99"/>
                </w:rPr>
                <w:t>Employment Offer Letter between the Company and Ann E. Thornton dated as of April 14, 2023 (incorporated by</w:t>
              </w:r>
            </w:hyperlink>
          </w:p>
        </w:tc>
      </w:tr>
      <w:tr>
        <w:trPr>
          <w:trHeight w:val="156"/>
        </w:trPr>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reference to Registrant's Current Report on Form 8-K filed April 19, 2023).*</w:t>
              </w:r>
            </w:hyperlink>
          </w:p>
        </w:tc>
        <w:tc>
          <w:tcPr>
            <w:tcW w:w="33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2080" w:type="dxa"/>
            <w:vAlign w:val="bottom"/>
          </w:tcPr>
          <w:p>
            <w:pPr>
              <w:ind w:left="2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Change of Control Agreement between the Company and Ann E. Thornton dated as of April 14, 2023 (incorporated by</w:t>
              </w:r>
            </w:hyperlink>
          </w:p>
        </w:tc>
      </w:tr>
      <w:tr>
        <w:trPr>
          <w:trHeight w:val="169"/>
        </w:trPr>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reference to Registrant's Current Report on Form 8-K filed April 19, 2023).*</w:t>
              </w:r>
            </w:hyperlink>
          </w:p>
        </w:tc>
        <w:tc>
          <w:tcPr>
            <w:tcW w:w="338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480"/>
        </w:trPr>
        <w:tc>
          <w:tcPr>
            <w:tcW w:w="208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Rule 13a-14(a)/15d-14(a) Certification of Russell R. Shaller</w:t>
            </w:r>
          </w:p>
        </w:tc>
        <w:tc>
          <w:tcPr>
            <w:tcW w:w="4580" w:type="dxa"/>
            <w:vAlign w:val="bottom"/>
            <w:gridSpan w:val="4"/>
          </w:tcPr>
          <w:p>
            <w:pPr>
              <w:spacing w:after="0"/>
              <w:rPr>
                <w:sz w:val="24"/>
                <w:szCs w:val="24"/>
                <w:color w:val="auto"/>
              </w:rPr>
            </w:pPr>
          </w:p>
        </w:tc>
      </w:tr>
      <w:tr>
        <w:trPr>
          <w:trHeight w:val="479"/>
        </w:trPr>
        <w:tc>
          <w:tcPr>
            <w:tcW w:w="208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0000FF"/>
              </w:rPr>
              <w:t>Rule 13a-14(a)/15d-14(a) Certification of Ann E. Thornton</w:t>
            </w:r>
          </w:p>
        </w:tc>
      </w:tr>
      <w:tr>
        <w:trPr>
          <w:trHeight w:val="493"/>
        </w:trPr>
        <w:tc>
          <w:tcPr>
            <w:tcW w:w="2080" w:type="dxa"/>
            <w:vAlign w:val="bottom"/>
          </w:tcPr>
          <w:p>
            <w:pPr>
              <w:ind w:left="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Section 1350 Certification of Russell R. Shaller</w:t>
            </w:r>
          </w:p>
        </w:tc>
        <w:tc>
          <w:tcPr>
            <w:tcW w:w="800" w:type="dxa"/>
            <w:vAlign w:val="bottom"/>
            <w:tcBorders>
              <w:top w:val="single" w:sz="8" w:color="0000FF"/>
            </w:tcBorders>
          </w:tcPr>
          <w:p>
            <w:pPr>
              <w:spacing w:after="0"/>
              <w:rPr>
                <w:sz w:val="24"/>
                <w:szCs w:val="24"/>
                <w:color w:val="auto"/>
              </w:rPr>
            </w:pPr>
          </w:p>
        </w:tc>
        <w:tc>
          <w:tcPr>
            <w:tcW w:w="4680" w:type="dxa"/>
            <w:vAlign w:val="bottom"/>
            <w:gridSpan w:val="5"/>
          </w:tcPr>
          <w:p>
            <w:pPr>
              <w:spacing w:after="0"/>
              <w:rPr>
                <w:sz w:val="24"/>
                <w:szCs w:val="24"/>
                <w:color w:val="auto"/>
              </w:rPr>
            </w:pPr>
          </w:p>
        </w:tc>
      </w:tr>
      <w:tr>
        <w:trPr>
          <w:trHeight w:val="479"/>
        </w:trPr>
        <w:tc>
          <w:tcPr>
            <w:tcW w:w="2080" w:type="dxa"/>
            <w:vAlign w:val="bottom"/>
          </w:tcPr>
          <w:p>
            <w:pPr>
              <w:ind w:left="2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0000FF"/>
              </w:rPr>
              <w:t>Section 1350 Certification of Ann E. Thornton</w:t>
            </w:r>
          </w:p>
        </w:tc>
      </w:tr>
      <w:tr>
        <w:trPr>
          <w:trHeight w:val="20"/>
        </w:trPr>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r>
      <w:tr>
        <w:trPr>
          <w:trHeight w:val="479"/>
        </w:trPr>
        <w:tc>
          <w:tcPr>
            <w:tcW w:w="2080" w:type="dxa"/>
            <w:vAlign w:val="bottom"/>
          </w:tcPr>
          <w:p>
            <w:pPr>
              <w:ind w:left="20"/>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w w:val="92"/>
              </w:rPr>
              <w:t>XBRL Instance Document (The instance document does not appear in the interactive data file because its XBRL tags are</w:t>
            </w:r>
          </w:p>
        </w:tc>
      </w:tr>
      <w:tr>
        <w:trPr>
          <w:trHeight w:val="230"/>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500"/>
        </w:trPr>
        <w:tc>
          <w:tcPr>
            <w:tcW w:w="2080" w:type="dxa"/>
            <w:vAlign w:val="bottom"/>
          </w:tcPr>
          <w:p>
            <w:pPr>
              <w:ind w:left="20"/>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XBRL Taxonomy Schema Document</w:t>
            </w:r>
          </w:p>
        </w:tc>
      </w:tr>
      <w:tr>
        <w:trPr>
          <w:trHeight w:val="499"/>
        </w:trPr>
        <w:tc>
          <w:tcPr>
            <w:tcW w:w="2080" w:type="dxa"/>
            <w:vAlign w:val="bottom"/>
          </w:tcPr>
          <w:p>
            <w:pPr>
              <w:ind w:left="20"/>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13"/>
        </w:trPr>
        <w:tc>
          <w:tcPr>
            <w:tcW w:w="2080" w:type="dxa"/>
            <w:vAlign w:val="bottom"/>
          </w:tcPr>
          <w:p>
            <w:pPr>
              <w:ind w:left="20"/>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99"/>
        </w:trPr>
        <w:tc>
          <w:tcPr>
            <w:tcW w:w="2080" w:type="dxa"/>
            <w:vAlign w:val="bottom"/>
          </w:tcPr>
          <w:p>
            <w:pPr>
              <w:ind w:left="20"/>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00"/>
        </w:trPr>
        <w:tc>
          <w:tcPr>
            <w:tcW w:w="2080" w:type="dxa"/>
            <w:vAlign w:val="bottom"/>
          </w:tcPr>
          <w:p>
            <w:pPr>
              <w:ind w:left="20"/>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XBRL Taxonomy Presentation Label Linkbase Document</w:t>
            </w:r>
          </w:p>
        </w:tc>
      </w:tr>
      <w:tr>
        <w:trPr>
          <w:trHeight w:val="513"/>
        </w:trPr>
        <w:tc>
          <w:tcPr>
            <w:tcW w:w="208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Cover Page Inline XBRL data (contained in Exhibit 101)</w:t>
            </w:r>
          </w:p>
        </w:tc>
      </w:tr>
    </w:tbl>
    <w:p>
      <w:pPr>
        <w:spacing w:after="0" w:line="364" w:lineRule="exact"/>
        <w:rPr>
          <w:sz w:val="20"/>
          <w:szCs w:val="20"/>
          <w:color w:val="auto"/>
        </w:rPr>
      </w:pPr>
    </w:p>
    <w:p>
      <w:pPr>
        <w:ind w:left="700" w:hanging="67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BRADY CORPORATION</w:t>
            </w:r>
          </w:p>
        </w:tc>
      </w:tr>
      <w:tr>
        <w:trPr>
          <w:trHeight w:val="513"/>
        </w:trPr>
        <w:tc>
          <w:tcPr>
            <w:tcW w:w="7160" w:type="dxa"/>
            <w:vAlign w:val="bottom"/>
          </w:tcPr>
          <w:p>
            <w:pPr>
              <w:spacing w:after="0"/>
              <w:rPr>
                <w:sz w:val="20"/>
                <w:szCs w:val="20"/>
                <w:color w:val="auto"/>
              </w:rPr>
            </w:pPr>
            <w:r>
              <w:rPr>
                <w:rFonts w:ascii="Arial" w:cs="Arial" w:eastAsia="Arial" w:hAnsi="Arial"/>
                <w:sz w:val="18"/>
                <w:szCs w:val="18"/>
                <w:color w:val="auto"/>
              </w:rPr>
              <w:t>Date: May 18, 2023</w:t>
            </w: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RUSSELL R. SHALLER</w:t>
            </w:r>
          </w:p>
        </w:tc>
      </w:tr>
      <w:tr>
        <w:trPr>
          <w:trHeight w:val="222"/>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Russell R. Shaller</w:t>
            </w:r>
          </w:p>
        </w:tc>
      </w:tr>
      <w:tr>
        <w:trPr>
          <w:trHeight w:val="230"/>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7160" w:type="dxa"/>
            <w:vAlign w:val="bottom"/>
          </w:tcPr>
          <w:p>
            <w:pPr>
              <w:spacing w:after="0"/>
              <w:rPr>
                <w:sz w:val="21"/>
                <w:szCs w:val="21"/>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736"/>
        </w:trPr>
        <w:tc>
          <w:tcPr>
            <w:tcW w:w="7160" w:type="dxa"/>
            <w:vAlign w:val="bottom"/>
          </w:tcPr>
          <w:p>
            <w:pPr>
              <w:spacing w:after="0"/>
              <w:rPr>
                <w:sz w:val="20"/>
                <w:szCs w:val="20"/>
                <w:color w:val="auto"/>
              </w:rPr>
            </w:pPr>
            <w:r>
              <w:rPr>
                <w:rFonts w:ascii="Arial" w:cs="Arial" w:eastAsia="Arial" w:hAnsi="Arial"/>
                <w:sz w:val="18"/>
                <w:szCs w:val="18"/>
                <w:color w:val="auto"/>
              </w:rPr>
              <w:t>Date: May 18, 2023</w:t>
            </w: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ANN E. THORNTON</w:t>
            </w:r>
          </w:p>
        </w:tc>
      </w:tr>
      <w:tr>
        <w:trPr>
          <w:trHeight w:val="229"/>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Ann E. Thornton</w:t>
            </w:r>
          </w:p>
        </w:tc>
      </w:tr>
      <w:tr>
        <w:trPr>
          <w:trHeight w:val="176"/>
        </w:trPr>
        <w:tc>
          <w:tcPr>
            <w:tcW w:w="7160" w:type="dxa"/>
            <w:vAlign w:val="bottom"/>
          </w:tcPr>
          <w:p>
            <w:pPr>
              <w:spacing w:after="0"/>
              <w:rPr>
                <w:sz w:val="15"/>
                <w:szCs w:val="15"/>
                <w:color w:val="auto"/>
              </w:rPr>
            </w:pPr>
          </w:p>
        </w:tc>
        <w:tc>
          <w:tcPr>
            <w:tcW w:w="4060" w:type="dxa"/>
            <w:vAlign w:val="bottom"/>
          </w:tcPr>
          <w:p>
            <w:pPr>
              <w:ind w:left="300"/>
              <w:spacing w:after="0" w:line="176" w:lineRule="exact"/>
              <w:rPr>
                <w:sz w:val="20"/>
                <w:szCs w:val="20"/>
                <w:color w:val="auto"/>
              </w:rPr>
            </w:pPr>
            <w:r>
              <w:rPr>
                <w:rFonts w:ascii="Arial" w:cs="Arial" w:eastAsia="Arial" w:hAnsi="Arial"/>
                <w:sz w:val="18"/>
                <w:szCs w:val="18"/>
                <w:color w:val="auto"/>
                <w:w w:val="98"/>
              </w:rPr>
              <w:t>Chief Financial Officer, Chief Accounting Officer</w:t>
            </w:r>
          </w:p>
        </w:tc>
      </w:tr>
      <w:tr>
        <w:trPr>
          <w:trHeight w:val="230"/>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and Treasurer</w:t>
            </w:r>
          </w:p>
        </w:tc>
      </w:tr>
      <w:tr>
        <w:trPr>
          <w:trHeight w:val="188"/>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Arial" w:cs="Arial" w:eastAsia="Arial" w:hAnsi="Arial"/>
                <w:sz w:val="18"/>
                <w:szCs w:val="18"/>
                <w:color w:val="auto"/>
              </w:rPr>
              <w:t>(Principal Financial Officer and Principal</w:t>
            </w:r>
          </w:p>
        </w:tc>
      </w:tr>
      <w:tr>
        <w:trPr>
          <w:trHeight w:val="230"/>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Russell R. Shaller, certify that:</w:t>
      </w:r>
    </w:p>
    <w:p>
      <w:pPr>
        <w:spacing w:after="0" w:line="104" w:lineRule="exact"/>
        <w:rPr>
          <w:sz w:val="20"/>
          <w:szCs w:val="20"/>
          <w:color w:val="auto"/>
        </w:rPr>
      </w:pPr>
    </w:p>
    <w:p>
      <w:pPr>
        <w:ind w:left="700" w:hanging="24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4"/>
        <w:spacing w:after="0" w:line="342"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4"/>
        <w:spacing w:after="0" w:line="277" w:lineRule="auto"/>
        <w:tabs>
          <w:tab w:leader="none" w:pos="70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4"/>
        <w:spacing w:after="0" w:line="308" w:lineRule="auto"/>
        <w:tabs>
          <w:tab w:leader="none" w:pos="702" w:val="left"/>
        </w:tabs>
        <w:numPr>
          <w:ilvl w:val="0"/>
          <w:numId w:val="8"/>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4"/>
        <w:spacing w:after="0" w:line="263" w:lineRule="auto"/>
        <w:tabs>
          <w:tab w:leader="none" w:pos="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4"/>
        <w:spacing w:after="0" w:line="263" w:lineRule="auto"/>
        <w:tabs>
          <w:tab w:leader="none" w:pos="679"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firstLine="454"/>
        <w:spacing w:after="0" w:line="277" w:lineRule="auto"/>
        <w:tabs>
          <w:tab w:leader="none" w:pos="678"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4"/>
        <w:spacing w:after="0" w:line="263" w:lineRule="auto"/>
        <w:tabs>
          <w:tab w:leader="none" w:pos="658"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4"/>
        <w:spacing w:after="0" w:line="277" w:lineRule="auto"/>
        <w:tabs>
          <w:tab w:leader="none" w:pos="7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firstLine="454"/>
        <w:spacing w:after="0" w:line="277"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4"/>
        <w:spacing w:after="0" w:line="277" w:lineRule="auto"/>
        <w:tabs>
          <w:tab w:leader="none" w:pos="6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18, 2023</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Ann E. Thornton, certify that:</w:t>
      </w:r>
    </w:p>
    <w:p>
      <w:pPr>
        <w:spacing w:after="0" w:line="104" w:lineRule="exact"/>
        <w:rPr>
          <w:sz w:val="20"/>
          <w:szCs w:val="20"/>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4"/>
        <w:spacing w:after="0" w:line="342"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4"/>
        <w:spacing w:after="0" w:line="277" w:lineRule="auto"/>
        <w:tabs>
          <w:tab w:leader="none" w:pos="7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4"/>
        <w:spacing w:after="0" w:line="308" w:lineRule="auto"/>
        <w:tabs>
          <w:tab w:leader="none" w:pos="702"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4"/>
        <w:spacing w:after="0" w:line="263"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4"/>
        <w:spacing w:after="0" w:line="263" w:lineRule="auto"/>
        <w:tabs>
          <w:tab w:leader="none" w:pos="6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firstLine="454"/>
        <w:spacing w:after="0" w:line="277" w:lineRule="auto"/>
        <w:tabs>
          <w:tab w:leader="none" w:pos="6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4"/>
        <w:spacing w:after="0" w:line="263" w:lineRule="auto"/>
        <w:tabs>
          <w:tab w:leader="none" w:pos="6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4"/>
        <w:spacing w:after="0" w:line="277" w:lineRule="auto"/>
        <w:tabs>
          <w:tab w:leader="none" w:pos="7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firstLine="454"/>
        <w:spacing w:after="0" w:line="277"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4"/>
        <w:spacing w:after="0" w:line="277" w:lineRule="auto"/>
        <w:tabs>
          <w:tab w:leader="none" w:pos="6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18, 2023</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Chief Accounting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4"/>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2023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4"/>
        <w:spacing w:after="0" w:line="277" w:lineRule="auto"/>
        <w:tabs>
          <w:tab w:leader="none" w:pos="7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18,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4"/>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2023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4"/>
        <w:spacing w:after="0" w:line="277" w:lineRule="auto"/>
        <w:tabs>
          <w:tab w:leader="none" w:pos="7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18,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Chief Accounting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4"/>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36" Type="http://schemas.openxmlformats.org/officeDocument/2006/relationships/hyperlink" Target="https://www.sec.gov/Archives/edgar/data/746598/000074659823000027/exhibit101completeandperma.htm" TargetMode="External"/><Relationship Id="rId37" Type="http://schemas.openxmlformats.org/officeDocument/2006/relationships/hyperlink" Target="https://www.sec.gov/Archives/edgar/data/746598/000074659823000027/exhibit102offerletterannth.htm" TargetMode="External"/><Relationship Id="rId38" Type="http://schemas.openxmlformats.org/officeDocument/2006/relationships/hyperlink" Target="https://www.sec.gov/Archives/edgar/data/746598/000074659823000027/exhibit103changeofcontro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2023-05-18T06:21:30Z</dcterms:created>
  <dcterms:modified xsi:type="dcterms:W3CDTF">2023-05-18T06:21:30Z</dcterms:modified>
</cp:coreProperties>
</file>