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64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6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167640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6820" w:type="dxa"/>
            <w:vAlign w:val="bottom"/>
          </w:tcPr>
          <w:p>
            <w:pPr>
              <w:jc w:val="center"/>
              <w:ind w:right="2780"/>
              <w:spacing w:after="0"/>
              <w:rPr>
                <w:sz w:val="20"/>
                <w:szCs w:val="20"/>
                <w:color w:val="auto"/>
              </w:rPr>
            </w:pPr>
            <w:r>
              <w:rPr>
                <w:rFonts w:ascii="Arial" w:cs="Arial" w:eastAsia="Arial" w:hAnsi="Arial"/>
                <w:sz w:val="18"/>
                <w:szCs w:val="18"/>
                <w:b w:val="1"/>
                <w:bCs w:val="1"/>
                <w:color w:val="auto"/>
                <w:w w:val="88"/>
              </w:rPr>
              <w:t>Wisconsin</w:t>
            </w:r>
          </w:p>
        </w:tc>
        <w:tc>
          <w:tcPr>
            <w:tcW w:w="130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820" w:type="dxa"/>
            <w:vAlign w:val="bottom"/>
          </w:tcPr>
          <w:p>
            <w:pPr>
              <w:jc w:val="center"/>
              <w:ind w:right="2780"/>
              <w:spacing w:after="0"/>
              <w:rPr>
                <w:sz w:val="20"/>
                <w:szCs w:val="20"/>
                <w:color w:val="auto"/>
              </w:rPr>
            </w:pPr>
            <w:r>
              <w:rPr>
                <w:rFonts w:ascii="Arial" w:cs="Arial" w:eastAsia="Arial" w:hAnsi="Arial"/>
                <w:sz w:val="14"/>
                <w:szCs w:val="14"/>
                <w:b w:val="1"/>
                <w:bCs w:val="1"/>
                <w:color w:val="auto"/>
                <w:w w:val="93"/>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20" w:type="dxa"/>
            <w:vAlign w:val="bottom"/>
          </w:tcPr>
          <w:p>
            <w:pPr>
              <w:jc w:val="center"/>
              <w:ind w:right="2780"/>
              <w:spacing w:after="0"/>
              <w:rPr>
                <w:sz w:val="20"/>
                <w:szCs w:val="20"/>
                <w:color w:val="auto"/>
              </w:rPr>
            </w:pPr>
            <w:r>
              <w:rPr>
                <w:rFonts w:ascii="Arial" w:cs="Arial" w:eastAsia="Arial" w:hAnsi="Arial"/>
                <w:sz w:val="14"/>
                <w:szCs w:val="14"/>
                <w:b w:val="1"/>
                <w:bCs w:val="1"/>
                <w:color w:val="auto"/>
                <w:w w:val="94"/>
              </w:rPr>
              <w:t>incorporation or organization)</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Identification No.)</w:t>
            </w:r>
          </w:p>
        </w:tc>
      </w:tr>
      <w:tr>
        <w:trPr>
          <w:trHeight w:val="579"/>
        </w:trPr>
        <w:tc>
          <w:tcPr>
            <w:tcW w:w="6820" w:type="dxa"/>
            <w:vAlign w:val="bottom"/>
          </w:tcPr>
          <w:p>
            <w:pPr>
              <w:jc w:val="center"/>
              <w:ind w:right="276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820" w:type="dxa"/>
            <w:vAlign w:val="bottom"/>
          </w:tcPr>
          <w:p>
            <w:pPr>
              <w:jc w:val="center"/>
              <w:ind w:right="27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820" w:type="dxa"/>
            <w:vAlign w:val="bottom"/>
          </w:tcPr>
          <w:p>
            <w:pPr>
              <w:jc w:val="right"/>
              <w:ind w:right="1140"/>
              <w:spacing w:after="0"/>
              <w:rPr>
                <w:sz w:val="20"/>
                <w:szCs w:val="20"/>
                <w:color w:val="auto"/>
              </w:rPr>
            </w:pPr>
            <w:r>
              <w:rPr>
                <w:rFonts w:ascii="Arial" w:cs="Arial" w:eastAsia="Arial" w:hAnsi="Arial"/>
                <w:sz w:val="18"/>
                <w:szCs w:val="18"/>
                <w:b w:val="1"/>
                <w:bCs w:val="1"/>
                <w:color w:val="auto"/>
              </w:rPr>
              <w:t>(414) 358-6600</w:t>
            </w:r>
          </w:p>
        </w:tc>
        <w:tc>
          <w:tcPr>
            <w:tcW w:w="1300" w:type="dxa"/>
            <w:vAlign w:val="bottom"/>
          </w:tcPr>
          <w:p>
            <w:pPr>
              <w:spacing w:after="0"/>
              <w:rPr>
                <w:sz w:val="24"/>
                <w:szCs w:val="24"/>
                <w:color w:val="auto"/>
              </w:rPr>
            </w:pPr>
          </w:p>
        </w:tc>
      </w:tr>
      <w:tr>
        <w:trPr>
          <w:trHeight w:val="191"/>
        </w:trPr>
        <w:tc>
          <w:tcPr>
            <w:tcW w:w="6820" w:type="dxa"/>
            <w:vAlign w:val="bottom"/>
          </w:tcPr>
          <w:p>
            <w:pPr>
              <w:jc w:val="center"/>
              <w:ind w:left="31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179070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4">
            <w:col w:w="1380" w:space="720"/>
            <w:col w:w="5340" w:space="720"/>
            <w:col w:w="1640" w:space="720"/>
            <w:col w:w="900"/>
          </w:cols>
          <w:pgMar w:left="240" w:top="229" w:right="239" w:bottom="1440" w:gutter="0" w:footer="0" w:header="0"/>
          <w:type w:val="continuous"/>
        </w:sectPr>
      </w:pPr>
    </w:p>
    <w:p>
      <w:pPr>
        <w:spacing w:after="0" w:line="204"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760"/>
        <w:spacing w:after="0" w:line="14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380" w:space="720"/>
            <w:col w:w="5340" w:space="720"/>
            <w:col w:w="1640" w:space="720"/>
            <w:col w:w="90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0" w:lineRule="exact"/>
        <w:rPr>
          <w:sz w:val="24"/>
          <w:szCs w:val="24"/>
          <w:color w:val="auto"/>
        </w:rPr>
      </w:pPr>
    </w:p>
    <w:p>
      <w:pPr>
        <w:sectPr>
          <w:pgSz w:w="11900" w:h="16838" w:orient="portrait"/>
          <w:cols w:equalWidth="0" w:num="4">
            <w:col w:w="6540" w:space="140"/>
            <w:col w:w="220" w:space="60"/>
            <w:col w:w="140" w:space="140"/>
            <w:col w:w="418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December 5, 2013, there were 48,610,291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FF"/>
            </w:tcBorders>
            <w:gridSpan w:val="8"/>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Earnings</w:t>
              </w:r>
            </w:hyperlink>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2.</w:t>
              </w:r>
            </w:hyperlink>
          </w:p>
        </w:tc>
        <w:tc>
          <w:tcPr>
            <w:tcW w:w="9240" w:type="dxa"/>
            <w:vAlign w:val="bottom"/>
            <w:gridSpan w:val="14"/>
          </w:tcPr>
          <w:p>
            <w:pPr>
              <w:ind w:left="20"/>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3.</w:t>
              </w:r>
            </w:hyperlink>
          </w:p>
        </w:tc>
        <w:tc>
          <w:tcPr>
            <w:tcW w:w="6480" w:type="dxa"/>
            <w:vAlign w:val="bottom"/>
            <w:gridSpan w:val="13"/>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32">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6.</w:t>
              </w:r>
            </w:hyperlink>
          </w:p>
        </w:tc>
        <w:tc>
          <w:tcPr>
            <w:tcW w:w="1340" w:type="dxa"/>
            <w:vAlign w:val="bottom"/>
            <w:gridSpan w:val="3"/>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October 31, 2013</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91,058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184,099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169,261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69,085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64,544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14,776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104,944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94,707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132,616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119,864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37,600</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550,199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512,490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624,165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617,236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156,851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10,469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8,623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21,325</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7,978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7,861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91,471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270,371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266,787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11,842</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388,006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377,961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263,112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255,803</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124,894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122,158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center"/>
              <w:ind w:right="939"/>
              <w:spacing w:after="0"/>
              <w:rPr>
                <w:sz w:val="20"/>
                <w:szCs w:val="20"/>
                <w:color w:val="auto"/>
              </w:rPr>
            </w:pPr>
            <w:r>
              <w:rPr>
                <w:rFonts w:ascii="Arial" w:cs="Arial" w:eastAsia="Arial" w:hAnsi="Arial"/>
                <w:sz w:val="16"/>
                <w:szCs w:val="16"/>
                <w:b w:val="1"/>
                <w:bCs w:val="1"/>
                <w:color w:val="auto"/>
              </w:rPr>
              <w:t>LIABILITIES AND STOCKHOLDERS’ INVESTMENT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7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Notes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26,442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50,613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82,519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47,968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42,413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Liabilities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34,583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8,968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8,243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39,531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36,806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329,189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323,497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204,413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201,150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84,784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83,239</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618,386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607,886</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48,594,617 and 48,408,544 shares,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306,191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Earnings retained in the business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552,291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538,512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stock—2,435,203 and 2,626,276 shares, respectively of Class A nonvoting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common stock, at cost</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(65,255)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(69,797)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70,132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56,063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865,974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830,797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4"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3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4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Three months ended October 31,</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305,974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270,866</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149,029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121,342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156,945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149,524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112,687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99,009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128,114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106,896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42,628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Other income and (expense):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25,872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38,862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8,449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13,077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17,423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25,785</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Earnings from discontinued operations, net of income taxes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6,505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23,928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27,188</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Earnings from discontinued operations per Class A Nonvoting Common Share: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discontinued operations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0.173</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51,039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52,419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51,312</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16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investment hedge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intercompany loan translation adjustments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loss recognized in other comprehensive income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Reclassification adjustment for gains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Pension and other post-retirement benefits: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Actuarial gain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Prior service credit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before tax</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benefit related to items of other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 October 31,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23,928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27,188</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16,535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18,493</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(5,301)</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(1,594)</w:t>
            </w:r>
          </w:p>
        </w:tc>
      </w:tr>
    </w:tbl>
    <w:p>
      <w:pPr>
        <w:spacing w:after="0" w:line="334" w:lineRule="exact"/>
        <w:rPr>
          <w:sz w:val="20"/>
          <w:szCs w:val="20"/>
          <w:color w:val="auto"/>
        </w:rPr>
      </w:pPr>
    </w:p>
    <w:p>
      <w:pPr>
        <w:ind w:left="2680" w:hanging="1518"/>
        <w:spacing w:after="0"/>
        <w:tabs>
          <w:tab w:leader="none" w:pos="2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(557)</w:t>
      </w:r>
    </w:p>
    <w:p>
      <w:pPr>
        <w:spacing w:after="0" w:line="86" w:lineRule="exact"/>
        <w:rPr>
          <w:sz w:val="20"/>
          <w:szCs w:val="20"/>
          <w:color w:val="auto"/>
        </w:rPr>
      </w:pPr>
    </w:p>
    <w:p>
      <w:pPr>
        <w:ind w:left="2680" w:hanging="1518"/>
        <w:spacing w:after="0"/>
        <w:tabs>
          <w:tab w:leader="none" w:pos="2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(467)</w:t>
      </w:r>
    </w:p>
    <w:p>
      <w:pPr>
        <w:spacing w:after="0" w:line="86" w:lineRule="exact"/>
        <w:rPr>
          <w:sz w:val="20"/>
          <w:szCs w:val="20"/>
          <w:color w:val="auto"/>
        </w:rPr>
      </w:pPr>
    </w:p>
    <w:p>
      <w:pPr>
        <w:ind w:left="2560" w:hanging="1479"/>
        <w:spacing w:after="0"/>
        <w:tabs>
          <w:tab w:leader="none" w:pos="2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(1,024)</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11,427</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10,512</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2,255</w:t>
            </w:r>
          </w:p>
        </w:tc>
      </w:tr>
    </w:tbl>
    <w:p>
      <w:pPr>
        <w:spacing w:after="0" w:line="13"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7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14,069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37,997</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39,955</w:t>
            </w:r>
          </w:p>
        </w:tc>
      </w:tr>
      <w:tr>
        <w:trPr>
          <w:trHeight w:val="33"/>
        </w:trPr>
        <w:tc>
          <w:tcPr>
            <w:tcW w:w="8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5"/>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834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w w:val="97"/>
              </w:rPr>
              <w:t>Three Months Ended October 31,</w:t>
            </w: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3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Net earnings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23,928</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27,188</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10,878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10,675</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Non-cash portion of 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4,399</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Loss on sales of businesses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3,138</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24"/>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(18,426)</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(8,141)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(2,710)</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25,903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6,752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spacing w:after="0"/>
              <w:rPr>
                <w:sz w:val="23"/>
                <w:szCs w:val="23"/>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(2,548)</w:t>
            </w: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25,593</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20,218</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(9,086)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(6,177)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Sales of businesses, net of cash retained</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10,178</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3,931</w:t>
            </w:r>
          </w:p>
        </w:tc>
      </w:tr>
      <w:tr>
        <w:trPr>
          <w:trHeight w:val="224"/>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Payment of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(9,705)</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5,209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1,684</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Purchase of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(5,121)</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Repayment of borrowing on notes payable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(24,000)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Income tax on the exercise of stock options and deferred compensation distributions,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(29,659)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(12,741)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4,001</w:t>
            </w:r>
          </w:p>
        </w:tc>
      </w:tr>
      <w:tr>
        <w:trPr>
          <w:trHeight w:val="21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15,409</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305,900</w:t>
            </w:r>
          </w:p>
        </w:tc>
      </w:tr>
      <w:tr>
        <w:trPr>
          <w:trHeight w:val="21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81,869</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321,309</w:t>
            </w:r>
          </w:p>
        </w:tc>
      </w:tr>
      <w:tr>
        <w:trPr>
          <w:trHeight w:val="73"/>
        </w:trPr>
        <w:tc>
          <w:tcPr>
            <w:tcW w:w="1020" w:type="dxa"/>
            <w:vAlign w:val="bottom"/>
            <w:tcBorders>
              <w:bottom w:val="single" w:sz="8" w:color="CCEEFF"/>
            </w:tcBorders>
          </w:tcPr>
          <w:p>
            <w:pPr>
              <w:spacing w:after="0"/>
              <w:rPr>
                <w:sz w:val="6"/>
                <w:szCs w:val="6"/>
                <w:color w:val="auto"/>
              </w:rPr>
            </w:pPr>
          </w:p>
        </w:tc>
        <w:tc>
          <w:tcPr>
            <w:tcW w:w="73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77"/>
        </w:trPr>
        <w:tc>
          <w:tcPr>
            <w:tcW w:w="8340" w:type="dxa"/>
            <w:vAlign w:val="bottom"/>
            <w:gridSpan w:val="2"/>
            <w:shd w:val="clear" w:color="auto" w:fill="CCEEFF"/>
          </w:tcPr>
          <w:p>
            <w:pPr>
              <w:ind w:left="40"/>
              <w:spacing w:after="0" w:line="177" w:lineRule="exact"/>
              <w:rPr>
                <w:sz w:val="20"/>
                <w:szCs w:val="20"/>
                <w:color w:val="auto"/>
              </w:rPr>
            </w:pPr>
            <w:r>
              <w:rPr>
                <w:rFonts w:ascii="Arial" w:cs="Arial" w:eastAsia="Arial" w:hAnsi="Arial"/>
                <w:sz w:val="16"/>
                <w:szCs w:val="16"/>
                <w:color w:val="auto"/>
              </w:rPr>
              <w:t>Supplemental disclosures of cash flow information: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3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24"/>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Cash paid during the period for:</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Interest, net of capitalized interest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4,953</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Income taxes, net of refunds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10,006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12,199</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2013 and July 31, 2013, and its results of operations, comprehensive income, and cash flows for the three months ended October 31, 2013 and 2012. The condensed consolidated balance sheet as of July 31, 2013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2013.</w:t>
      </w:r>
    </w:p>
    <w:p>
      <w:pPr>
        <w:spacing w:after="0" w:line="13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announced its plan to divest its Asia Die-Cut business in the third quarter of fiscal 2013, and incorporated its Balkhausen business into that plan during the fourth quarter of fiscal 2013. As a result, the assets and liabilities have been reclassified in accordance with the authoritative literature on assets held for sale in the condensed consolidated balance sheets as of October 31, 2013 and July 31, 2013. The results of operations of the Company's Asia Die-Cut and Balkhausen businesses have been reported as discontinued operations within the condensed consolidated statements of earnings for all periods presented. In addition, the Brady Medical and Varitronics businesses that were divested in fiscal 2013 are included within discontinued operations. In accordance with the authoritative literature, the Company has elected to not separately disclose the cash flows or other comprehensive income related to the Asia Die-Cut and Balkhausen discontinued operations. Refer to Note K, "Discontinued Operations" for further discussion regarding the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three months ended October 31, 2013,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2013</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517,030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100,206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617,236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Purchase accounting 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Translation adjustments</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7,684</w:t>
            </w:r>
          </w:p>
        </w:tc>
        <w:tc>
          <w:tcPr>
            <w:tcW w:w="0" w:type="dxa"/>
            <w:vAlign w:val="bottom"/>
          </w:tcPr>
          <w:p>
            <w:pPr>
              <w:spacing w:after="0"/>
              <w:rPr>
                <w:sz w:val="1"/>
                <w:szCs w:val="1"/>
                <w:color w:val="auto"/>
              </w:rPr>
            </w:pPr>
          </w:p>
        </w:tc>
      </w:tr>
      <w:tr>
        <w:trPr>
          <w:trHeight w:val="217"/>
        </w:trPr>
        <w:tc>
          <w:tcPr>
            <w:tcW w:w="4400" w:type="dxa"/>
            <w:vAlign w:val="bottom"/>
          </w:tcPr>
          <w:p>
            <w:pPr>
              <w:ind w:left="40"/>
              <w:spacing w:after="0"/>
              <w:rPr>
                <w:sz w:val="20"/>
                <w:szCs w:val="20"/>
                <w:color w:val="auto"/>
              </w:rPr>
            </w:pPr>
            <w:r>
              <w:rPr>
                <w:rFonts w:ascii="Arial" w:cs="Arial" w:eastAsia="Arial" w:hAnsi="Arial"/>
                <w:sz w:val="16"/>
                <w:szCs w:val="16"/>
                <w:color w:val="auto"/>
              </w:rPr>
              <w:t>Balance as of October 31, 2013</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520,231</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103,934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624,165</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Goodwill increased $6,929 during the three months ended October 31, 2013. The increase was due to the positive effects of foreign translation of $7,684, partially offset by purchase accounting adjustments of $755 related to the filing of the final tax return and other deferred tax adjustments for the fiscal 2013 acquisition of Precision Dynamics Corporation ("PDC").</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Goodwill at October 31, 2013 included $18,225 and $172,280 of accumulated impairment losses within the IDS and WPS segments, respectively, for a total of $190,505.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October 31, 2013</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2013</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11,125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(9,737)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1,388</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11,053</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(9,597)</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15,809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6,602</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15,289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6,891</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264,430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(151,475)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112,955</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261,076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(144,620)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116,456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31,238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31,238</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31,321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31,321</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337,865</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(185,053)</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152,812</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333,681</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(176,830)</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156,851</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carrying amount of goodwill and other intangible assets in the condensed consolidated balance sheets at October 31, 2013, differs from the value assigned to them in the original allocation of purchase price due to the effect of currency fluctuations between the date of acquisition and October 31, 2013.</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expense on intangible assets was $5,077 and $4,147 for the three months ended October 31, 2013 and 2012, respectively. The amortization over each of the next five fiscal years is projected to be $19,629, $18,800, $16,598, $13,357 and $12,007 for the fiscal years ending July 31, 2014, 2015, 2016, 2017 and 2018,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Income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Comprehensive income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illustrates the changes in the balances of each component of accumulated other comprehensive income for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unrealized gain (loss) on cash flow hedges and the unamortized gain on postretirement plans are presented net of tax:</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Unamortized</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Foreign</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Accumulated</w:t>
            </w:r>
          </w:p>
        </w:tc>
      </w:tr>
      <w:tr>
        <w:trPr>
          <w:trHeight w:val="203"/>
        </w:trPr>
        <w:tc>
          <w:tcPr>
            <w:tcW w:w="4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Unrealized gain</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gain on</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currency</w:t>
            </w: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other</w:t>
            </w:r>
          </w:p>
        </w:tc>
      </w:tr>
      <w:tr>
        <w:trPr>
          <w:trHeight w:val="203"/>
        </w:trPr>
        <w:tc>
          <w:tcPr>
            <w:tcW w:w="4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(loss) on cash</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postretirement</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translation</w:t>
            </w: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comprehensive</w:t>
            </w:r>
          </w:p>
        </w:tc>
      </w:tr>
      <w:tr>
        <w:trPr>
          <w:trHeight w:val="206"/>
        </w:trPr>
        <w:tc>
          <w:tcPr>
            <w:tcW w:w="4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flow hedges</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plans</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adjustments</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income</w:t>
            </w:r>
          </w:p>
        </w:tc>
      </w:tr>
      <w:tr>
        <w:trPr>
          <w:trHeight w:val="33"/>
        </w:trPr>
        <w:tc>
          <w:tcPr>
            <w:tcW w:w="4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56,063</w:t>
            </w:r>
          </w:p>
        </w:tc>
      </w:tr>
      <w:tr>
        <w:trPr>
          <w:trHeight w:val="20"/>
        </w:trPr>
        <w:tc>
          <w:tcPr>
            <w:tcW w:w="4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44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14,273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14,241</w:t>
            </w:r>
          </w:p>
        </w:tc>
      </w:tr>
      <w:tr>
        <w:trPr>
          <w:trHeight w:val="33"/>
        </w:trPr>
        <w:tc>
          <w:tcPr>
            <w:tcW w:w="4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44"/>
        </w:trPr>
        <w:tc>
          <w:tcPr>
            <w:tcW w:w="4420" w:type="dxa"/>
            <w:vAlign w:val="bottom"/>
          </w:tcPr>
          <w:p>
            <w:pPr>
              <w:ind w:left="40"/>
              <w:spacing w:after="0"/>
              <w:rPr>
                <w:sz w:val="20"/>
                <w:szCs w:val="20"/>
                <w:color w:val="auto"/>
              </w:rPr>
            </w:pPr>
            <w:r>
              <w:rPr>
                <w:rFonts w:ascii="Arial" w:cs="Arial" w:eastAsia="Arial" w:hAnsi="Arial"/>
                <w:sz w:val="16"/>
                <w:szCs w:val="16"/>
                <w:color w:val="auto"/>
              </w:rPr>
              <w:t>Ending balance, October 31, 2013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68,384</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70,132</w:t>
            </w:r>
          </w:p>
        </w:tc>
      </w:tr>
      <w:tr>
        <w:trPr>
          <w:trHeight w:val="20"/>
        </w:trPr>
        <w:tc>
          <w:tcPr>
            <w:tcW w:w="4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increase in accumulated other comprehensive income for the three months ended October 31, 2013 compared to July 31, 2013 was primarily due to the appreciation of the U.S. dollar against other currencies. The foreign currency translation adjustments column in the table above includes the impact of foreign currency translation on intercompany notes and net investment hedges, net of tax. Of the total $172 in amounts reclassified from accumulated other comprehensive income, the $55 gain on cash flow hedges was reclassified into cost of products sold and the $117 gain on postretirement plans was reclassified into SG&amp;A on the condensed consolidated statement of earnings for the three months ended October 31, 2013.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illustrates the income tax benefit (expense) on the components of other comprehensive income for the three months ended October 31, 2013 and 2012: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1"/>
              </w:rPr>
              <w:t>Three months ended October 31,</w:t>
            </w:r>
          </w:p>
        </w:tc>
      </w:tr>
      <w:tr>
        <w:trPr>
          <w:trHeight w:val="33"/>
        </w:trPr>
        <w:tc>
          <w:tcPr>
            <w:tcW w:w="6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33"/>
        </w:trPr>
        <w:tc>
          <w:tcPr>
            <w:tcW w:w="6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 related to items of 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1,314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1,953</w:t>
            </w:r>
          </w:p>
        </w:tc>
      </w:tr>
      <w:tr>
        <w:trPr>
          <w:trHeight w:val="33"/>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33"/>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tax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44"/>
        </w:trPr>
        <w:tc>
          <w:tcPr>
            <w:tcW w:w="6700" w:type="dxa"/>
            <w:vAlign w:val="bottom"/>
          </w:tcPr>
          <w:p>
            <w:pPr>
              <w:ind w:left="40"/>
              <w:spacing w:after="0"/>
              <w:rPr>
                <w:sz w:val="20"/>
                <w:szCs w:val="20"/>
                <w:color w:val="auto"/>
              </w:rPr>
            </w:pPr>
            <w:r>
              <w:rPr>
                <w:rFonts w:ascii="Arial" w:cs="Arial" w:eastAsia="Arial" w:hAnsi="Arial"/>
                <w:sz w:val="16"/>
                <w:szCs w:val="16"/>
                <w:color w:val="auto"/>
              </w:rPr>
              <w:t>Income tax benefit related to items of other 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2,255</w:t>
            </w:r>
          </w:p>
        </w:tc>
      </w:tr>
      <w:tr>
        <w:trPr>
          <w:trHeight w:val="20"/>
        </w:trPr>
        <w:tc>
          <w:tcPr>
            <w:tcW w:w="6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120" w:type="dxa"/>
            <w:vAlign w:val="bottom"/>
            <w:gridSpan w:val="4"/>
          </w:tcPr>
          <w:p>
            <w:pPr>
              <w:ind w:left="760"/>
              <w:spacing w:after="0"/>
              <w:rPr>
                <w:sz w:val="20"/>
                <w:szCs w:val="20"/>
                <w:color w:val="auto"/>
              </w:rPr>
            </w:pPr>
            <w:r>
              <w:rPr>
                <w:rFonts w:ascii="Arial" w:cs="Arial" w:eastAsia="Arial" w:hAnsi="Arial"/>
                <w:sz w:val="16"/>
                <w:szCs w:val="16"/>
                <w:b w:val="1"/>
                <w:bCs w:val="1"/>
                <w:color w:val="auto"/>
                <w:w w:val="93"/>
              </w:rPr>
              <w:t>Three months ended October 31,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tcPr>
          <w:p>
            <w:pPr>
              <w:spacing w:after="0"/>
              <w:rPr>
                <w:sz w:val="20"/>
                <w:szCs w:val="20"/>
                <w:color w:val="auto"/>
              </w:rPr>
            </w:pPr>
          </w:p>
        </w:tc>
        <w:tc>
          <w:tcPr>
            <w:tcW w:w="1180" w:type="dxa"/>
            <w:vAlign w:val="bottom"/>
          </w:tcPr>
          <w:p>
            <w:pPr>
              <w:ind w:left="760"/>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Earnings from continuing operations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17,423</w:t>
            </w:r>
          </w:p>
        </w:tc>
        <w:tc>
          <w:tcPr>
            <w:tcW w:w="120" w:type="dxa"/>
            <w:vAlign w:val="bottom"/>
          </w:tcPr>
          <w:p>
            <w:pPr>
              <w:spacing w:after="0"/>
              <w:rPr>
                <w:sz w:val="20"/>
                <w:szCs w:val="20"/>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25,785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Restricted stock dividends</w:t>
            </w:r>
          </w:p>
        </w:tc>
        <w:tc>
          <w:tcPr>
            <w:tcW w:w="1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5"/>
              </w:rPr>
              <w:t>Numerator for basic and diluted earnings from continuing operations per Class A Nonvoting Common Share</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17,378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25,726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Less: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1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Numerator for basic and diluted earnings from continuing operations per Class B Voting Common Share</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16,559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24,925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Denominator: (in thousands)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Denominator for basic earnings from continuing operations per share for both Class A and Class B</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52,071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51,039</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Plus: Effect of dilutive stock options</w:t>
            </w:r>
          </w:p>
        </w:tc>
        <w:tc>
          <w:tcPr>
            <w:tcW w:w="11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Denominator for diluted earnings from continuing operations per share for both Class A and Class B</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52,419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51,312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6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Diluted</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Basic</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Earnings from discontinued operations per Class A Nonvoting Common Share:</w:t>
            </w: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Diluted</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0"/>
                <w:szCs w:val="20"/>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discontinued operations per Class B Voting Common Share:</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Basic</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Diluted</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20"/>
                <w:szCs w:val="20"/>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6"/>
                <w:szCs w:val="16"/>
                <w:color w:val="auto"/>
              </w:rPr>
              <w:t>Basic</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0"/>
                <w:szCs w:val="20"/>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33"/>
        </w:trPr>
        <w:tc>
          <w:tcPr>
            <w:tcW w:w="76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Options to purchase approximately 2,505,000 and 5,072,000 shares of Class A Nonvoting Common Stock for the three months ended October 31, 2013 and 2012, respectively, were not included in the computation of diluted net earnings per share because the option exercise price was greater than the average market price of the common shares and, therefore, the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Effective May 1, 2013, the Company is organized and managed on a global basis within two business platforms: Identification Solutions and Workplace Safety, which are the reportable segments.</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 Intersegment sales and transfers are recorded at cost plus a markup that reasonably approximates fair value.</w:t>
      </w:r>
    </w:p>
    <w:p>
      <w:pPr>
        <w:spacing w:after="0" w:line="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Each business platform has a President that reports directly to the Company's chief operating decision maker, its Interim Chief Executive Officer and Chief Financial Officer. Each platform has its own distinct operations, maintains its own financial reports and is evaluated based on global segment profit. The Company has determined that these business platforms comprise its operating and reportable segments based on the information used by the Interim Chief Executive Officer and Chief Financial Officer to allocate resources and assess performance.</w:t>
      </w:r>
    </w:p>
    <w:p>
      <w:pPr>
        <w:spacing w:after="0" w:line="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following is a summary of segment information for the three months ended October 31, 2013 and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2012</w:t>
            </w:r>
          </w:p>
        </w:tc>
      </w:tr>
      <w:tr>
        <w:trPr>
          <w:trHeight w:val="33"/>
        </w:trPr>
        <w:tc>
          <w:tcPr>
            <w:tcW w:w="6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207,990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161,244</w:t>
            </w:r>
          </w:p>
        </w:tc>
      </w:tr>
      <w:tr>
        <w:trPr>
          <w:trHeight w:val="33"/>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109,622</w:t>
            </w:r>
          </w:p>
        </w:tc>
      </w:tr>
      <w:tr>
        <w:trPr>
          <w:trHeight w:val="217"/>
        </w:trPr>
        <w:tc>
          <w:tcPr>
            <w:tcW w:w="65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305,974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270,866</w:t>
            </w:r>
          </w:p>
        </w:tc>
      </w:tr>
      <w:tr>
        <w:trPr>
          <w:trHeight w:val="73"/>
        </w:trPr>
        <w:tc>
          <w:tcPr>
            <w:tcW w:w="65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77"/>
        </w:trPr>
        <w:tc>
          <w:tcPr>
            <w:tcW w:w="65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74"/>
        </w:trPr>
        <w:tc>
          <w:tcPr>
            <w:tcW w:w="65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37"/>
        </w:trPr>
        <w:tc>
          <w:tcPr>
            <w:tcW w:w="65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50,110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43,973</w:t>
            </w:r>
          </w:p>
        </w:tc>
      </w:tr>
      <w:tr>
        <w:trPr>
          <w:trHeight w:val="33"/>
        </w:trPr>
        <w:tc>
          <w:tcPr>
            <w:tcW w:w="6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27,829</w:t>
            </w:r>
          </w:p>
        </w:tc>
      </w:tr>
      <w:tr>
        <w:trPr>
          <w:trHeight w:val="217"/>
        </w:trPr>
        <w:tc>
          <w:tcPr>
            <w:tcW w:w="65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68,484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71,802</w:t>
            </w:r>
          </w:p>
        </w:tc>
      </w:tr>
      <w:tr>
        <w:trPr>
          <w:trHeight w:val="33"/>
        </w:trPr>
        <w:tc>
          <w:tcPr>
            <w:tcW w:w="6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reconciliation of segment profit to earnings from continuing operations before income taxes for the three months ended October 31, 2013 and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October 31,</w:t>
            </w:r>
          </w:p>
        </w:tc>
      </w:tr>
      <w:tr>
        <w:trPr>
          <w:trHeight w:val="3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71,802</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(32,813)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(29,174)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(4,163)</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38,862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 awards ("RSUs"), or restricted shares of Class A Nonvoting Common Stock to employees and non-employee directors.</w:t>
      </w:r>
    </w:p>
    <w:p>
      <w:pPr>
        <w:spacing w:after="0" w:line="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stock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Stock options issued under the plan, referred to herein as “service-based” stock options, generally expire 10 years from the date of grant. The Company has also granted stock options to certain executives and key management employees that vest upon meeting certain financial performance conditions over the vesting schedule described above. These options are referred to herein as “performance-based” stock options. Performance-based stock options expire 10 years from the date of grant.</w:t>
      </w:r>
    </w:p>
    <w:p>
      <w:pPr>
        <w:spacing w:after="0" w:line="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Restricted stock units issued under the plan have an issuance price equal to the fair market value of the underlying stock at the date of grant. The RSUs granted in fiscal 2014, referred to herein as "service-based restricted stock units," vest ratably over a three-year period, with one-third becoming deliverable one year after the grant date and one-third additional in each of the succeeding two years. The RSUs granted in fiscal 2013 vest upon meeting certain financial performance conditions over a specified vesting period, referred to herein as “performance-based restricted stock units.” The performance-based RSUs vest over a two-year period upon meeting both performance and service conditions. A restricted stock unit is equivalent to one share of Class A Nonvoting Common Stock upon vesting.</w:t>
      </w:r>
    </w:p>
    <w:p>
      <w:pPr>
        <w:spacing w:after="0" w:line="5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Restricted shares issued under the plan have an issuance price equal to the fair market value of the underlying stock at the date of grant. The restricted shares granted in fiscal 2008 were amended in fiscal 2011 to allow for vesting after either a five-year period or a seven-year period based upon both performance and service conditions. The restricted shares granted in fiscal 2011 vest ratably at the end of years 3, 4 and 5 upon meeting certain performance and service conditions. These shares are referred to herein as “performance-based restricted shares.” Restricted shares granted in fiscal 2013 vest at the end of a three-year period based upon service conditions. These shares are referred to herein as “cliff-vested restricted shares.”</w:t>
      </w:r>
    </w:p>
    <w:p>
      <w:pPr>
        <w:spacing w:after="0" w:line="11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October 31, 2013, the Company has reserved 5,042,860 shares of Class A Nonvoting Common Stock for outstanding stock options, RSUs, and restricted shares. A total of 3,921,653 shares of Class A Nonvoting Common Stock remain for future issuance of stock options, RSUs, and restricted shares under the active plans. The Company uses treasury stock or will issue new Class A Nonvoting Common Stock to deliver shares under these plans.</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the compensation cost of all share-based awards on a straight-line basis over the vesting period of the award. Total stock-based compensation expense recognized by the Company during the three months ended October 31, 2013 and 2012, was $2,600 ($1,586 net of taxes) and $4,399 ($2,683 net of taxes), respectively.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October 31, 2013, total unrecognized compensation cost related to stock-based compensation awards was $10,753 pre-tax, net of estimated forfeitures, which the Company expects to recognize over a weighted-average period of 2.1 years.</w:t>
      </w:r>
    </w:p>
    <w:p>
      <w:pPr>
        <w:spacing w:after="0" w:line="11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has estimated the fair value of its service-based option awards granted during the three months ended October 31, 2013 and 2012, using the Black-Scholes option valuation model. The weighted-average assumptions used in the Black-Scholes valuation model are reflected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8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 October 31,</w:t>
            </w:r>
          </w:p>
        </w:tc>
      </w:tr>
      <w:tr>
        <w:trPr>
          <w:trHeight w:val="33"/>
        </w:trPr>
        <w:tc>
          <w:tcPr>
            <w:tcW w:w="736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736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2012</w:t>
            </w:r>
          </w:p>
        </w:tc>
      </w:tr>
      <w:tr>
        <w:trPr>
          <w:trHeight w:val="33"/>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5.94</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38.73%</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0.89%</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30.21</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31.07</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30.21</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8.96</w:t>
            </w:r>
          </w:p>
        </w:tc>
      </w:tr>
      <w:tr>
        <w:trPr>
          <w:trHeight w:val="33"/>
        </w:trPr>
        <w:tc>
          <w:tcPr>
            <w:tcW w:w="7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granted 347,145 service-based stock options during the three months ended October 31, 2013, with a weighted average exercise price of $31.07 and a weighted average fair value of $9.18.</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three months ended October 31, 2013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5,106,585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347,145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31.07</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(213,548)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(434,848)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32.79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4,805,334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4,518</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October 31, 2013</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3,466,777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30.93</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There were 3,466,777 and 4,231,429 options exercisable with a weighted average exercise price of $30.93 and $29.78 at October 31, 2013 and 2012, respectively. The cash received from the exercise of options during the three months ended October 31, 2013 and 2012, was $5,209 and $1,684, respectively. The tax benefit on options exercised during the three months ended October 31, 2013 and 2012 was $472 and $635, respectively.</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options exercised during the three months ended October 31, 2013 and 2012, based upon the average market price at the time of exercise during the period, was $1,211 and $2,033, respectively. The total fair value of stock options vested during the three months ended October 31, 2013 and 2012, was $8,383 and $6,330, respectively.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granted 95,765 service-based RSUs in September 2013, with a grant price and fair value of $31.07. The Company granted 5,000 shares of service-based restricted stock in October 2013, with a grant price and fair value of $29.70.</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RSUs and restricted stock activity under the Company's share-based compensation plans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2013:</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RSUs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July 31, 2013</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grants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Outstanding at October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Restricted Stock</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at July 31, 2013</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New grants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Outstanding at October 31, 2013</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Units</w:t>
            </w: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116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30.21</w:t>
            </w: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95,765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31.07</w:t>
            </w:r>
          </w:p>
        </w:tc>
      </w:tr>
      <w:tr>
        <w:trPr>
          <w:trHeight w:val="270"/>
        </w:trPr>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-149860</wp:posOffset>
            </wp:positionV>
            <wp:extent cx="58572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5724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-492760</wp:posOffset>
            </wp:positionV>
            <wp:extent cx="58572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44" w:lineRule="exact"/>
        <w:rPr>
          <w:sz w:val="20"/>
          <w:szCs w:val="20"/>
          <w:color w:val="auto"/>
        </w:rPr>
      </w:pPr>
    </w:p>
    <w:p>
      <w:pPr>
        <w:ind w:left="2040" w:hanging="1276"/>
        <w:spacing w:after="0"/>
        <w:tabs>
          <w:tab w:leader="none" w:pos="2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31.07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34925</wp:posOffset>
            </wp:positionV>
            <wp:extent cx="585724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57240" cy="18034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105,358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30.99</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line="20" w:lineRule="exact"/>
              <w:rPr>
                <w:sz w:val="1"/>
                <w:szCs w:val="1"/>
                <w:color w:val="auto"/>
              </w:rPr>
            </w:pPr>
          </w:p>
        </w:tc>
      </w:tr>
      <w:tr>
        <w:trPr>
          <w:trHeight w:val="48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160" w:type="dxa"/>
            <w:vAlign w:val="bottom"/>
          </w:tcPr>
          <w:p>
            <w:pPr>
              <w:jc w:val="right"/>
              <w:spacing w:after="0"/>
              <w:rPr>
                <w:sz w:val="20"/>
                <w:szCs w:val="20"/>
                <w:color w:val="auto"/>
              </w:rPr>
            </w:pPr>
            <w:r>
              <w:rPr>
                <w:rFonts w:ascii="Arial" w:cs="Arial" w:eastAsia="Arial" w:hAnsi="Arial"/>
                <w:sz w:val="16"/>
                <w:szCs w:val="16"/>
                <w:color w:val="auto"/>
              </w:rPr>
              <w:t>226,667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31.52</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29.70</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231,667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-539750</wp:posOffset>
            </wp:positionV>
            <wp:extent cx="58572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-196850</wp:posOffset>
            </wp:positionV>
            <wp:extent cx="585724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7240" cy="18034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-882650</wp:posOffset>
            </wp:positionV>
            <wp:extent cx="58572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640"/>
          </w:cols>
          <w:pgMar w:left="240" w:top="122"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Assets or liabilities for which fair value is based on quoted market prices in active markets for identical instruments as of the reporting date.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October 31, 2013, and July 31, 2013, according to the valuation techniques the Company used to determine their fair values.</w:t>
      </w:r>
    </w:p>
    <w:p>
      <w:pPr>
        <w:spacing w:after="0" w:line="282" w:lineRule="exact"/>
        <w:rPr>
          <w:sz w:val="20"/>
          <w:szCs w:val="20"/>
          <w:color w:val="auto"/>
        </w:rPr>
      </w:pPr>
    </w:p>
    <w:p>
      <w:pPr>
        <w:jc w:val="center"/>
        <w:ind w:right="162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162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2263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8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Quoted Prices in Active</w:t>
            </w:r>
          </w:p>
        </w:tc>
        <w:tc>
          <w:tcPr>
            <w:tcW w:w="160" w:type="dxa"/>
            <w:vAlign w:val="bottom"/>
          </w:tcPr>
          <w:p>
            <w:pPr>
              <w:spacing w:after="0"/>
              <w:rPr>
                <w:sz w:val="17"/>
                <w:szCs w:val="17"/>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Significant Other</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Markets for Identical</w:t>
            </w: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Observable Inputs</w:t>
            </w: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Assets (Level 1)</w:t>
            </w: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(Level 2)</w:t>
            </w:r>
          </w:p>
        </w:tc>
        <w:tc>
          <w:tcPr>
            <w:tcW w:w="280" w:type="dxa"/>
            <w:vAlign w:val="bottom"/>
          </w:tcPr>
          <w:p>
            <w:pPr>
              <w:spacing w:after="0"/>
              <w:rPr>
                <w:sz w:val="18"/>
                <w:szCs w:val="18"/>
                <w:color w:val="auto"/>
              </w:rPr>
            </w:pPr>
          </w:p>
        </w:tc>
        <w:tc>
          <w:tcPr>
            <w:tcW w:w="1400" w:type="dxa"/>
            <w:vAlign w:val="bottom"/>
          </w:tcPr>
          <w:p>
            <w:pPr>
              <w:jc w:val="right"/>
              <w:ind w:right="35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October 31, 2013</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4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15,133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15,133</w:t>
            </w:r>
          </w:p>
        </w:tc>
        <w:tc>
          <w:tcPr>
            <w:tcW w:w="1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15,133</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15,571</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4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4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2013</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14,975</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14,975</w:t>
            </w:r>
          </w:p>
        </w:tc>
        <w:tc>
          <w:tcPr>
            <w:tcW w:w="1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14,975</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15,269</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4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22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I, “Derivatives and Hedging Activities,” for additional information.</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months ended October 31, 2013 and 2012. In addition, the Company had no significant measurements of assets or liabilities at fair value on a nonrecurring basis subsequent to their initial recognition during the three months ended October 31, 2013, except for the fair value measurement performed on the Asia Die-Cut and Balkhausen disposal groups. The assets and liabilities of these disposal groups were recorded at approximate fair value less costs to sell and classified as "Assets held for sale" and "Liabilities held for sale" on the condensed consolidated balance sheets as of October 31, 2013, and July 31, 2013. Fair value was determined utilizing a combination of external market factors and internal projections. A loss on the write-down of the disposal group of $15,658 was recorded within discontinued operations in the third quarter of fiscal 2013. There were no additional fair value adjustments recorded during the three months ended October 31, 2013.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2013, goodwill with a carrying amount of $183,146 in the WPS Americas reporting unit was written down to its estimated implied fair value of $10,866 and represented a Level 3 asset measured at fair value on a nonrecurring basis at July 31, 2013, which was subsequent to its original recognition. In order to arrive at the implied fair value of goodwill, the Company calculated the fair value of all of the assets and liabilities of the reporting unit as if the reporting unit had been acquired in a business combination. Intangible assets consisted of customer relationships and tradenames, which were valued using the income approach. As a result of the analysis, indefinite-lived tradenames with a carrying amount of $25,449 were written down to the estimated fair value of $14,881 and represented a Level 3 asset measured at fair value on a nonrecurring basis at July 31, 2013, which was subsequent to its original recognition.</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fiscal 2013, goodwill with a carrying amount of $18,225 in the IDS APAC reporting unit was written off in its entirety and represented a Level 3 asset measured at fair value on a nonrecurring basis at July 31, 2013, which was subsequent to its original recognition. In order to arrive at the implied fair value of goodwill, the Company completed a qualitative assessment because the amount by which the carrying value exceeded fair value was more than the balance of goodwill remaining.</w:t>
      </w:r>
    </w:p>
    <w:p>
      <w:pPr>
        <w:spacing w:after="0" w:line="13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estimated fair value of the Company’s short-term and long-term debt obligations, excluding notes payable, based on the quoted market prices for similar issues and on the current rates offered for debt of similar maturities was $279,117 and $288,055 at October 31, 2013 and July 31, 2013, respectively, as compared to the carrying value of $265,677 and $265,595 at October 31, 2013 and July 31, 2013, respectively.</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was $15,000 outstanding on the Company's revolving loan agreement and $11,442 outstanding on the Company's USD-denominated line of credit facility with Bank of America in China at October 31, 2013. These outstanding balances are classified as "Notes Payable" in the amount of $26,442 on the condensed consolidated balance sheets, and the fair value approximates carrying value due to the short-term nature of the instruments. See Note L, "Notes Payable,"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H — Restructuring</w:t>
      </w:r>
    </w:p>
    <w:p>
      <w:pPr>
        <w:spacing w:after="0" w:line="9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quarter ended October 31, 2013, the Company’s Board of Directors approved a restructuring plan to consolidate facilities in North America, Europe and Asia. The Company is implementing the restructuring plan to enhance customer service, improve efficiency of operations and reduce operating expenses. The Company expects to incur pre-tax charges of approximately $30 million in fiscal 2014 due primarily to facility consolidation activities. While it is expected the majority of this restructuring will be complete by the end of fiscal 2014, the timing of facility consolidations could change, which could impact the amount of restructuring charges recorded in fiscal 2014. The Company expects approximately $10 million in annualized, pre-tax operational savings from these restructuring activities.</w:t>
      </w:r>
    </w:p>
    <w:p>
      <w:pPr>
        <w:spacing w:after="0" w:line="13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fiscal 2013, the Company implemented a restructuring plan to reduce its global workforce to address its cost structure, with annual savings of approximately $25 million exclusive of reinvestments into ongoing business initiatives.</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result of these restructuring plans, the Company incurred restructuring charges during the three months ended October 31, 2013 of $6,840 in continuing operations. These restructuring charges consisted of $6,492 of employee separation costs, which included $883 of separation costs related to the former CEO, and $348 of other facility closure related costs. Of the $6,840 of restructuring charges recorded during the quarter, $3,977 was incurred within IDS and $2,863 within WPS.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charges for employee separation costs consisted of severance pay, outplacement services, medical and other benefits. The costs related to these restructuring activities were recorded on the condensed consolidated statements of earnings as restructuring charges. The Company expects the majority of the remaining cash payments to be made during the next twelve months.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Company’s restructuring liability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Employee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Related</w:t>
            </w:r>
          </w:p>
        </w:tc>
        <w:tc>
          <w:tcPr>
            <w:tcW w:w="28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2013</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14,206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Restructuring charges in continuing operations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6,492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6,840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in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Cash payments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(8,676)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October 31, 2013</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I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October 31, 2013 and July 31, 2013, the notional amount of outstanding forward exchange contracts was $106,972 and $157,500,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 using forward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October 31, 2013, unrealized gains of $15 have been included in OCI. As of October 31, 2012, unrealized losses of $557 were included in OCI. Balances are reclassified from OCI to earnings during the next twelve months when the hedged transactions impact earnings. For the three months ended October 31, 2013 and 2012, the Company reclassified gains of $90 and $467 from OCI into earnings, respectively. At October 31, 2013, the U.S. dollar equivalent of these outstanding forward foreign exchange contracts totaled $13,601, including contracts to sell Euros, Canadian Dollars, Australian Dollars, British Pounds and U.S. Dollars. There were no outstanding forward foreign exchange contracts designated as cash flow hedges as of July 31, 2013.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also designated intercompany and third party foreign currency denominated debt instruments as net investment hedges. At October 31, 2013, the Company designated £25,036 of intercompany loans as net investment hedges to hedge portions of its net investment in British foreign operations. On May 13, 2010, the Company completed the private placement of €75.0 million aggregate principal amount of senior unsecured notes to accredited institutional investors. This Euro-denominated debt obligation was designated as a net investment hedge to selectively hedge portions of its net investment in European foreign operations. The Company’s foreign denominated debt obligations are valued under a market approach using publicized spot prices.</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the Company utilizes forward foreign exchange currency contracts designated as hedge instruments to hedge portions of the Company’s net investments in foreign operations. The net gains or losses attributable to changes in spot exchange rates are recorded in other comprehensive income. Recognition in earnings of amounts previously recorded in cumulative translation is limited to circumstances such as complete or substantially complete liquidation of the net investment in the hedged foreign operation. At October 31, 2013 and July 31, 2013, the U.S dollar equivalent of these outstanding forward foreign exchange contracts totaled $4,500. As of October 31, 2013 and 2012, the Company recognized OCI losses of $244 and $5,301, respectively, on its net investment hedges.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October 31, 2013 and 2012, the Company recognized gains of $1,447 and $186, respectively, in “Investment and other income” on the condensed consolidated statements of earnings related to non-designated hedges.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23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October 31, 2013</w:t>
            </w: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2013</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October 31, 2013</w:t>
            </w: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2013</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103,013</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99,750</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103,013</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99,750</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6"/>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86"/>
        </w:trPr>
        <w:tc>
          <w:tcPr>
            <w:tcW w:w="196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J — Acquisitions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28, 2012, the Company acquired all of the outstanding shares of Precision Dynamics Corporation ("PDC"), a manufacturer of identification products primarily for the healthcare sector headquartered in Valencia, California. PDC is reported within the Company's ID Solutions segment. Financing for this acquisition consisted of $220,000 from the Company's revolving loan agreement with a group of six banks and the balance from cash on hand. The Company has repaid a total of $205,000 of the borrowing, of which $24,000 was repaid during the three months ended October 31, 2013. The outstanding balance under the revolving loan agreement was $15,000 as of October 31, 2013.</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acquired PDC to create an anchor position in the healthcare sector, consistent with the Company's mission to identify and protect premises, products and people. PDC's large customer base, strong channels to market, and broad product offering provide a strong foundation to build upon PDC's market position.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details a preliminary allocation of the PDC purchase price: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ind w:left="40"/>
              <w:spacing w:after="0"/>
              <w:rPr>
                <w:sz w:val="20"/>
                <w:szCs w:val="20"/>
                <w:color w:val="auto"/>
              </w:rPr>
            </w:pPr>
            <w:r>
              <w:rPr>
                <w:rFonts w:ascii="Arial" w:cs="Arial" w:eastAsia="Arial" w:hAnsi="Arial"/>
                <w:sz w:val="16"/>
                <w:szCs w:val="16"/>
                <w:color w:val="auto"/>
              </w:rPr>
              <w:t>Fair values:</w:t>
            </w:r>
          </w:p>
        </w:tc>
        <w:tc>
          <w:tcPr>
            <w:tcW w:w="220" w:type="dxa"/>
            <w:vAlign w:val="bottom"/>
          </w:tcPr>
          <w:p>
            <w:pPr>
              <w:spacing w:after="0"/>
              <w:rPr>
                <w:sz w:val="18"/>
                <w:szCs w:val="18"/>
                <w:color w:val="auto"/>
              </w:rPr>
            </w:pPr>
          </w:p>
        </w:tc>
        <w:tc>
          <w:tcPr>
            <w:tcW w:w="162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October 31, 2013</w:t>
            </w:r>
          </w:p>
        </w:tc>
      </w:tr>
      <w:tr>
        <w:trPr>
          <w:trHeight w:val="33"/>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12,904</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Accounts receivable — net</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21,178</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16,788</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4,232</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169,425</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intangible assets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109,300</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18,015</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(9,921)</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Wages and amounts withheld from employees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(4,234)</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Taxes, other than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Accrued income taxes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(5,245)</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(18,207)</w:t>
            </w:r>
          </w:p>
        </w:tc>
      </w:tr>
      <w:tr>
        <w:trPr>
          <w:trHeight w:val="33"/>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314,061</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Less: cash acquired</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(12,904)</w:t>
            </w:r>
          </w:p>
        </w:tc>
      </w:tr>
      <w:tr>
        <w:trPr>
          <w:trHeight w:val="33"/>
        </w:trPr>
        <w:tc>
          <w:tcPr>
            <w:tcW w:w="7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total consideration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301,157</w:t>
            </w: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final purchase price allocation is subject to the conclusion of various state and local tax filing determinations and other contingencies. The final valuation is expected to be completed as soon as is practicable but no later than 12 months after the closing date of the acquisition. The intangible assets consist of a customer relationship of $102,500, which is being amortized over a life of 10 years, and a definite-lived trademark of $6,800, which is being amortized over a life of 3 years. Of the total $169,425 in acquired goodwill, $57,374 is tax deductible, and $51,672of the total $109,300 in intangible assets is tax deductible.</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table reflects the unaudited pro forma operating results of the Company for the three months ended October 31, 2013 and 2012, which give effect to the acquisition of PDC as if it had occurred at the beginning of fiscal 2012, after adjusting for the amortization of intangible assets, interest expense on acquisition debt, and income tax effects. The pro forma results have been prepared for comparative purposes only and are not necessarily indicative of the results of operations which may occur in the future or that would have occurred had the acquisitions been effected on the date indicated, nor are they necessarily indicative of the Company's future results of operations.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91"/>
              </w:rPr>
              <w:t>Three months ended October 31,</w:t>
            </w:r>
          </w:p>
        </w:tc>
      </w:tr>
      <w:tr>
        <w:trPr>
          <w:trHeight w:val="33"/>
        </w:trPr>
        <w:tc>
          <w:tcPr>
            <w:tcW w:w="6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33"/>
        </w:trPr>
        <w:tc>
          <w:tcPr>
            <w:tcW w:w="6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as reported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305,974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270,866</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Net sales, pro forma</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305,974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312,916</w:t>
            </w:r>
          </w:p>
        </w:tc>
      </w:tr>
      <w:tr>
        <w:trPr>
          <w:trHeight w:val="33"/>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as reported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25,785</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Earnings from continuing operations, pro forma</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26,689</w:t>
            </w:r>
          </w:p>
        </w:tc>
      </w:tr>
      <w:tr>
        <w:trPr>
          <w:trHeight w:val="33"/>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from continuing operations per Class A Common Share, as reported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Basic earnings from continuing operations per Class A Common Share, pro forma</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0.52</w:t>
            </w:r>
          </w:p>
        </w:tc>
      </w:tr>
      <w:tr>
        <w:trPr>
          <w:trHeight w:val="33"/>
        </w:trPr>
        <w:tc>
          <w:tcPr>
            <w:tcW w:w="6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from continuing operations per Class A Common Share, as reported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Diluted earnings from continuing operations per Class A Common Share, pro forma</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0.52</w:t>
            </w:r>
          </w:p>
        </w:tc>
      </w:tr>
    </w:tbl>
    <w:p>
      <w:pPr>
        <w:spacing w:after="0" w:line="18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Pro forma results for the three months ended October 31, 2012 were adjusted to include $323 in interest expense on acquisition debt and $554 in income tax benefit, and also includes $3,130 of pretax amortization expense related to intangible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K — Discontinued Operations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announced its plan to divest its Asia Die-Cut business in the third quarter of fiscal 2013, and incorporated its Balkhausen business into that plan during the fourth quarter of fiscal 2013. As a result, the businesses have been classified as assets and liabilities held for sale in accordance with the authoritative literature as of October 31, 2013. The disposal groups have been recorded based on the estimated fair value less costs to sell, which resulted in a write down of $15,658, recorded in the third quarter of fiscal 2013. The operating results have been reported as discontinued operations for the comparative periods ended October 31, 2013 and 2012, including the operating results of the following two previously divested businesses: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60" w:type="dxa"/>
            <w:vAlign w:val="bottom"/>
            <w:gridSpan w:val="2"/>
          </w:tcPr>
          <w:p>
            <w:pPr>
              <w:ind w:left="40"/>
              <w:spacing w:after="0"/>
              <w:rPr>
                <w:sz w:val="20"/>
                <w:szCs w:val="20"/>
                <w:color w:val="auto"/>
              </w:rPr>
            </w:pPr>
            <w:r>
              <w:rPr>
                <w:rFonts w:ascii="Arial" w:cs="Arial" w:eastAsia="Arial" w:hAnsi="Arial"/>
                <w:sz w:val="16"/>
                <w:szCs w:val="16"/>
                <w:b w:val="1"/>
                <w:bCs w:val="1"/>
                <w:color w:val="auto"/>
              </w:rPr>
              <w:t>Divestitures</w:t>
            </w: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Segment</w:t>
            </w:r>
          </w:p>
        </w:tc>
        <w:tc>
          <w:tcPr>
            <w:tcW w:w="1480" w:type="dxa"/>
            <w:vAlign w:val="bottom"/>
          </w:tcPr>
          <w:p>
            <w:pPr>
              <w:ind w:left="20"/>
              <w:spacing w:after="0"/>
              <w:rPr>
                <w:sz w:val="20"/>
                <w:szCs w:val="20"/>
                <w:color w:val="auto"/>
              </w:rPr>
            </w:pPr>
            <w:r>
              <w:rPr>
                <w:rFonts w:ascii="Arial" w:cs="Arial" w:eastAsia="Arial" w:hAnsi="Arial"/>
                <w:sz w:val="16"/>
                <w:szCs w:val="16"/>
                <w:b w:val="1"/>
                <w:bCs w:val="1"/>
                <w:color w:val="auto"/>
              </w:rPr>
              <w:t>Date Completed</w:t>
            </w:r>
          </w:p>
        </w:tc>
      </w:tr>
      <w:tr>
        <w:trPr>
          <w:trHeight w:val="33"/>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Precision Converting, LLC (“Brady Medical”)</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ID Solutions</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August 2012</w:t>
            </w:r>
          </w:p>
        </w:tc>
      </w:tr>
      <w:tr>
        <w:trPr>
          <w:trHeight w:val="237"/>
        </w:trPr>
        <w:tc>
          <w:tcPr>
            <w:tcW w:w="6160" w:type="dxa"/>
            <w:vAlign w:val="bottom"/>
            <w:gridSpan w:val="2"/>
          </w:tcPr>
          <w:p>
            <w:pPr>
              <w:ind w:left="40"/>
              <w:spacing w:after="0"/>
              <w:rPr>
                <w:sz w:val="20"/>
                <w:szCs w:val="20"/>
                <w:color w:val="auto"/>
              </w:rPr>
            </w:pPr>
            <w:r>
              <w:rPr>
                <w:rFonts w:ascii="Arial" w:cs="Arial" w:eastAsia="Arial" w:hAnsi="Arial"/>
                <w:sz w:val="16"/>
                <w:szCs w:val="16"/>
                <w:color w:val="auto"/>
              </w:rPr>
              <w:t>Varitronics</w:t>
            </w: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ID Solutions</w:t>
            </w:r>
          </w:p>
        </w:tc>
        <w:tc>
          <w:tcPr>
            <w:tcW w:w="1480" w:type="dxa"/>
            <w:vAlign w:val="bottom"/>
          </w:tcPr>
          <w:p>
            <w:pPr>
              <w:ind w:left="20"/>
              <w:spacing w:after="0"/>
              <w:rPr>
                <w:sz w:val="20"/>
                <w:szCs w:val="20"/>
                <w:color w:val="auto"/>
              </w:rPr>
            </w:pPr>
            <w:r>
              <w:rPr>
                <w:rFonts w:ascii="Arial" w:cs="Arial" w:eastAsia="Arial" w:hAnsi="Arial"/>
                <w:sz w:val="16"/>
                <w:szCs w:val="16"/>
                <w:color w:val="auto"/>
              </w:rPr>
              <w:t>October 2012</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operating results of discontinued operations for the three months ended October 31, 2013 and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4"/>
              </w:rPr>
              <w:t>Three Months Ended October 31,</w:t>
            </w:r>
          </w:p>
        </w:tc>
      </w:tr>
      <w:tr>
        <w:trPr>
          <w:trHeight w:val="3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6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color w:val="auto"/>
              </w:rPr>
              <w:t>2012</w:t>
            </w:r>
          </w:p>
        </w:tc>
      </w:tr>
      <w:tr>
        <w:trPr>
          <w:trHeight w:val="33"/>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68,141</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Earnings from operations of discontinued businesses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1,807</w:t>
            </w:r>
          </w:p>
        </w:tc>
      </w:tr>
      <w:tr>
        <w:trPr>
          <w:trHeight w:val="3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44"/>
        </w:trPr>
        <w:tc>
          <w:tcPr>
            <w:tcW w:w="6440" w:type="dxa"/>
            <w:vAlign w:val="bottom"/>
          </w:tcPr>
          <w:p>
            <w:pPr>
              <w:ind w:left="40"/>
              <w:spacing w:after="0"/>
              <w:rPr>
                <w:sz w:val="20"/>
                <w:szCs w:val="20"/>
                <w:color w:val="auto"/>
              </w:rPr>
            </w:pPr>
            <w:r>
              <w:rPr>
                <w:rFonts w:ascii="Arial" w:cs="Arial" w:eastAsia="Arial" w:hAnsi="Arial"/>
                <w:sz w:val="16"/>
                <w:szCs w:val="16"/>
                <w:color w:val="auto"/>
              </w:rPr>
              <w:t>Earnings from discontinued operations, net of income tax</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6,505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1,403</w:t>
            </w: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details assets and liabilities of the Asia Die-Cut &amp; Balkhausen disposal groups classified as held for sale as of October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October 31, 2013</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55,677</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24,459</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17"/>
        </w:trPr>
        <w:tc>
          <w:tcPr>
            <w:tcW w:w="778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80,595</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7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37,772</w:t>
            </w: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Property, plant and equipment—net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28,437</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148,274</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1"/>
        </w:trPr>
        <w:tc>
          <w:tcPr>
            <w:tcW w:w="7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38,523</w:t>
            </w: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Wages and amounts withheld from employees</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3,669</w:t>
            </w: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1,784</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43,976</w:t>
            </w:r>
          </w:p>
        </w:tc>
      </w:tr>
      <w:tr>
        <w:trPr>
          <w:trHeight w:val="284"/>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of disposal group</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104,298</w:t>
            </w: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Less: write-down on disposal group</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(15,658)</w:t>
            </w: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of disposal group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88,640</w:t>
            </w: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accordance with authoritative literature, accumulated other comprehensive income will be reclassified to the statement of earnings upon liquidation or substantial liquidation of the disposal group.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NOTE L - Notes Payable</w:t>
      </w:r>
    </w:p>
    <w:p>
      <w:pPr>
        <w:spacing w:after="0" w:line="17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December 2012, the Company drew down $220,000 from its revolving loan agreement with a group of six banks to fund a portion of the purchase price of the acquisition of PDC. As of July 31, 2013, there was $39,000 outstanding on this revolving loan agreement. During the three months ended October 31, 2013, the Company repaid $24,000 of the borrowing and the Company intends to repay the remainder of the borrowing within 12 months of the current period end. As such, the borrowing is classified as "Notes payable" within current liabilities on the condensed consolidated balance sheets. During the three months ended October 31, 2013, the maximum amount outstanding on the revolving loan agreement was $39,000. As of October 31, 2013, the outstanding balance on the credit facility was $15,000 and there was $285,000 available for future borrowing under the credit facility, which can be increased to $435,000 at the Company's option, subject to certain conditions.</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February 2013, the Company entered into a USD-denominated line of credit facility in China. The facility supports USD-denominated borrowing to fund working capital and operations for the Company's Chinese entities. During the three months ended October 31, 2013, the maximum amount outstanding was $11,442 which was the balance outstanding at October 31, 2013. As of October 31, 2013, there was $14,758 available for future borrowing under this credit facility.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October 31, 2013, borrowings on the revolving loan agreement and China line of credit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October 31,</w:t>
            </w:r>
          </w:p>
        </w:tc>
      </w:tr>
      <w:tr>
        <w:trPr>
          <w:trHeight w:val="210"/>
        </w:trPr>
        <w:tc>
          <w:tcPr>
            <w:tcW w:w="652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Interest Rate</w:t>
            </w:r>
          </w:p>
        </w:tc>
        <w:tc>
          <w:tcPr>
            <w:tcW w:w="140" w:type="dxa"/>
            <w:vAlign w:val="bottom"/>
          </w:tcPr>
          <w:p>
            <w:pPr>
              <w:spacing w:after="0"/>
              <w:rPr>
                <w:sz w:val="18"/>
                <w:szCs w:val="18"/>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r>
      <w:tr>
        <w:trPr>
          <w:trHeight w:val="33"/>
        </w:trPr>
        <w:tc>
          <w:tcPr>
            <w:tcW w:w="6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USD-denominated borrowing on revolving loan agreement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USD-denominated borrowing on China line of credit</w:t>
            </w:r>
          </w:p>
        </w:tc>
        <w:tc>
          <w:tcPr>
            <w:tcW w:w="1180" w:type="dxa"/>
            <w:vAlign w:val="bottom"/>
          </w:tcPr>
          <w:p>
            <w:pPr>
              <w:jc w:val="right"/>
              <w:spacing w:after="0"/>
              <w:rPr>
                <w:sz w:val="20"/>
                <w:szCs w:val="20"/>
                <w:color w:val="auto"/>
              </w:rPr>
            </w:pPr>
            <w:r>
              <w:rPr>
                <w:rFonts w:ascii="Arial" w:cs="Arial" w:eastAsia="Arial" w:hAnsi="Arial"/>
                <w:sz w:val="16"/>
                <w:szCs w:val="16"/>
                <w:color w:val="auto"/>
              </w:rPr>
              <w:t>1.5298%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11,442</w:t>
            </w:r>
          </w:p>
        </w:tc>
      </w:tr>
      <w:tr>
        <w:trPr>
          <w:trHeight w:val="33"/>
        </w:trPr>
        <w:tc>
          <w:tcPr>
            <w:tcW w:w="65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26,442</w:t>
            </w:r>
          </w:p>
        </w:tc>
      </w:tr>
      <w:tr>
        <w:trPr>
          <w:trHeight w:val="20"/>
        </w:trPr>
        <w:tc>
          <w:tcPr>
            <w:tcW w:w="6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M — New Accounting Pronouncements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January 2013, the Financial Accounting Standards Board ("FASB") issued ASU 2013-01, "Clarifying the Scope of Disclosures about Offsetting Assets and Liabilities," which clarified that the scope of the disclosures under U.S. GAAP is limited to derivatives, including bifurcated embedded derivatives, repurchase agreements and reverse purchase agreements, and securities borrowing and securities lending transactions that are offset either in accordance with ASC 210 or ASC 815. Entities with other types of financial assets and financial liabilities subject to a master netting arrangement or similar agreement are no longer subject to the disclosure requirements in ASU 2011-11. The guidance is effective for annual periods beginning on or after January 1, 2013 and interim periods within those annual periods. Disclosures are to be provided retrospectively for all periods presented. The adoption of this update did not have an impact on the Company's condensed consolidated financial statements.</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February 2013, the FASB issued ASU 2013-02, "Reporting of Amounts Reclassified Out of Accumulated Other Comprehensive Income," which requires entities to disclose additional information for items reclassified out of accumulated other comprehensive income ("AOCI"). For items reclassified out of AOCI and into net earnings in their entirety, entities are required to disclose the effect of the reclassification in each affected line in the statement of earnings. For AOCI reclassification items that are not reclassified in their entirety into net earnings, a cross reference to other required U.S. GAAP disclosures is required. This information may be provided either in the notes or parenthetically on the face of the statement that reports net earnings as long as all the information is disclosed in a single location. However, an entity is prohibited from providing this information parenthetically on the face of the statement that reports net earnings if it has items that are not reclassified in their entirety into net earnings. The adoption of this update did not have a material impact on the Company's condensed consolidated financial statements; however, the Company provided additional disclosures as required by ASU 2013-02 in Note C, "Comprehensive Income," in the notes to the condensed consolidated financial statements.</w:t>
      </w:r>
    </w:p>
    <w:p>
      <w:pPr>
        <w:spacing w:after="0" w:line="12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March 2013, the FASB issued ASU 2013-05, "Parent's Accounting for the Cumulative Translation Adjustment upon Derecognition of Certain Subsidiaries or Groups of Assets within a Foreign Entity or of an Investment in a Foreign Entity," which applies to the release of the cumulative translation adjustment into net earnings when a parent either sells a part or all of its investment in a foreign entity, or no longer holds a controlling financial interest in a subsidiary or group of assets that is a business within a foreign entity. The guidance requires that a parent deconsolidate a subsidiary or derecognize a group of assets that is a business if the parent ceases to have a controlling financial interest in that group of assets, and resolves the diversity in practice for the treatment of business combinations achieved in stages involving a foreign entity. The guidance is effective for annual and interim reporting periods beginning after December 15, 2013. The adoption of this update will not have a material impact on the consolidated financial statements of the Company.</w:t>
      </w:r>
    </w:p>
    <w:p>
      <w:pPr>
        <w:spacing w:after="0" w:line="3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July 2013, the FASB issued 2013-11, Presentation of an Unrecognized Tax Benefit When a Net Operating Loss Carryforward, a Similar Tax Loss, or a Tax Credit Carryforward Exists (ASU 2013-11), which requires entities to present an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 as a reduction of a deferred tax asset for a net operating loss (“NOL”) or tax credit carryforward whenever the NOL or tax credit carryforward would be available to reduce the additional taxable income or tax due if the tax position is disallowed. This accounting standard update requires entities to assess whether to net the unrecognized tax benefit with a deferred tax asset as of the reporting date. This guidance is effective for fiscal years beginning after December 15, 2013. The Company is not anticipating adoption of this update to have a material impact on the Company's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November 20, 2013, the Board of Directors declared a quarterly cash dividend to shareholders of the Company’s Class A and Class B Common Stock of $0.195 per share payable on January 31, 2014 to shareholders of record at the close of business on January 10,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Brady Corporation is a global manufacturer and supplier of identification solutions, specialty materials,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made significant portfolio and management decisions during fiscal 2013 in order to better position the Company for growth in the future, including:</w:t>
      </w:r>
    </w:p>
    <w:p>
      <w:pPr>
        <w:spacing w:after="0" w:line="170" w:lineRule="exact"/>
        <w:rPr>
          <w:sz w:val="20"/>
          <w:szCs w:val="20"/>
          <w:color w:val="auto"/>
        </w:rPr>
      </w:pPr>
    </w:p>
    <w:p>
      <w:pPr>
        <w:ind w:left="660" w:right="2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Divestiture of non-strategic businesses and the announcement of management’s intent to divest its Die-Cut business in order to reduce its reliance on the less profitable consumer electronics industry.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 of Precision Dynamics Corporation (“PDC”), a leader in healthcare identification, providing Brady with an entrance into the healthcare industry.</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Realignment of business structure from regional to two global product-based platforms: Identification Solutions (“IDS”) and Workplace Safety (“WPS”).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Part I, Item 1, "Business," of the Company’s fiscal 2013 Form 10-K for additional information regarding fiscal 2013 activities impacting the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these structural changes in place, the Company is targeting the following key initiatives in fiscal 2014:</w:t>
      </w:r>
    </w:p>
    <w:p>
      <w:pPr>
        <w:spacing w:after="0" w:line="225"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Returning the Workplace Safety business to organic growth by the second half of the fiscal year. We are expanding our multi-channel direct marketing model by providing a broader set of workplace safety products with an increased focus on e-business.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Executing organic growth initiatives in our Identification Solutions business by increasing our sales force in selected established economies while expanding our focus on strategic accounts and product catagories.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the sale of the Die-Cut business.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Improving service to customers and reducing our cost structure through the consolidation of selected manufacturing facilities in the Americas and Europe.</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largest segment, IDS, which represents approximately 70% of sales in continuing operations, has realized modest organic sales growth during the first quarter.We continue to focus on key markets and accounts, our sales force, and development of proprietary products. Sales within the WPS segment have declined and we are implementing several strategies in order to return to organic sales growth, which will require approximately $14 million of incremental investment during fiscal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quarters ended October 31, 2013 and 2012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Quarter ended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Quarter ended</w:t>
            </w:r>
          </w:p>
        </w:tc>
        <w:tc>
          <w:tcPr>
            <w:tcW w:w="760" w:type="dxa"/>
            <w:vAlign w:val="bottom"/>
          </w:tcPr>
          <w:p>
            <w:pPr>
              <w:spacing w:after="0"/>
              <w:rPr>
                <w:sz w:val="17"/>
                <w:szCs w:val="17"/>
                <w:color w:val="auto"/>
              </w:rPr>
            </w:pPr>
          </w:p>
        </w:tc>
      </w:tr>
      <w:tr>
        <w:trPr>
          <w:trHeight w:val="210"/>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October 31,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October 31,</w:t>
            </w:r>
          </w:p>
        </w:tc>
        <w:tc>
          <w:tcPr>
            <w:tcW w:w="760" w:type="dxa"/>
            <w:vAlign w:val="bottom"/>
          </w:tcPr>
          <w:p>
            <w:pPr>
              <w:spacing w:after="0"/>
              <w:rPr>
                <w:sz w:val="18"/>
                <w:szCs w:val="18"/>
                <w:color w:val="auto"/>
              </w:rPr>
            </w:pPr>
          </w:p>
        </w:tc>
      </w:tr>
      <w:tr>
        <w:trPr>
          <w:trHeight w:val="270"/>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23"/>
                <w:szCs w:val="23"/>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23"/>
                <w:szCs w:val="23"/>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40" w:type="dxa"/>
            <w:vAlign w:val="bottom"/>
          </w:tcPr>
          <w:p>
            <w:pPr>
              <w:spacing w:after="0"/>
              <w:rPr>
                <w:sz w:val="23"/>
                <w:szCs w:val="23"/>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305,974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270,866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156,945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149,524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33"/>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372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8,587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7,887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Selling, General &amp;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112,687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99,009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37"/>
        </w:trPr>
        <w:tc>
          <w:tcPr>
            <w:tcW w:w="3720" w:type="dxa"/>
            <w:vAlign w:val="bottom"/>
          </w:tcPr>
          <w:p>
            <w:pPr>
              <w:ind w:left="24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6,840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000" w:type="dxa"/>
            <w:vAlign w:val="bottom"/>
            <w:gridSpan w:val="2"/>
          </w:tcPr>
          <w:p>
            <w:pPr>
              <w:ind w:left="40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128,114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106,896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17"/>
        </w:trPr>
        <w:tc>
          <w:tcPr>
            <w:tcW w:w="37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28,831</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42,628</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33"/>
        </w:trPr>
        <w:tc>
          <w:tcPr>
            <w:tcW w:w="3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Sales for the quarter ended October 31, 2013 increased 13.0% to $306.0 million, compared to $270.9 million in the same period of the last fiscal year. The increase in sales was primarily attributable to acquisition growth of 15.6%, which was partially offset by an organic sales decline of 2.2% and a negative currency impact of 0.4%. The Company acquired PDC within the IDS segment in December 2012.</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Gross margin as a percentage of sales declined to 51.3% for the quarter ended October 31, 2013 from 55.2% in the same quarter last year. Approximately 120 basis points of the gross margin decline related to PDC. As PDC is a lower gross margin business compared to the Company's average, the year-over-year decline is expected to continue through the second quarter of fiscal 2014. The remainder of the decrease in gross margin was primarily due to the sales decline and pricing actions within the WPS segment. Although organic growth within the IDS segment leveraged fixed costs, this improvement was partially offset by raw material cost increases when compared to the same quarter in the prior year.</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Research and development for the quarter ended October 31, 2013, increased 8.9% to $8.6 million, compared to $7.9 million in the same period of the prior fiscal year. The increase was due to the addition of PDC and the timing of expenditures on printer product developments.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Selling, general and administrative (“SG&amp;A”) expenses increased 13.7% to $112.7 million for the quarter ended October 31, 2013, compared to $99.1 million for the same period in the prior year. Nearly all of this increase related to the addition of PDC.</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quarter ended October 31, 2013, the Company’s Board of Directors approved a restructuring plan to consolidate facilities in North America, Europe and Asia. The Company is implementing the restructuring plan to enhance customer service, improve efficiency of operations and reduce operating expenses. The Company expects to incur pre-tax charges of approximately $30 million in fiscal 2014 due primarily to facility consolidation activities. While it is expected the majority of this restructuring will be complete by the end of fiscal 2014, the timing of facility consolidations could change,which could impact the amount of restructuring charges recorded in fiscal 2014. The Company expects approximately $10 million in annualized, pre-tax operational savings from these restructuring activities. Restructuring charges for the quarter ended October 31, 2013 were $6.8 million and consisted primarily of employee separation costs, including $0.9 million related to the former CEO. Approximately $4.0 million and $2.8 million were incurred in the IDS and WPS segments, respectively.</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was $28.8 million during the quarter ended October 31, 2013. Excluding restructuring charges of $6.8 million, operating income was $35.6 million for the quarter ended October 31, 2013, compared to operating income of $42.6 million in the same quarter of the prior year. The decline of $7.0 million was primarily due to the decrease in sales and segment profit within the WPS segment, which was partially offset by the increase in sales and profit from the addition of PDC.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Quarter ended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Quarter ended</w:t>
            </w:r>
          </w:p>
        </w:tc>
        <w:tc>
          <w:tcPr>
            <w:tcW w:w="740" w:type="dxa"/>
            <w:vAlign w:val="bottom"/>
          </w:tcPr>
          <w:p>
            <w:pPr>
              <w:spacing w:after="0"/>
              <w:rPr>
                <w:sz w:val="17"/>
                <w:szCs w:val="17"/>
                <w:color w:val="auto"/>
              </w:rPr>
            </w:pPr>
          </w:p>
        </w:tc>
      </w:tr>
      <w:tr>
        <w:trPr>
          <w:trHeight w:val="210"/>
        </w:trPr>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October 31,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October 31,</w:t>
            </w:r>
          </w:p>
        </w:tc>
        <w:tc>
          <w:tcPr>
            <w:tcW w:w="740" w:type="dxa"/>
            <w:vAlign w:val="bottom"/>
          </w:tcPr>
          <w:p>
            <w:pPr>
              <w:spacing w:after="0"/>
              <w:rPr>
                <w:sz w:val="18"/>
                <w:szCs w:val="18"/>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23"/>
                <w:szCs w:val="23"/>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3"/>
                <w:szCs w:val="23"/>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3"/>
                <w:szCs w:val="23"/>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 Sales</w:t>
            </w:r>
          </w:p>
        </w:tc>
      </w:tr>
      <w:tr>
        <w:trPr>
          <w:trHeight w:val="33"/>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28,831</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42,628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r>
      <w:tr>
        <w:trPr>
          <w:trHeight w:val="237"/>
        </w:trPr>
        <w:tc>
          <w:tcPr>
            <w:tcW w:w="476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476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(3,721)</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(4,163)</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tax</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25,872</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38,862</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37"/>
        </w:trPr>
        <w:tc>
          <w:tcPr>
            <w:tcW w:w="47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8,449</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13,077</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33"/>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25,785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17"/>
        </w:trPr>
        <w:tc>
          <w:tcPr>
            <w:tcW w:w="4760" w:type="dxa"/>
            <w:vAlign w:val="bottom"/>
          </w:tcPr>
          <w:p>
            <w:pPr>
              <w:ind w:left="40"/>
              <w:spacing w:after="0"/>
              <w:rPr>
                <w:sz w:val="20"/>
                <w:szCs w:val="20"/>
                <w:color w:val="auto"/>
              </w:rPr>
            </w:pPr>
            <w:r>
              <w:rPr>
                <w:rFonts w:ascii="Arial" w:cs="Arial" w:eastAsia="Arial" w:hAnsi="Arial"/>
                <w:sz w:val="16"/>
                <w:szCs w:val="16"/>
                <w:color w:val="auto"/>
              </w:rPr>
              <w:t>Earnings from discontinued operations, net of income taxes</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6,505</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1,403</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0.5 %</w:t>
            </w:r>
          </w:p>
        </w:tc>
      </w:tr>
      <w:tr>
        <w:trPr>
          <w:trHeight w:val="33"/>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and other income increased to $0.8 million for the quarter ended October 31, 2013, from $0.4 million for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due to an increase in the market value of securities held in executive deferred compensation plans.</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Interest expense decreased to $3.7 million for the quarter ended October 31, 2013, from $4.2 million for the same period in the prior year. The decrease was due to the Company’s declining principal balance under its outstanding loan agreements.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Company’s income tax rate on continuing operations was 32.7% for the quarter ended October 31, 2013, a decrease from 33.6% for the same period in the prior year. The income tax rate for the first quarter is anticipated to be higher than the tax rate for the total fiscal year due to the timing of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Discontinued operations include the Asia Die-Cut and Balkhausen businesses, which are classified as held for sale as of October 31, 2013. In addition, discontinued operations include the divestitures of Brady Medical and Varitronics which took place in August 2012 and October 2012, respectively, both within the IDS segment. Income from discontinued operations net of income taxes was $6.5 million and $1.4 million for the quarters ended October 31, 2013 and 2012, respectively. The increase in income from discontinued operations was due to the loss of $3.4 million on the divestitures of Brady Medical and Varitronics recognized during the quarter ended October 31, 2012, as well as the discontinuance of depreciation and amortization expense of $3.0 million (pre-tax) from operating results during the quarter ended October 31, 2013. The Asia Die-Cut business was first reported as held for sale as of the third quarter of fiscal 2013 ended April 30, 2013, and the Balkhausen business was first reported as held for sale as of the fourth quarter of fiscal 2013 ended July 31, 2013, at which point the fixed assets and intangible assets of these businesses were no longer depreciated or amortized in accordance with applicable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organized and managed on a global basis within two business platforms: IDS and WPS, which are the reportable segments. Each business platform has a President that reports directly to the Company's chief operating decision maker, its Interim Chief Executive Officer and Chief Financial Officer. Each platform has its own distinct operations, maintains its own financial reports and is evaluated based on global segment profit. The Company has determined that these business platforms comprise its operating and reportable segments based on the information used by the Interim Chief Executive Officer and Chief Financial Officer to allocate resources and assess performance.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months ended October 31, 2013 and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ind w:left="20"/>
              <w:spacing w:after="0"/>
              <w:rPr>
                <w:sz w:val="20"/>
                <w:szCs w:val="20"/>
                <w:color w:val="auto"/>
              </w:rPr>
            </w:pPr>
            <w:r>
              <w:rPr>
                <w:rFonts w:ascii="Arial" w:cs="Arial" w:eastAsia="Arial" w:hAnsi="Arial"/>
                <w:sz w:val="16"/>
                <w:szCs w:val="16"/>
                <w:b w:val="1"/>
                <w:bCs w:val="1"/>
                <w:color w:val="auto"/>
                <w:w w:val="94"/>
              </w:rPr>
              <w:t>Three months ended October 31,</w:t>
            </w:r>
          </w:p>
        </w:tc>
      </w:tr>
      <w:tr>
        <w:trPr>
          <w:trHeight w:val="33"/>
        </w:trPr>
        <w:tc>
          <w:tcPr>
            <w:tcW w:w="6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6"/>
                <w:szCs w:val="16"/>
                <w:b w:val="1"/>
                <w:bCs w:val="1"/>
                <w:color w:val="auto"/>
              </w:rPr>
              <w:t>2012</w:t>
            </w:r>
          </w:p>
        </w:tc>
      </w:tr>
      <w:tr>
        <w:trPr>
          <w:trHeight w:val="33"/>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6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207,990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ind w:left="180"/>
              <w:spacing w:after="0"/>
              <w:rPr>
                <w:sz w:val="20"/>
                <w:szCs w:val="20"/>
                <w:color w:val="auto"/>
              </w:rPr>
            </w:pPr>
            <w:r>
              <w:rPr>
                <w:rFonts w:ascii="Arial" w:cs="Arial" w:eastAsia="Arial" w:hAnsi="Arial"/>
                <w:sz w:val="16"/>
                <w:szCs w:val="16"/>
                <w:color w:val="auto"/>
              </w:rPr>
              <w:t>161,244</w:t>
            </w:r>
          </w:p>
        </w:tc>
      </w:tr>
      <w:tr>
        <w:trPr>
          <w:trHeight w:val="33"/>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97,984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109,622</w:t>
            </w: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305,974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270,866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5724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57240"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29.0 %</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50,110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43,973</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18,374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27,829</w:t>
            </w:r>
          </w:p>
        </w:tc>
        <w:tc>
          <w:tcPr>
            <w:tcW w:w="0" w:type="dxa"/>
            <w:vAlign w:val="bottom"/>
          </w:tcPr>
          <w:p>
            <w:pPr>
              <w:spacing w:after="0"/>
              <w:rPr>
                <w:sz w:val="1"/>
                <w:szCs w:val="1"/>
                <w:color w:val="auto"/>
              </w:rPr>
            </w:pP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68,484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71,802</w:t>
            </w:r>
          </w:p>
        </w:tc>
        <w:tc>
          <w:tcPr>
            <w:tcW w:w="0" w:type="dxa"/>
            <w:vAlign w:val="bottom"/>
          </w:tcPr>
          <w:p>
            <w:pPr>
              <w:spacing w:after="0"/>
              <w:rPr>
                <w:sz w:val="1"/>
                <w:szCs w:val="1"/>
                <w:color w:val="auto"/>
              </w:rPr>
            </w:pPr>
          </w:p>
        </w:tc>
      </w:tr>
      <w:tr>
        <w:trPr>
          <w:trHeight w:val="73"/>
        </w:trPr>
        <w:tc>
          <w:tcPr>
            <w:tcW w:w="67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 AS A PERCENT OF SALES</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27.3 %</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0" w:type="dxa"/>
            <w:vAlign w:val="bottom"/>
          </w:tcPr>
          <w:p>
            <w:pPr>
              <w:spacing w:after="0"/>
              <w:rPr>
                <w:sz w:val="1"/>
                <w:szCs w:val="1"/>
                <w:color w:val="auto"/>
              </w:rPr>
            </w:pPr>
          </w:p>
        </w:tc>
      </w:tr>
      <w:tr>
        <w:trPr>
          <w:trHeight w:val="217"/>
        </w:trPr>
        <w:tc>
          <w:tcPr>
            <w:tcW w:w="6720" w:type="dxa"/>
            <w:vAlign w:val="bottom"/>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22.4 %</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26.5 %</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segment profit to earnings from continuing operations before income taxes for the three months ended October 31, 2013 and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Three months ended October 31,</w:t>
            </w:r>
          </w:p>
        </w:tc>
      </w:tr>
      <w:tr>
        <w:trPr>
          <w:trHeight w:val="33"/>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68,484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71,802</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(29,174)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(4,163)</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38,862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Approximately 75% of net sales in the IDS segment were generated in the Americas region, 15% in EMEA and 10% in APAC. Net sales increased by 29.0% to $208.0 million for the quarter ended October 31, 2013, compared to $161.2 million for the same period in the prior year. Organic sales increased 3.0%, growth from the acquisition of PDC in December 2012 was 26.2%, and the impact from currency fluctuations was a negative 0.2%. The IDS segment experienced double-digit organic sales growth within APAC, followed by mid-single-digit growth in EMEA and low-single-digit growth in the Americas.</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IDS business within the U.S. experienced an expansion in its core product line sales including product, wire, and safety and facility identification. This growth within the U.S. was offset by a high single digit organic sales decline in Brazil as pricing challenges, quality issues and difficult economic conditions resulted in the loss of share at certain OEM customers.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IDS business in EMEA experienced mid-single-digit organic sales growth. This growth was driven by Central Europe, the Middle East, and Africa, which realized high single-digit growth and an improvement in the overall economy in Western Europe.</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IDS business in APAC was strong due to improved results with our existing OEM consumer electronics customers. We continue to diversify our OEM customer base beyond consumer electronics and as the business continues to transition from an integrated business with Asia Die-Cut to a stand-alone business focused on identification solutions, the emphasis will be on providing high quality, region-specific products and exceptional customer service to a broader group of customers.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PDC business is generally correlated to hospital admission rates, and it performed as anticipated during the quarter ended October 31, 2013, with sales of $42.3 million. Organic sales were flat and hospital admission rates declined slightly compared to the same period in the prior year. Looking forward, we anticipate hospital admission rates to decline slightly; therefore our growth in the healthcare industry will be derived from continued expansion of our customer base in the United States and Western Europe.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increased to $50.1 million for the quarter ended October 31, 2013, compared to $44.0 million for the same period in the prior year. As a percentage of sales, segment profit decreased to 24.1% for the quarter from 27.2% for the same period in the prior year. Although PDC added approximately $8.3 million in segment profit in the quarter, its results were dilutive to our segment profit percentage. Segment profit as a percentage of sales further declined due to operating results in Brazil.</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Effective August 1, 2013, on account of a change in management structure, the existing Brady PeopleID business, which was part of the IDS Americas and Europe reporting unit in fiscal 2013, was integrated into the PeopleID reporting unit, which previously consisted entirely of the PDC business. The Company completed an analysis to conclude upon the appropriate goodwill allocation and any impairment indicators as a result of this change.The PeopleID reporting unit had a fair value in excess of carrying value of 12% and a goodwill balance of $195.9 million at October 31, 2013. In order to conclude upon the assumptions for the discounted cash flow analysis, the Company considered multiple factors, including (a) macroeconomic conditions, (b) industry and market factors such as competition and changes in the market for the reporting unit’s products, (c) overall financial performance such as cash flows, actual and planned revenue, and profitability, and (d) changes in strategy for the reporting unit. If the PeopleID reporting unit does not meet its projections, it could become impaired. The assumptions with the most impact on our determination of the fair value of the PeopleID reporting unit are sales growth and profitability. A reduction in the annual sales growth or annual profitability assumptions by 100 basis points would result in a fair value of less than carrying value for the reporting unit.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Approximately 50% of net sales in the WPS segment were generated in EMEA, 35% in the Americas and 15% in APAC. The WPS business segment sales have declined for the last 8 quarters due to a reduction in direct catalog mailings, increased e-commerce competition and pricing pressures. As a result, in connection with our organizational change to global business platforms during the second half of fiscal 2013, we refined our WPS strategy to focus on and invest in the following: increasing our volume of direct catalog mailings, expanding our e-commerce presence, increasing the offering of workplace safety products, enhancing our industry expertise, and adjusting our pricing strategies. We anticipate improving organic sales trends in the second half of fiscal 2014 from these growth initiatives.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sales decreased by 10.6% to $98.0 million for the quarter ended October 31, 2013, compared to $109.6 million for the same period in the prior year. Organic sales decreased by 10.0% and the impact from currency fluctuations was a negative 0.6%. Organic sales declined within all geographies, with a double-digit decline in Australia, while the organic sales declines in the Americas and EMEA were in the high single digits.</w:t>
      </w:r>
    </w:p>
    <w:p>
      <w:pPr>
        <w:spacing w:after="0" w:line="16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WPS Americas business and the WPS EMEA business, based primarily in the established Western European economies, both experienced high single digit organic sales declines due to a reduction in direct catalog mailings, increased e-commerce competition and pricing pressures.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Australia, included within the WPS segment, was the primary driver for the sales decline in the WPS APAC business due to its continued economic weakness. In addition, we have a higher concentration in industries that are tied to manufacturing, non-residential construction, and most importantly, mining, all of which have declined during the quarter.</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decreased to $18.4 million for the quarter ended October 31, 2013, compared to $27.8 million for the same period in the prior year. As a percentage of sales, segment profit decreased to 18.8% for the quarter from 25.4% for the same period in the prior year. As anticipated, we are experiencing degradation in our segment profit margins due to increased pricing pressures, changes in mix, and the strategic investments intended to return the business to growth.</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WPS Europe and WPS APAC reporting units had goodwill of $59.5 million and $33.5 million, respectively, as of October 31, 2013. These reporting units have experienced a decline in sales for the last eight quarters primarily due to reduced sales generated from catalogs as customers move to the internet, as well as an economic slowdown within Western Europe and Australia. Although our sales in e-commerce have increased, the shift is not sufficient to entirely compensate for the lost sales from the traditional catalog model. The Company is addressing this via investments in digital capabilities and focused emphasis on growing the customer base, and we anticipate improving organic sales trends in the second half of fiscal 2014 and returning to annual sales growth over the next several years. The annual goodwill impairment analysis performed as of May 1, 2013 for these reporting units resulted in a significant fair value excess over carrying value, which the Company considers to be at 20% or greater. However, if the Company does not realize a sufficient return on the strategic investment in the WPS business, these reporting units could face the risk of a material goodwill impairment charge, which may adversely affect earnings in the period in which the charge is recorded. The third reporting unit in the WPS segment is WPS Americas, which had goodwill of $10.9 million as of October 31, 2013. This reporting unit was impaired during fiscal 2013 and had a significant excess of fair value over carrying value subsequent to the impairment charge.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Cash and cash equivalents decreased by $9.2 million and increased by $15.4 million during the quarters ended October 31, 2013 and 2012,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changes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2012</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25,593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20,218</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3,931</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(29,659)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(12,741)</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15,409</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operating activities was $25.6 million for the quarter ended October 31, 2013, compared to $20.2 million in the same quarter of the prior year. The increase in cash provided by operating activities of $5.4 million was primarily due to the decrease in incentive compensation payments of approximately $13 millionin fiscal 2014 compared to fiscal 2013. This increase in cash provided by operating activities was partially offset by the decline in net income of approximately $8 million. Working capital remained consistent overall from October 31, 2012 to 2013; however, the components changed slightly due to an increase in inventory as a result of the facility consolidation, which was partially offset by improvements in accrued liabilities due to the timing of restructuring, commissions, and payroll.</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investing activities was $9.2 million for the quarter ended October 31, 2013, compared to net cash provided by investing activities of $3.9 million in the same quarter of the prior year. The increase in cash used in investing activities of $13.1 million was primarily due to the cash received of $10.2 million from the divestitures of Brady Medical and Varitronics during the quarter ended October 31, 2012. In addition, capital expenditures increased by $2.9 million in the current quarter, primarily due to the facility consolidation activities in the U.S. and Europe and increased investments in digital technology in the WPS segment.</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cash used in financing activities was $29.7 million during the quarter ended October 31, 2013, compared to net cash used in financing activities of $12.7 million in the same quarter of the prior year. The increase in cash used in financing activities was primarily due to $24.0 million of repayments of notes payable in the current quarter, which was partially offset by the repurchase of $5.1 million of common shares that occurred in the prior year.</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fiscal 2004 through fiscal 2007, the Company completed three private placement note issuances totaling $500 million of ten-year fixed rate notes with varying maturity dates to institutional investors at interest rates varying from 5.14% to 5.33%. The notes must be repaid equally over seven years, with initial payment due dates ranging from 2008 to 2011, with interest payable on the notes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 2012, the Company and certain of its subsidiaries entered into an unsecured $300 million multi-currency revolving loan agreement with a group of six banks Under the revolving loan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to $450 million.</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December 2012, the Company drew down $220.0 million from its revolving loan agreement to fund a portion of the purchase price of the acquisition of PDC. The borrowings bear interest at LIBOR plus 1.125% per annum, which will be reset from time to time based upon changes in the LIBOR rate. As of July 31, 2013, there was $39.0 million outstanding on this revolving loan agreement. During the quarter ended October 31, 2013, the Company repaid an additional $24.0 million of this borrowing and the maximum amount outstanding on the revolving loan agreement was $39.0 million. As of October 31, 2013, the outstanding balance on the revolving loan agreement was $15.0 million and there was $285.0 million available for future borrowing under the credit facility, which could be increased to $435.0 million at the Company's option, subject to certain conditions.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2013, the Company entered into an unsecured $26.2 million multi-currency line of credit in China. The line of credit supports USD-denominated or RMB-denominated borrowing to fund working capital and operations for the Company's Chinese entities. Borrowings under this facility may be made for a period up to one year from the date of borrowing with interest on the borrowings incurred equal to U.S. Dollar LIBOR on the date of borrowing plus a margin based upon duration. There is no ultimate maturity of the facility and the facility is subject to periodic review and repricing. The Company is not required to comply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any financial covenants as part of this agreement. During fiscal 2014, the maximum amount outstanding was $11.4 million, comprised entirely of USD-denominated borrowings, which was the balance outstanding at October 31, 2013. As of October 31, 2013, there was $14.8 million available for future borrowing under this credit facility.</w:t>
      </w:r>
    </w:p>
    <w:p>
      <w:pPr>
        <w:spacing w:after="0" w:line="18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 EBITDA, as defined in the debt agreements, of not more than a 3.5 to 1.0 ratio (leverage ratio). As of October 31, 2013, the Company was in compliance with the financial covenant of the June 2004, February 2006, and March 2007 private placement agreements, with the ratio of debt to EBITDA, as defined by the agreements, equal to 1.7 to 1.0. As of October 31, 2013, the Company was in compliance with the financial covenant of the May 2010 private placement agreement, with the ratio of debt to EBITDA, as defined by the agreement, equal to 1.6 to 1.0. Additionally, the Company’s February 2012 revolving loan agreement requires the Company to maintain a ratio of debt to trailing twelve month EBITDA, as defined by the debt agreement, of not more than a 3.25 to 1.0 ratio. The revolving loan agreement requires the Company’s trailing twelve months EBITDA to interest expense of not less than a 3.0 to 1.0 ratio (interest expense coverage). As of October 31, 2013, the Company was in compliance with the financial covenants of the revolving loan agreement with the ratio of debt to EBITDA, as defined by the agreement, equal to 1.6 to 1.0 and the interest expense coverage ratio equal to 9.4 to 1.0.</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debt as a percentage of total debt plus stockholders' investment was 25.2% at October 31, 2013 and 27.4% at July 31, 2013. The decrease in the ratio was due to an increase in the Company’s stockholders’ investment of $35.2 million, which consisted of equivalent increases in both retained earnings and AOCI. Long-term obligations increased by $3.3 million due to the negative impact of foreign currency translation on the Company’s Euro-denominated debt.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Stockholders' investment increased $35.2 million from July 31, 2013 to October 31, 2013 primarily due to net earnings of $23.9 million and an increase in accumulated other comprehensive income of $14.1 million due to favorable currency translation. These increases were partially offset by $10.1 million of dividends paid.</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cash balances are generated and held in numerous locations throughout the world. At October 31, 2013, 90.1%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The Company believes that its current credit arrangements are sound and that the strength of its balance sheet will allow financial flexibility to respond to both internal growth opportunities and those available through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November 20, 2013, the Board of Directors declared a quarterly cash dividend to shareholders of the Company’s Class A and Class B Common Stock of $0.195 per share payable on January 31, 2014, to shareholders of record at the close of business on January 10,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or severity of the current worldwide economic downturn or timing or strength of a subsequent recovery;</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divestitures and businesses held for sale;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in our level of debt;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ownership structure;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w:t>
      </w:r>
    </w:p>
    <w:p>
      <w:pPr>
        <w:spacing w:after="0" w:line="13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2013. There has been no material change in this information since July 31, 2013.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Interim President and Chief Executive Officer and Chief Financial Officer, of the effectiveness of the design and operation of the Company’s disclosure controls and procedures pursuant to Rule 13a-15 of the Exchange Act. Based on that evaluation, the Company’s Interim President &amp; Chief Executive Officer and Chief Financial Officer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Restricted Stock Agreement with Thomas J. Felmer, dated October 7, 2013</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Change of Control Agreement, dated as of December 4, 2013, entered into with Helena R. Nelligan</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Change of Control Agreement, dated as of December 4, 2013, entered into with Lee E. Marks</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Thomas J. Felmer</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Thomas J. Felmer</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19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tabs>
          <w:tab w:leader="none" w:pos="7560" w:val="left"/>
        </w:tabs>
        <w:rPr>
          <w:sz w:val="20"/>
          <w:szCs w:val="20"/>
          <w:color w:val="auto"/>
        </w:rPr>
      </w:pPr>
      <w:r>
        <w:rPr>
          <w:rFonts w:ascii="Arial" w:cs="Arial" w:eastAsia="Arial" w:hAnsi="Arial"/>
          <w:sz w:val="18"/>
          <w:szCs w:val="18"/>
          <w:color w:val="auto"/>
        </w:rPr>
        <w:t>Date: December 6, 2013</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31750</wp:posOffset>
            </wp:positionV>
            <wp:extent cx="25984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7"/>
          <w:szCs w:val="17"/>
          <w:color w:val="auto"/>
        </w:rPr>
        <w:t>Interim President &amp; Chief Executive Officer and</w:t>
      </w:r>
    </w:p>
    <w:p>
      <w:pPr>
        <w:spacing w:after="0" w:line="3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Executive Officer and Principal Financial</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Officer)</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121" w:right="339" w:bottom="1440" w:gutter="0" w:footer="0" w:header="0"/>
        </w:sectPr>
      </w:pPr>
    </w:p>
    <w:bookmarkStart w:id="34" w:name="page35"/>
    <w:bookmarkEnd w:id="34"/>
    <w:p>
      <w:pPr>
        <w:ind w:left="10280"/>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AGREEMENT</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management’s recommendation, the Management Development and Compensation Committee (the “Committee”) of the Brady Corporation Board of Directors has awarded to Thomas J. Felmer (“Employee”) a restricted stock award effective October 7, 2013 pursuant to the terms of the Brady Corporation 2012 Omnibus Incentive Stock Plan (the “Plan”), all in accordance with and subject to the following terms and conditions:</w:t>
      </w:r>
    </w:p>
    <w:p>
      <w:pPr>
        <w:spacing w:after="0" w:line="16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Restricted Shares</w:t>
      </w:r>
    </w:p>
    <w:p>
      <w:pPr>
        <w:spacing w:after="0" w:line="27"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This Restricted Stock Award (the "Award") applies to 5,000 shares (the "Restricted Shares") of the presently authorized Class A Nonvoting Common Stock of the Corporation, $.01 par value (the “Common Stock”).</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Requirement</w:t>
      </w:r>
    </w:p>
    <w:p>
      <w:pPr>
        <w:spacing w:after="0" w:line="27"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following condition: the Employee must remain continuously employed by the Corporation as its Interim President and Chief Executive Officer from the date hereof until the earlier of (i) the expiration of his term as Interim President and Chief Executive Officer as determined by the Board of Directors or (ii) the appointment by the Board of Directors of a permanent President and Chief Executive Officer. Except as provided in Section 3, if the Employee terminates employment prior to the satisfaction of the vesting requirement set forth in this Section 2, the Restricted Shares shall immediately be forfeited. The period of time during which the Restricted Shares covered by this Award are forfeitable is referred to as the “Restricted Period.”</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7"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the Restricted Shares shall become unrestricted and fully vested.</w:t>
      </w:r>
    </w:p>
    <w:p>
      <w:pPr>
        <w:spacing w:after="0" w:line="1" w:lineRule="exact"/>
        <w:rPr>
          <w:rFonts w:ascii="Arial" w:cs="Arial" w:eastAsia="Arial" w:hAnsi="Arial"/>
          <w:sz w:val="18"/>
          <w:szCs w:val="18"/>
          <w:color w:val="auto"/>
        </w:rPr>
      </w:pPr>
    </w:p>
    <w:p>
      <w:pPr>
        <w:ind w:left="1300" w:right="20" w:hanging="644"/>
        <w:spacing w:after="0" w:line="261"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Shares shall become unrestricted and fully vested.</w:t>
      </w:r>
    </w:p>
    <w:p>
      <w:pPr>
        <w:spacing w:after="0" w:line="184"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4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97"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78" w:lineRule="exact"/>
        <w:rPr>
          <w:sz w:val="20"/>
          <w:szCs w:val="20"/>
          <w:color w:val="auto"/>
        </w:rPr>
      </w:pPr>
    </w:p>
    <w:p>
      <w:pPr>
        <w:jc w:val="both"/>
        <w:ind w:left="1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w:t>
      </w:r>
    </w:p>
    <w:p>
      <w:pPr>
        <w:sectPr>
          <w:pgSz w:w="11900" w:h="16838" w:orient="portrait"/>
          <w:cols w:equalWidth="0" w:num="1">
            <w:col w:w="11420"/>
          </w:cols>
          <w:pgMar w:left="240" w:top="580" w:right="2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color w:val="auto"/>
        </w:rPr>
        <w:t>shares of stock or other securities of another corporation, the Restricted Shares shall become unrestricted and fully vested.</w:t>
      </w:r>
    </w:p>
    <w:p>
      <w:pPr>
        <w:spacing w:after="0" w:line="23" w:lineRule="exact"/>
        <w:rPr>
          <w:sz w:val="20"/>
          <w:szCs w:val="20"/>
          <w:color w:val="auto"/>
        </w:rPr>
      </w:pPr>
    </w:p>
    <w:p>
      <w:pPr>
        <w:ind w:left="1300" w:right="20" w:hanging="644"/>
        <w:spacing w:after="0" w:line="27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the vesting of the Restricted Shares would result in any excise tax to the Employee as a result of Section 280G of the Code, the Corporation shall pay the Employee an amount equal to such excise tax.</w:t>
      </w:r>
    </w:p>
    <w:p>
      <w:pPr>
        <w:spacing w:after="0" w:line="16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Shares during the Restricted Period.</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No Guarantee of Employment.</w:t>
      </w:r>
    </w:p>
    <w:p>
      <w:pPr>
        <w:spacing w:after="0" w:line="27"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Nothing contained in this Agreement shall give the Employee the right to be retained in the employment of the Corporation or affect the right of the Corporation to dismiss the Employee.</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7" w:lineRule="exact"/>
        <w:rPr>
          <w:rFonts w:ascii="Arial" w:cs="Arial" w:eastAsia="Arial" w:hAnsi="Arial"/>
          <w:sz w:val="18"/>
          <w:szCs w:val="18"/>
          <w:color w:val="auto"/>
        </w:rPr>
      </w:pPr>
    </w:p>
    <w:p>
      <w:pPr>
        <w:jc w:val="both"/>
        <w:ind w:left="660"/>
        <w:spacing w:after="0" w:line="302" w:lineRule="auto"/>
        <w:rPr>
          <w:rFonts w:ascii="Arial" w:cs="Arial" w:eastAsia="Arial" w:hAnsi="Arial"/>
          <w:sz w:val="18"/>
          <w:szCs w:val="18"/>
          <w:color w:val="auto"/>
        </w:rPr>
      </w:pPr>
      <w:r>
        <w:rPr>
          <w:rFonts w:ascii="Arial" w:cs="Arial" w:eastAsia="Arial" w:hAnsi="Arial"/>
          <w:sz w:val="16"/>
          <w:szCs w:val="16"/>
          <w:color w:val="auto"/>
        </w:rPr>
        <w:t>This Award and the Restricted Shares (until they become unrestricted pursuant to the terms hereof) are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Shares shall be forfeited.</w:t>
      </w:r>
    </w:p>
    <w:p>
      <w:pPr>
        <w:spacing w:after="0" w:line="151"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7"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Shares becoming unrestricted and fully vested, and the Corporation may defer making delivery of Common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Common Stock (valued at Fair Market Value on the date of vesting and rounded upward) required to settle such withholding taxes.</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7" w:lineRule="exact"/>
        <w:rPr>
          <w:rFonts w:ascii="Arial" w:cs="Arial" w:eastAsia="Arial" w:hAnsi="Arial"/>
          <w:sz w:val="18"/>
          <w:szCs w:val="18"/>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If any of the Restricted Shares shall vest upon the death of the Employee, they shall be registered in the name of the estate of the Employee unless the Corporation shall have theretofore received in writing a beneficiary designation, in which event they shall be registered in the name of the designated beneficiary.</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10"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6" w:lineRule="exact"/>
        <w:rPr>
          <w:rFonts w:ascii="Arial" w:cs="Arial" w:eastAsia="Arial" w:hAnsi="Arial"/>
          <w:sz w:val="17"/>
          <w:szCs w:val="17"/>
          <w:color w:val="auto"/>
        </w:rPr>
      </w:pPr>
    </w:p>
    <w:p>
      <w:pPr>
        <w:jc w:val="both"/>
        <w:ind w:left="1960" w:hanging="655"/>
        <w:spacing w:after="0" w:line="250" w:lineRule="auto"/>
        <w:tabs>
          <w:tab w:leader="none" w:pos="19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 w:lineRule="exact"/>
        <w:rPr>
          <w:rFonts w:ascii="Arial" w:cs="Arial" w:eastAsia="Arial" w:hAnsi="Arial"/>
          <w:sz w:val="18"/>
          <w:szCs w:val="18"/>
          <w:color w:val="auto"/>
        </w:rPr>
      </w:pPr>
    </w:p>
    <w:p>
      <w:pPr>
        <w:ind w:left="1960" w:hanging="655"/>
        <w:spacing w:after="0" w:line="250" w:lineRule="auto"/>
        <w:tabs>
          <w:tab w:leader="none" w:pos="19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ind w:left="1960" w:hanging="655"/>
        <w:spacing w:after="0" w:line="261" w:lineRule="auto"/>
        <w:tabs>
          <w:tab w:leader="none" w:pos="19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Company’s proprietary programs, processes or software, consisting of but not limited to, computer programs in source or object code and all related documentation and training materials, including all</w:t>
      </w:r>
    </w:p>
    <w:p>
      <w:pPr>
        <w:sectPr>
          <w:pgSz w:w="11900" w:h="16838" w:orient="portrait"/>
          <w:cols w:equalWidth="0" w:num="1">
            <w:col w:w="11420"/>
          </w:cols>
          <w:pgMar w:left="240" w:top="611" w:right="239" w:bottom="1440" w:gutter="0" w:footer="0" w:header="0"/>
        </w:sectPr>
      </w:pPr>
    </w:p>
    <w:bookmarkStart w:id="36" w:name="page37"/>
    <w:bookmarkEnd w:id="36"/>
    <w:p>
      <w:pPr>
        <w:ind w:left="1304" w:right="20"/>
        <w:spacing w:after="0" w:line="282" w:lineRule="auto"/>
        <w:rPr>
          <w:sz w:val="20"/>
          <w:szCs w:val="20"/>
          <w:color w:val="auto"/>
        </w:rPr>
      </w:pPr>
      <w:r>
        <w:rPr>
          <w:rFonts w:ascii="Arial" w:cs="Arial" w:eastAsia="Arial" w:hAnsi="Arial"/>
          <w:sz w:val="18"/>
          <w:szCs w:val="18"/>
          <w:color w:val="auto"/>
        </w:rPr>
        <w:t>upgrades, updates, improvements, derivatives and modifications thereof and including programs and documentation in incomplete stages of design or research and development;</w:t>
      </w:r>
    </w:p>
    <w:p>
      <w:pPr>
        <w:spacing w:after="0" w:line="1" w:lineRule="exact"/>
        <w:rPr>
          <w:sz w:val="20"/>
          <w:szCs w:val="20"/>
          <w:color w:val="auto"/>
        </w:rPr>
      </w:pPr>
    </w:p>
    <w:p>
      <w:pPr>
        <w:jc w:val="both"/>
        <w:ind w:left="1304" w:hanging="655"/>
        <w:spacing w:after="0" w:line="255"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 w:lineRule="exact"/>
        <w:rPr>
          <w:rFonts w:ascii="Arial" w:cs="Arial" w:eastAsia="Arial" w:hAnsi="Arial"/>
          <w:sz w:val="18"/>
          <w:szCs w:val="18"/>
          <w:color w:val="auto"/>
        </w:rPr>
      </w:pPr>
    </w:p>
    <w:p>
      <w:pPr>
        <w:jc w:val="both"/>
        <w:ind w:left="1304" w:hanging="655"/>
        <w:spacing w:after="0" w:line="255" w:lineRule="auto"/>
        <w:tabs>
          <w:tab w:leader="none" w:pos="13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90" w:lineRule="exact"/>
        <w:rPr>
          <w:rFonts w:ascii="Arial" w:cs="Arial" w:eastAsia="Arial" w:hAnsi="Arial"/>
          <w:sz w:val="18"/>
          <w:szCs w:val="18"/>
          <w:color w:val="auto"/>
        </w:rPr>
      </w:pPr>
    </w:p>
    <w:p>
      <w:pPr>
        <w:jc w:val="both"/>
        <w:ind w:left="644" w:hanging="644"/>
        <w:spacing w:after="0" w:line="253" w:lineRule="auto"/>
        <w:tabs>
          <w:tab w:leader="none" w:pos="6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3" w:lineRule="exact"/>
        <w:rPr>
          <w:rFonts w:ascii="Arial" w:cs="Arial" w:eastAsia="Arial" w:hAnsi="Arial"/>
          <w:sz w:val="18"/>
          <w:szCs w:val="18"/>
          <w:color w:val="auto"/>
        </w:rPr>
      </w:pPr>
    </w:p>
    <w:p>
      <w:pPr>
        <w:jc w:val="both"/>
        <w:ind w:left="1304" w:hanging="655"/>
        <w:spacing w:after="0" w:line="265" w:lineRule="auto"/>
        <w:tabs>
          <w:tab w:leader="none" w:pos="1304" w:val="left"/>
        </w:tabs>
        <w:numPr>
          <w:ilvl w:val="1"/>
          <w:numId w:val="16"/>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jc w:val="both"/>
        <w:ind w:left="1304" w:hanging="655"/>
        <w:spacing w:after="0" w:line="252"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94" w:lineRule="exact"/>
        <w:rPr>
          <w:sz w:val="20"/>
          <w:szCs w:val="20"/>
          <w:color w:val="auto"/>
        </w:rPr>
      </w:pPr>
    </w:p>
    <w:p>
      <w:pPr>
        <w:jc w:val="both"/>
        <w:ind w:left="644"/>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644" w:hanging="644"/>
        <w:spacing w:after="0" w:line="254" w:lineRule="auto"/>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644" w:right="20" w:hanging="644"/>
        <w:spacing w:after="0" w:line="264" w:lineRule="auto"/>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644" w:hanging="644"/>
        <w:spacing w:after="0"/>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pacing w:after="0" w:line="225"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ectPr>
          <w:pgSz w:w="11900" w:h="16838" w:orient="portrait"/>
          <w:cols w:equalWidth="0" w:num="1">
            <w:col w:w="10764"/>
          </w:cols>
          <w:pgMar w:left="896" w:top="611" w:right="239" w:bottom="1440" w:gutter="0" w:footer="0" w:header="0"/>
        </w:sectPr>
      </w:pPr>
    </w:p>
    <w:bookmarkStart w:id="37" w:name="page38"/>
    <w:bookmarkEnd w:id="37"/>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7" w:lineRule="exact"/>
        <w:rPr>
          <w:rFonts w:ascii="Arial" w:cs="Arial" w:eastAsia="Arial" w:hAnsi="Arial"/>
          <w:sz w:val="18"/>
          <w:szCs w:val="18"/>
          <w:color w:val="auto"/>
        </w:rPr>
      </w:pPr>
    </w:p>
    <w:p>
      <w:pPr>
        <w:jc w:val="both"/>
        <w:ind w:left="660"/>
        <w:spacing w:after="0" w:line="277"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6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7"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WITNESS WHEREOF, the Corporation has granted this Award as of the day and year first above written</w:t>
      </w:r>
    </w:p>
    <w:p>
      <w:pPr>
        <w:spacing w:after="0" w:line="379"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BRADY CORPORATION</w:t>
      </w:r>
    </w:p>
    <w:p>
      <w:pPr>
        <w:spacing w:after="0" w:line="6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LOUIS T. BOLOGNINI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31750</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Its: Senior Vice President, General Counsel &amp; Secretary</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Thomas J. Felmer, hereby accept the foregoing Award and agree to the terms and conditions thereof, including the restrictions contained in Section 9 of this Agreement.</w:t>
      </w:r>
    </w:p>
    <w:p>
      <w:pPr>
        <w:spacing w:after="0" w:line="32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EMPLOYEE: THOMAS J. FELMER</w:t>
      </w:r>
    </w:p>
    <w:p>
      <w:pPr>
        <w:spacing w:after="0" w:line="6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31750</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ind w:left="10280"/>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AGREEMENT, made as of December 4, 2013, between Brady Corporation, a Wisconsin corporation, (“Corporation”) and Helena Nelligan.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is now serving as an executive of the Corporation in a position of importance and responsibility;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264"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50" w:lineRule="exact"/>
        <w:rPr>
          <w:sz w:val="20"/>
          <w:szCs w:val="20"/>
          <w:color w:val="auto"/>
        </w:rPr>
      </w:pPr>
    </w:p>
    <w:p>
      <w:pPr>
        <w:jc w:val="both"/>
        <w:ind w:firstLine="1305"/>
        <w:spacing w:after="0" w:line="306" w:lineRule="auto"/>
        <w:tabs>
          <w:tab w:leader="none" w:pos="21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86" w:lineRule="exact"/>
        <w:rPr>
          <w:rFonts w:ascii="Arial" w:cs="Arial" w:eastAsia="Arial" w:hAnsi="Arial"/>
          <w:sz w:val="18"/>
          <w:szCs w:val="18"/>
          <w:color w:val="auto"/>
        </w:rPr>
      </w:pPr>
    </w:p>
    <w:p>
      <w:pPr>
        <w:jc w:val="both"/>
        <w:ind w:firstLine="1305"/>
        <w:spacing w:after="0" w:line="321" w:lineRule="auto"/>
        <w:tabs>
          <w:tab w:leader="none" w:pos="21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77" w:lineRule="exact"/>
        <w:rPr>
          <w:rFonts w:ascii="Arial" w:cs="Arial" w:eastAsia="Arial" w:hAnsi="Arial"/>
          <w:sz w:val="17"/>
          <w:szCs w:val="17"/>
          <w:color w:val="auto"/>
        </w:rPr>
      </w:pPr>
    </w:p>
    <w:p>
      <w:pPr>
        <w:jc w:val="both"/>
        <w:ind w:firstLine="1305"/>
        <w:spacing w:after="0" w:line="323" w:lineRule="auto"/>
        <w:tabs>
          <w:tab w:leader="none" w:pos="21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77" w:lineRule="exact"/>
        <w:rPr>
          <w:rFonts w:ascii="Arial" w:cs="Arial" w:eastAsia="Arial" w:hAnsi="Arial"/>
          <w:sz w:val="17"/>
          <w:szCs w:val="17"/>
          <w:color w:val="auto"/>
        </w:rPr>
      </w:pPr>
    </w:p>
    <w:p>
      <w:pPr>
        <w:jc w:val="both"/>
        <w:ind w:firstLine="1305"/>
        <w:spacing w:after="0" w:line="315" w:lineRule="auto"/>
        <w:tabs>
          <w:tab w:leader="none" w:pos="21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ind w:left="2160" w:hanging="855"/>
        <w:spacing w:after="0"/>
        <w:tabs>
          <w:tab w:leader="none" w:pos="2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ectPr>
          <w:pgSz w:w="11900" w:h="16838" w:orient="portrait"/>
          <w:cols w:equalWidth="0" w:num="1">
            <w:col w:w="11420"/>
          </w:cols>
          <w:pgMar w:left="240" w:top="580" w:right="239" w:bottom="1440" w:gutter="0" w:footer="0" w:header="0"/>
        </w:sectPr>
      </w:pPr>
    </w:p>
    <w:bookmarkStart w:id="39" w:name="page40"/>
    <w:bookmarkEnd w:id="39"/>
    <w:p>
      <w:pPr>
        <w:ind w:left="660"/>
        <w:spacing w:after="0"/>
        <w:tabs>
          <w:tab w:leader="none" w:pos="28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PAYMENTS UPON TERMINATION DUE TO CHANGE OF CONTROL.</w:t>
      </w:r>
    </w:p>
    <w:p>
      <w:pPr>
        <w:spacing w:after="0" w:line="266" w:lineRule="exact"/>
        <w:rPr>
          <w:sz w:val="20"/>
          <w:szCs w:val="20"/>
          <w:color w:val="auto"/>
        </w:rPr>
      </w:pPr>
    </w:p>
    <w:p>
      <w:pPr>
        <w:ind w:left="2160" w:hanging="855"/>
        <w:spacing w:after="0"/>
        <w:tabs>
          <w:tab w:leader="none" w:pos="2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Following Termination Due to Change of Control, the Executive shall be paid an amount equal to the annual base salary paid</w:t>
      </w:r>
    </w:p>
    <w:p>
      <w:pPr>
        <w:spacing w:after="0" w:line="72"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the Executive by the Corporation in effect immediately prior to the date the Change of Control occurs, and the average bonus payment received in the three years immediately prior to the date the Change of Control occurs. Such amount shall be paid in 12 monthly installments beginning on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month following the month in which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Executive’s employment with the Corporation terminates.</w:t>
      </w:r>
    </w:p>
    <w:p>
      <w:pPr>
        <w:spacing w:after="0" w:line="251" w:lineRule="exact"/>
        <w:rPr>
          <w:rFonts w:ascii="Arial" w:cs="Arial" w:eastAsia="Arial" w:hAnsi="Arial"/>
          <w:sz w:val="16"/>
          <w:szCs w:val="16"/>
          <w:color w:val="auto"/>
        </w:rPr>
      </w:pPr>
    </w:p>
    <w:p>
      <w:pPr>
        <w:jc w:val="both"/>
        <w:ind w:firstLine="1305"/>
        <w:spacing w:after="0" w:line="304" w:lineRule="auto"/>
        <w:tabs>
          <w:tab w:leader="none" w:pos="21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88" w:lineRule="exact"/>
        <w:rPr>
          <w:rFonts w:ascii="Arial" w:cs="Arial" w:eastAsia="Arial" w:hAnsi="Arial"/>
          <w:sz w:val="18"/>
          <w:szCs w:val="18"/>
          <w:color w:val="auto"/>
        </w:rPr>
      </w:pPr>
    </w:p>
    <w:p>
      <w:pPr>
        <w:jc w:val="both"/>
        <w:ind w:firstLine="1305"/>
        <w:spacing w:after="0" w:line="319" w:lineRule="auto"/>
        <w:tabs>
          <w:tab w:leader="none" w:pos="2144" w:val="left"/>
        </w:tabs>
        <w:numPr>
          <w:ilvl w:val="0"/>
          <w:numId w:val="20"/>
        </w:numPr>
        <w:rPr>
          <w:rFonts w:ascii="Arial" w:cs="Arial" w:eastAsia="Arial" w:hAnsi="Arial"/>
          <w:sz w:val="17"/>
          <w:szCs w:val="17"/>
          <w:color w:val="auto"/>
        </w:rPr>
      </w:pPr>
      <w:r>
        <w:rPr>
          <w:rFonts w:ascii="Arial" w:cs="Arial" w:eastAsia="Arial" w:hAnsi="Arial"/>
          <w:sz w:val="17"/>
          <w:szCs w:val="17"/>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84"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EXCISE TAX, ATTORNEY FEES.</w:t>
      </w:r>
    </w:p>
    <w:p>
      <w:pPr>
        <w:spacing w:after="0" w:line="50" w:lineRule="exact"/>
        <w:rPr>
          <w:sz w:val="20"/>
          <w:szCs w:val="20"/>
          <w:color w:val="auto"/>
        </w:rPr>
      </w:pPr>
    </w:p>
    <w:p>
      <w:pPr>
        <w:jc w:val="both"/>
        <w:ind w:firstLine="1305"/>
        <w:spacing w:after="0" w:line="311" w:lineRule="auto"/>
        <w:tabs>
          <w:tab w:leader="none" w:pos="21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81" w:lineRule="exact"/>
        <w:rPr>
          <w:rFonts w:ascii="Arial" w:cs="Arial" w:eastAsia="Arial" w:hAnsi="Arial"/>
          <w:sz w:val="18"/>
          <w:szCs w:val="18"/>
          <w:color w:val="auto"/>
        </w:rPr>
      </w:pPr>
    </w:p>
    <w:p>
      <w:pPr>
        <w:ind w:right="20" w:firstLine="1305"/>
        <w:spacing w:after="0" w:line="324" w:lineRule="auto"/>
        <w:tabs>
          <w:tab w:leader="none" w:pos="21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70"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DEATH AFTER THE EXECUTIVE HAS BEGUN RECEIVING PAYMENTS.</w:t>
      </w:r>
    </w:p>
    <w:p>
      <w:pPr>
        <w:spacing w:after="0" w:line="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98"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CONFIDENTIAL INFORMATION AGREEMENT.</w:t>
      </w:r>
    </w:p>
    <w:p>
      <w:pPr>
        <w:spacing w:after="0" w:line="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219"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MISCELLANEOUS.</w:t>
      </w:r>
    </w:p>
    <w:p>
      <w:pPr>
        <w:spacing w:after="0" w:line="50" w:lineRule="exact"/>
        <w:rPr>
          <w:sz w:val="20"/>
          <w:szCs w:val="20"/>
          <w:color w:val="auto"/>
        </w:rPr>
      </w:pPr>
    </w:p>
    <w:p>
      <w:pPr>
        <w:jc w:val="both"/>
        <w:ind w:firstLine="1305"/>
        <w:spacing w:after="0" w:line="336" w:lineRule="auto"/>
        <w:tabs>
          <w:tab w:leader="none" w:pos="2144"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and shall also be enforceable by the Executive’s legal representatives.</w:t>
      </w:r>
    </w:p>
    <w:p>
      <w:pPr>
        <w:spacing w:after="0" w:line="164" w:lineRule="exact"/>
        <w:rPr>
          <w:rFonts w:ascii="Arial" w:cs="Arial" w:eastAsia="Arial" w:hAnsi="Arial"/>
          <w:sz w:val="17"/>
          <w:szCs w:val="17"/>
          <w:color w:val="auto"/>
        </w:rPr>
      </w:pPr>
    </w:p>
    <w:p>
      <w:pPr>
        <w:jc w:val="both"/>
        <w:ind w:firstLine="1305"/>
        <w:spacing w:after="0" w:line="311" w:lineRule="auto"/>
        <w:tabs>
          <w:tab w:leader="none" w:pos="21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w:t>
      </w:r>
    </w:p>
    <w:p>
      <w:pPr>
        <w:sectPr>
          <w:pgSz w:w="11900" w:h="16838" w:orient="portrait"/>
          <w:cols w:equalWidth="0" w:num="1">
            <w:col w:w="11420"/>
          </w:cols>
          <w:pgMar w:left="240" w:top="611" w:right="239" w:bottom="1440" w:gutter="0" w:footer="0" w:header="0"/>
        </w:sectPr>
      </w:pPr>
    </w:p>
    <w:bookmarkStart w:id="40" w:name="page41"/>
    <w:bookmarkEnd w:id="40"/>
    <w:p>
      <w:pPr>
        <w:ind w:right="20"/>
        <w:spacing w:after="0" w:line="324" w:lineRule="auto"/>
        <w:rPr>
          <w:sz w:val="20"/>
          <w:szCs w:val="20"/>
          <w:color w:val="auto"/>
        </w:rPr>
      </w:pPr>
      <w:r>
        <w:rPr>
          <w:rFonts w:ascii="Arial" w:cs="Arial" w:eastAsia="Arial" w:hAnsi="Arial"/>
          <w:sz w:val="18"/>
          <w:szCs w:val="18"/>
          <w:color w:val="auto"/>
        </w:rPr>
        <w:t>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70" w:lineRule="exact"/>
        <w:rPr>
          <w:sz w:val="20"/>
          <w:szCs w:val="20"/>
          <w:color w:val="auto"/>
        </w:rPr>
      </w:pPr>
    </w:p>
    <w:p>
      <w:pPr>
        <w:jc w:val="both"/>
        <w:ind w:firstLine="1305"/>
        <w:spacing w:after="0" w:line="311" w:lineRule="auto"/>
        <w:tabs>
          <w:tab w:leader="none" w:pos="21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81" w:lineRule="exact"/>
        <w:rPr>
          <w:rFonts w:ascii="Arial" w:cs="Arial" w:eastAsia="Arial" w:hAnsi="Arial"/>
          <w:sz w:val="18"/>
          <w:szCs w:val="18"/>
          <w:color w:val="auto"/>
        </w:rPr>
      </w:pPr>
    </w:p>
    <w:p>
      <w:pPr>
        <w:ind w:right="20" w:firstLine="1305"/>
        <w:spacing w:after="0" w:line="324" w:lineRule="auto"/>
        <w:tabs>
          <w:tab w:leader="none" w:pos="21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143"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color w:val="auto"/>
        </w:rPr>
        <w:t>If to the Executive:</w:t>
      </w:r>
      <w:r>
        <w:rPr>
          <w:sz w:val="20"/>
          <w:szCs w:val="20"/>
          <w:color w:val="auto"/>
        </w:rPr>
        <w:tab/>
      </w:r>
      <w:r>
        <w:rPr>
          <w:rFonts w:ascii="Arial" w:cs="Arial" w:eastAsia="Arial" w:hAnsi="Arial"/>
          <w:sz w:val="16"/>
          <w:szCs w:val="16"/>
          <w:color w:val="auto"/>
        </w:rPr>
        <w:t>Helena Nelligan</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color w:val="auto"/>
        </w:rPr>
        <w:t>If to the Corporation:</w:t>
      </w:r>
      <w:r>
        <w:rPr>
          <w:sz w:val="20"/>
          <w:szCs w:val="20"/>
          <w:color w:val="auto"/>
        </w:rPr>
        <w:tab/>
      </w:r>
      <w:r>
        <w:rPr>
          <w:rFonts w:ascii="Arial" w:cs="Arial" w:eastAsia="Arial" w:hAnsi="Arial"/>
          <w:sz w:val="16"/>
          <w:szCs w:val="16"/>
          <w:color w:val="auto"/>
        </w:rPr>
        <w:t>Brady Corporation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CFO</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97" w:lineRule="exact"/>
        <w:rPr>
          <w:sz w:val="20"/>
          <w:szCs w:val="20"/>
          <w:color w:val="auto"/>
        </w:rPr>
      </w:pPr>
    </w:p>
    <w:p>
      <w:pPr>
        <w:jc w:val="both"/>
        <w:ind w:left="660" w:firstLine="645"/>
        <w:spacing w:after="0" w:line="306" w:lineRule="auto"/>
        <w:tabs>
          <w:tab w:leader="none" w:pos="2156"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86" w:lineRule="exact"/>
        <w:rPr>
          <w:rFonts w:ascii="Arial" w:cs="Arial" w:eastAsia="Arial" w:hAnsi="Arial"/>
          <w:sz w:val="18"/>
          <w:szCs w:val="18"/>
          <w:color w:val="auto"/>
        </w:rPr>
      </w:pPr>
    </w:p>
    <w:p>
      <w:pPr>
        <w:ind w:firstLine="1224"/>
        <w:spacing w:after="0" w:line="324" w:lineRule="auto"/>
        <w:tabs>
          <w:tab w:leader="none" w:pos="21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170" w:lineRule="exact"/>
        <w:rPr>
          <w:rFonts w:ascii="Arial" w:cs="Arial" w:eastAsia="Arial" w:hAnsi="Arial"/>
          <w:sz w:val="18"/>
          <w:szCs w:val="18"/>
          <w:color w:val="auto"/>
        </w:rPr>
      </w:pPr>
    </w:p>
    <w:p>
      <w:pPr>
        <w:jc w:val="both"/>
        <w:ind w:firstLine="1224"/>
        <w:spacing w:after="0" w:line="336" w:lineRule="auto"/>
        <w:tabs>
          <w:tab w:leader="none" w:pos="21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64" w:lineRule="exact"/>
        <w:rPr>
          <w:rFonts w:ascii="Arial" w:cs="Arial" w:eastAsia="Arial" w:hAnsi="Arial"/>
          <w:sz w:val="17"/>
          <w:szCs w:val="17"/>
          <w:color w:val="auto"/>
        </w:rPr>
      </w:pPr>
    </w:p>
    <w:p>
      <w:pPr>
        <w:jc w:val="both"/>
        <w:ind w:firstLine="1224"/>
        <w:spacing w:after="0" w:line="336" w:lineRule="auto"/>
        <w:tabs>
          <w:tab w:leader="none" w:pos="21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64" w:lineRule="exact"/>
        <w:rPr>
          <w:rFonts w:ascii="Arial" w:cs="Arial" w:eastAsia="Arial" w:hAnsi="Arial"/>
          <w:sz w:val="17"/>
          <w:szCs w:val="17"/>
          <w:color w:val="auto"/>
        </w:rPr>
      </w:pPr>
    </w:p>
    <w:p>
      <w:pPr>
        <w:ind w:firstLine="1305"/>
        <w:spacing w:after="0" w:line="395" w:lineRule="auto"/>
        <w:tabs>
          <w:tab w:leader="none" w:pos="2115" w:val="left"/>
        </w:tabs>
        <w:numPr>
          <w:ilvl w:val="1"/>
          <w:numId w:val="25"/>
        </w:numPr>
        <w:rPr>
          <w:rFonts w:ascii="Arial" w:cs="Arial" w:eastAsia="Arial" w:hAnsi="Arial"/>
          <w:sz w:val="16"/>
          <w:szCs w:val="16"/>
          <w:color w:val="auto"/>
        </w:rPr>
      </w:pPr>
      <w:r>
        <w:rPr>
          <w:rFonts w:ascii="Arial" w:cs="Arial" w:eastAsia="Arial" w:hAnsi="Arial"/>
          <w:sz w:val="16"/>
          <w:szCs w:val="16"/>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23" w:lineRule="exact"/>
        <w:rPr>
          <w:rFonts w:ascii="Arial" w:cs="Arial" w:eastAsia="Arial" w:hAnsi="Arial"/>
          <w:sz w:val="16"/>
          <w:szCs w:val="16"/>
          <w:color w:val="auto"/>
        </w:rPr>
      </w:pPr>
    </w:p>
    <w:p>
      <w:pPr>
        <w:ind w:firstLine="1305"/>
        <w:spacing w:after="0" w:line="395" w:lineRule="auto"/>
        <w:tabs>
          <w:tab w:leader="none" w:pos="2115"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23" w:lineRule="exact"/>
        <w:rPr>
          <w:rFonts w:ascii="Arial" w:cs="Arial" w:eastAsia="Arial" w:hAnsi="Arial"/>
          <w:sz w:val="16"/>
          <w:szCs w:val="16"/>
          <w:color w:val="auto"/>
        </w:rPr>
      </w:pPr>
    </w:p>
    <w:p>
      <w:pPr>
        <w:jc w:val="both"/>
        <w:ind w:firstLine="1305"/>
        <w:spacing w:after="0" w:line="306" w:lineRule="auto"/>
        <w:tabs>
          <w:tab w:leader="none" w:pos="21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187"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CLAIMS PROCEDURE.</w:t>
      </w:r>
    </w:p>
    <w:p>
      <w:pPr>
        <w:spacing w:after="0" w:line="50" w:lineRule="exact"/>
        <w:rPr>
          <w:sz w:val="20"/>
          <w:szCs w:val="20"/>
          <w:color w:val="auto"/>
        </w:rPr>
      </w:pPr>
    </w:p>
    <w:p>
      <w:pPr>
        <w:ind w:right="20" w:firstLine="1305"/>
        <w:spacing w:after="0" w:line="324" w:lineRule="auto"/>
        <w:tabs>
          <w:tab w:leader="none" w:pos="21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Claim Review. If the Executive or the Executive’s Beneficiary (a “Claimant”) believes that he or she has been denied all or a portion of a benefit under this Agreement, he or she may file a written claim for benefits with the</w:t>
      </w:r>
    </w:p>
    <w:p>
      <w:pPr>
        <w:sectPr>
          <w:pgSz w:w="11900" w:h="16838" w:orient="portrait"/>
          <w:cols w:equalWidth="0" w:num="1">
            <w:col w:w="11420"/>
          </w:cols>
          <w:pgMar w:left="240" w:top="611" w:right="239" w:bottom="1440" w:gutter="0" w:footer="0" w:header="0"/>
        </w:sectPr>
      </w:pPr>
    </w:p>
    <w:bookmarkStart w:id="41" w:name="page42"/>
    <w:bookmarkEnd w:id="41"/>
    <w:p>
      <w:pPr>
        <w:jc w:val="both"/>
        <w:spacing w:after="0" w:line="304" w:lineRule="auto"/>
        <w:rPr>
          <w:sz w:val="20"/>
          <w:szCs w:val="20"/>
          <w:color w:val="auto"/>
        </w:rPr>
      </w:pPr>
      <w:r>
        <w:rPr>
          <w:rFonts w:ascii="Arial" w:cs="Arial" w:eastAsia="Arial" w:hAnsi="Arial"/>
          <w:sz w:val="18"/>
          <w:szCs w:val="18"/>
          <w:color w:val="auto"/>
        </w:rPr>
        <w:t>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8" w:lineRule="exact"/>
        <w:rPr>
          <w:sz w:val="20"/>
          <w:szCs w:val="20"/>
          <w:color w:val="auto"/>
        </w:rPr>
      </w:pPr>
    </w:p>
    <w:p>
      <w:pPr>
        <w:jc w:val="both"/>
        <w:ind w:firstLine="1305"/>
        <w:spacing w:after="0" w:line="302" w:lineRule="auto"/>
        <w:tabs>
          <w:tab w:leader="none" w:pos="21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330"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/s/ HELENA NELLIGAN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27305</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Executive - Helena Nelligan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Senior Vice President - Human Resources</w:t>
      </w:r>
    </w:p>
    <w:p>
      <w:pPr>
        <w:spacing w:after="0" w:line="36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Brady Corporation</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THOMAS J. FELMER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Interim President and Chief Executive Officer; Senior Vice President and</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61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OF CONTROL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AGREEMENT, made as of December 4, 2013, between Brady Corporation, a Wisconsin corporation, (“Corporation”) and Lee E. Marks.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is now serving as an executive of the Corporation in a position of importance and responsibility; and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promises and covenants set forth herein, the Executive and Corporation agree as follows:</w:t>
      </w:r>
    </w:p>
    <w:p>
      <w:pPr>
        <w:spacing w:after="0" w:line="264"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266" w:lineRule="exact"/>
        <w:rPr>
          <w:sz w:val="20"/>
          <w:szCs w:val="20"/>
          <w:color w:val="auto"/>
        </w:rPr>
      </w:pPr>
    </w:p>
    <w:p>
      <w:pPr>
        <w:jc w:val="both"/>
        <w:ind w:left="660" w:firstLine="1293"/>
        <w:spacing w:after="0" w:line="306" w:lineRule="auto"/>
        <w:tabs>
          <w:tab w:leader="none" w:pos="28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186" w:lineRule="exact"/>
        <w:rPr>
          <w:rFonts w:ascii="Arial" w:cs="Arial" w:eastAsia="Arial" w:hAnsi="Arial"/>
          <w:sz w:val="18"/>
          <w:szCs w:val="18"/>
          <w:color w:val="auto"/>
        </w:rPr>
      </w:pPr>
    </w:p>
    <w:p>
      <w:pPr>
        <w:jc w:val="both"/>
        <w:ind w:left="660" w:firstLine="1293"/>
        <w:spacing w:after="0" w:line="343" w:lineRule="auto"/>
        <w:tabs>
          <w:tab w:leader="none" w:pos="28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Termination Due to Change of Control. A “Termination Due to Change of Control” shall occur if within the 24 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165" w:lineRule="exact"/>
        <w:rPr>
          <w:rFonts w:ascii="Arial" w:cs="Arial" w:eastAsia="Arial" w:hAnsi="Arial"/>
          <w:sz w:val="16"/>
          <w:szCs w:val="16"/>
          <w:color w:val="auto"/>
        </w:rPr>
      </w:pPr>
    </w:p>
    <w:p>
      <w:pPr>
        <w:jc w:val="both"/>
        <w:ind w:left="660" w:firstLine="1293"/>
        <w:spacing w:after="0" w:line="346" w:lineRule="auto"/>
        <w:tabs>
          <w:tab w:leader="none" w:pos="2804"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164" w:lineRule="exact"/>
        <w:rPr>
          <w:rFonts w:ascii="Arial" w:cs="Arial" w:eastAsia="Arial" w:hAnsi="Arial"/>
          <w:sz w:val="16"/>
          <w:szCs w:val="16"/>
          <w:color w:val="auto"/>
        </w:rPr>
      </w:pPr>
    </w:p>
    <w:p>
      <w:pPr>
        <w:jc w:val="both"/>
        <w:ind w:left="660" w:firstLine="1293"/>
        <w:spacing w:after="0" w:line="302" w:lineRule="auto"/>
        <w:tabs>
          <w:tab w:leader="none" w:pos="2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92" w:lineRule="exact"/>
        <w:rPr>
          <w:rFonts w:ascii="Arial" w:cs="Arial" w:eastAsia="Arial" w:hAnsi="Arial"/>
          <w:sz w:val="18"/>
          <w:szCs w:val="18"/>
          <w:color w:val="auto"/>
        </w:rPr>
      </w:pPr>
    </w:p>
    <w:p>
      <w:pPr>
        <w:ind w:left="2800" w:hanging="847"/>
        <w:spacing w:after="0"/>
        <w:tabs>
          <w:tab w:leader="none" w:pos="2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ectPr>
          <w:pgSz w:w="11900" w:h="16838" w:orient="portrait"/>
          <w:cols w:equalWidth="0" w:num="1">
            <w:col w:w="11420"/>
          </w:cols>
          <w:pgMar w:left="240" w:top="580" w:right="239" w:bottom="1440" w:gutter="0" w:footer="0" w:header="0"/>
        </w:sectPr>
      </w:pPr>
    </w:p>
    <w:bookmarkStart w:id="43" w:name="page44"/>
    <w:bookmarkEnd w:id="43"/>
    <w:p>
      <w:pPr>
        <w:ind w:left="1300"/>
        <w:spacing w:after="0"/>
        <w:tabs>
          <w:tab w:leader="none" w:pos="35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PAYMENTS UPON TERMINATION DUE TO CHANGE OF CONTROL.</w:t>
      </w:r>
    </w:p>
    <w:p>
      <w:pPr>
        <w:spacing w:after="0" w:line="266" w:lineRule="exact"/>
        <w:rPr>
          <w:sz w:val="20"/>
          <w:szCs w:val="20"/>
          <w:color w:val="auto"/>
        </w:rPr>
      </w:pPr>
    </w:p>
    <w:p>
      <w:pPr>
        <w:jc w:val="both"/>
        <w:ind w:left="660" w:firstLine="1293"/>
        <w:spacing w:after="0" w:line="334" w:lineRule="auto"/>
        <w:tabs>
          <w:tab w:leader="none" w:pos="2804"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Following Termination Due to Change of Control, the Executive shall be paid an amount equal to two times the annual base salary paid the Executive by the Corporation in effect immediately prior to the date the Change of Control occurs, and two times the average</w:t>
      </w:r>
    </w:p>
    <w:p>
      <w:pPr>
        <w:spacing w:after="0" w:line="1" w:lineRule="exact"/>
        <w:rPr>
          <w:rFonts w:ascii="Arial" w:cs="Arial" w:eastAsia="Arial" w:hAnsi="Arial"/>
          <w:sz w:val="16"/>
          <w:szCs w:val="16"/>
          <w:color w:val="auto"/>
        </w:rPr>
      </w:pPr>
    </w:p>
    <w:p>
      <w:pPr>
        <w:ind w:left="660" w:right="20"/>
        <w:spacing w:after="0" w:line="355" w:lineRule="auto"/>
        <w:rPr>
          <w:rFonts w:ascii="Arial" w:cs="Arial" w:eastAsia="Arial" w:hAnsi="Arial"/>
          <w:sz w:val="16"/>
          <w:szCs w:val="16"/>
          <w:color w:val="auto"/>
        </w:rPr>
      </w:pPr>
      <w:r>
        <w:rPr>
          <w:rFonts w:ascii="Arial" w:cs="Arial" w:eastAsia="Arial" w:hAnsi="Arial"/>
          <w:sz w:val="16"/>
          <w:szCs w:val="16"/>
          <w:color w:val="auto"/>
        </w:rPr>
        <w:t>bonus payment received in the three years immediately prior to the date the Change of Control occurs. Such amount shall be paid in 24 monthly installments beginning on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the month following the month in which the Executive's employment with the Corporation terminates.</w:t>
      </w:r>
    </w:p>
    <w:p>
      <w:pPr>
        <w:spacing w:after="0" w:line="82" w:lineRule="exact"/>
        <w:rPr>
          <w:rFonts w:ascii="Arial" w:cs="Arial" w:eastAsia="Arial" w:hAnsi="Arial"/>
          <w:sz w:val="16"/>
          <w:szCs w:val="16"/>
          <w:color w:val="auto"/>
        </w:rPr>
      </w:pPr>
    </w:p>
    <w:p>
      <w:pPr>
        <w:jc w:val="both"/>
        <w:ind w:left="660" w:firstLine="1293"/>
        <w:spacing w:after="0" w:line="304" w:lineRule="auto"/>
        <w:tabs>
          <w:tab w:leader="none" w:pos="2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188" w:lineRule="exact"/>
        <w:rPr>
          <w:rFonts w:ascii="Arial" w:cs="Arial" w:eastAsia="Arial" w:hAnsi="Arial"/>
          <w:sz w:val="18"/>
          <w:szCs w:val="18"/>
          <w:color w:val="auto"/>
        </w:rPr>
      </w:pPr>
    </w:p>
    <w:p>
      <w:pPr>
        <w:jc w:val="both"/>
        <w:ind w:left="660" w:firstLine="1293"/>
        <w:spacing w:after="0" w:line="341" w:lineRule="auto"/>
        <w:tabs>
          <w:tab w:leader="none" w:pos="280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168"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EXCISE TAX, ATTORNEY FEES.</w:t>
      </w:r>
    </w:p>
    <w:p>
      <w:pPr>
        <w:spacing w:after="0" w:line="266" w:lineRule="exact"/>
        <w:rPr>
          <w:sz w:val="20"/>
          <w:szCs w:val="20"/>
          <w:color w:val="auto"/>
        </w:rPr>
      </w:pPr>
    </w:p>
    <w:p>
      <w:pPr>
        <w:jc w:val="both"/>
        <w:ind w:left="660" w:firstLine="1293"/>
        <w:spacing w:after="0" w:line="311" w:lineRule="auto"/>
        <w:tabs>
          <w:tab w:leader="none" w:pos="28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181" w:lineRule="exact"/>
        <w:rPr>
          <w:rFonts w:ascii="Arial" w:cs="Arial" w:eastAsia="Arial" w:hAnsi="Arial"/>
          <w:sz w:val="18"/>
          <w:szCs w:val="18"/>
          <w:color w:val="auto"/>
        </w:rPr>
      </w:pPr>
    </w:p>
    <w:p>
      <w:pPr>
        <w:ind w:left="660" w:firstLine="1293"/>
        <w:spacing w:after="0" w:line="357" w:lineRule="auto"/>
        <w:tabs>
          <w:tab w:leader="none" w:pos="28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148" w:lineRule="exact"/>
        <w:rPr>
          <w:sz w:val="20"/>
          <w:szCs w:val="20"/>
          <w:color w:val="auto"/>
        </w:rPr>
      </w:pPr>
    </w:p>
    <w:p>
      <w:pPr>
        <w:ind w:left="1300"/>
        <w:spacing w:after="0"/>
        <w:tabs>
          <w:tab w:leader="none" w:pos="35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DEATH AFTER THE EXECUTIVE HAS BEGUN RECEIVING PAYMENTS.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CONFIDENTIAL INFORMATION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Executive has obligations under the separate Confidential Information Agreement between the Executive and the Corporation which continue beyond the Executive's termination of employment. The payments to be made hereunder are conditioned upon the Executive's compliance with the terms of the Confidential Information Agreement. The payments made hereunder shall be reduced by any payments the Corporation makes to the Executive under Section 3 of the Confidential Information Agreement. In the event the Executive violates the provisions of the Confidential Information Agreement, no further payments shall be due hereunder and the Executive shall be obligated to repay all previous payments received hereunder in the same manner as provided in Section 4 of the Confidential Information Agreement.</w:t>
      </w:r>
    </w:p>
    <w:p>
      <w:pPr>
        <w:spacing w:after="0" w:line="193"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MISCELLANEOUS.</w:t>
      </w:r>
    </w:p>
    <w:p>
      <w:pPr>
        <w:spacing w:after="0" w:line="252" w:lineRule="exact"/>
        <w:rPr>
          <w:sz w:val="20"/>
          <w:szCs w:val="20"/>
          <w:color w:val="auto"/>
        </w:rPr>
      </w:pPr>
    </w:p>
    <w:p>
      <w:pPr>
        <w:ind w:left="660" w:firstLine="1293"/>
        <w:spacing w:after="0" w:line="324" w:lineRule="auto"/>
        <w:tabs>
          <w:tab w:leader="none" w:pos="28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Non-Assignability. This Agreement is personal to the Executive and, without the prior written consent of the Corporation, shall not be assignable by the Executive otherwise than by will or the laws of descent and</w:t>
      </w:r>
    </w:p>
    <w:p>
      <w:pPr>
        <w:sectPr>
          <w:pgSz w:w="11900" w:h="16838" w:orient="portrait"/>
          <w:cols w:equalWidth="0" w:num="1">
            <w:col w:w="11420"/>
          </w:cols>
          <w:pgMar w:left="240" w:top="828" w:right="239" w:bottom="1440" w:gutter="0" w:footer="0" w:header="0"/>
        </w:sectPr>
      </w:pPr>
    </w:p>
    <w:bookmarkStart w:id="44" w:name="page45"/>
    <w:bookmarkEnd w:id="44"/>
    <w:p>
      <w:pPr>
        <w:ind w:left="660"/>
        <w:spacing w:after="0" w:line="324" w:lineRule="auto"/>
        <w:rPr>
          <w:sz w:val="20"/>
          <w:szCs w:val="20"/>
          <w:color w:val="auto"/>
        </w:rPr>
      </w:pPr>
      <w:r>
        <w:rPr>
          <w:rFonts w:ascii="Arial" w:cs="Arial" w:eastAsia="Arial" w:hAnsi="Arial"/>
          <w:sz w:val="18"/>
          <w:szCs w:val="18"/>
          <w:color w:val="auto"/>
        </w:rPr>
        <w:t>distribution. This Agreement shall inure to the benefit of and be binding upon the Corporation and its successors and assigns and shall also be enforceable by the Executive's legal representatives.</w:t>
      </w:r>
    </w:p>
    <w:p>
      <w:pPr>
        <w:spacing w:after="0" w:line="170" w:lineRule="exact"/>
        <w:rPr>
          <w:sz w:val="20"/>
          <w:szCs w:val="20"/>
          <w:color w:val="auto"/>
        </w:rPr>
      </w:pPr>
    </w:p>
    <w:p>
      <w:pPr>
        <w:jc w:val="both"/>
        <w:ind w:left="660" w:firstLine="1293"/>
        <w:spacing w:after="0" w:line="304" w:lineRule="auto"/>
        <w:tabs>
          <w:tab w:leader="none" w:pos="2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188" w:lineRule="exact"/>
        <w:rPr>
          <w:rFonts w:ascii="Arial" w:cs="Arial" w:eastAsia="Arial" w:hAnsi="Arial"/>
          <w:sz w:val="18"/>
          <w:szCs w:val="18"/>
          <w:color w:val="auto"/>
        </w:rPr>
      </w:pPr>
    </w:p>
    <w:p>
      <w:pPr>
        <w:jc w:val="both"/>
        <w:ind w:left="660" w:right="20" w:firstLine="1293"/>
        <w:spacing w:after="0" w:line="311" w:lineRule="auto"/>
        <w:tabs>
          <w:tab w:leader="none" w:pos="28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Wisconsin, without reference to principles of conflict of laws, to the extent not preempted by federal law. The captions of this Agreement are not part of the provisions hereof and shall have no force or effect.</w:t>
      </w:r>
    </w:p>
    <w:p>
      <w:pPr>
        <w:spacing w:after="0" w:line="181" w:lineRule="exact"/>
        <w:rPr>
          <w:rFonts w:ascii="Arial" w:cs="Arial" w:eastAsia="Arial" w:hAnsi="Arial"/>
          <w:sz w:val="18"/>
          <w:szCs w:val="18"/>
          <w:color w:val="auto"/>
        </w:rPr>
      </w:pPr>
    </w:p>
    <w:p>
      <w:pPr>
        <w:ind w:left="660" w:firstLine="1293"/>
        <w:spacing w:after="0" w:line="324" w:lineRule="auto"/>
        <w:tabs>
          <w:tab w:leader="none" w:pos="2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ectPr>
          <w:pgSz w:w="11900" w:h="16838" w:orient="portrait"/>
          <w:cols w:equalWidth="0" w:num="1">
            <w:col w:w="11420"/>
          </w:cols>
          <w:pgMar w:left="240" w:top="611" w:right="239" w:bottom="1440" w:gutter="0" w:footer="0" w:header="0"/>
        </w:sectPr>
      </w:pP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Lee Marks</w:t>
      </w:r>
    </w:p>
    <w:p>
      <w:pPr>
        <w:spacing w:after="0" w:line="46" w:lineRule="exact"/>
        <w:rPr>
          <w:sz w:val="20"/>
          <w:szCs w:val="20"/>
          <w:color w:val="auto"/>
        </w:rPr>
      </w:pPr>
    </w:p>
    <w:p>
      <w:pPr>
        <w:sectPr>
          <w:pgSz w:w="11900" w:h="16838" w:orient="portrait"/>
          <w:cols w:equalWidth="0" w:num="2">
            <w:col w:w="2680" w:space="360"/>
            <w:col w:w="8380"/>
          </w:cols>
          <w:pgMar w:left="240" w:top="611" w:right="239" w:bottom="1440" w:gutter="0" w:footer="0" w:header="0"/>
          <w:type w:val="continuous"/>
        </w:sectPr>
      </w:pPr>
    </w:p>
    <w:p>
      <w:pPr>
        <w:ind w:left="3900"/>
        <w:spacing w:after="0"/>
        <w:rPr>
          <w:sz w:val="20"/>
          <w:szCs w:val="20"/>
          <w:color w:val="auto"/>
        </w:rPr>
      </w:pPr>
      <w:r>
        <w:rPr>
          <w:rFonts w:ascii="Arial" w:cs="Arial" w:eastAsia="Arial" w:hAnsi="Arial"/>
          <w:sz w:val="17"/>
          <w:szCs w:val="17"/>
          <w:color w:val="auto"/>
        </w:rPr>
        <w:t>1100 E. Lexington Blvd</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Whitefish Bay, WI 53217</w:t>
      </w:r>
    </w:p>
    <w:p>
      <w:pPr>
        <w:sectPr>
          <w:pgSz w:w="11900" w:h="16838" w:orient="portrait"/>
          <w:cols w:equalWidth="0" w:num="1">
            <w:col w:w="11420"/>
          </w:cols>
          <w:pgMar w:left="240" w:top="611" w:right="239" w:bottom="1440" w:gutter="0" w:footer="0" w:header="0"/>
          <w:type w:val="continuous"/>
        </w:sectPr>
      </w:pP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the Corporation: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6555 West Good Hope Road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Milwaukee, Wisconsin 53223</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 CFO</w:t>
      </w:r>
    </w:p>
    <w:p>
      <w:pPr>
        <w:spacing w:after="0" w:line="200" w:lineRule="exact"/>
        <w:rPr>
          <w:sz w:val="20"/>
          <w:szCs w:val="20"/>
          <w:color w:val="auto"/>
        </w:rPr>
      </w:pPr>
    </w:p>
    <w:p>
      <w:pPr>
        <w:sectPr>
          <w:pgSz w:w="11900" w:h="16838" w:orient="portrait"/>
          <w:cols w:equalWidth="0" w:num="2">
            <w:col w:w="2840" w:space="360"/>
            <w:col w:w="8220"/>
          </w:cols>
          <w:pgMar w:left="240" w:top="611" w:right="2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70" w:lineRule="exact"/>
        <w:rPr>
          <w:sz w:val="20"/>
          <w:szCs w:val="20"/>
          <w:color w:val="auto"/>
        </w:rPr>
      </w:pPr>
    </w:p>
    <w:p>
      <w:pPr>
        <w:jc w:val="both"/>
        <w:ind w:firstLine="1305"/>
        <w:spacing w:after="0" w:line="259" w:lineRule="auto"/>
        <w:tabs>
          <w:tab w:leader="none" w:pos="16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w:t>
      </w:r>
    </w:p>
    <w:p>
      <w:pPr>
        <w:spacing w:after="0" w:line="186" w:lineRule="exact"/>
        <w:rPr>
          <w:rFonts w:ascii="Arial" w:cs="Arial" w:eastAsia="Arial" w:hAnsi="Arial"/>
          <w:sz w:val="18"/>
          <w:szCs w:val="18"/>
          <w:color w:val="auto"/>
        </w:rPr>
      </w:pPr>
    </w:p>
    <w:p>
      <w:pPr>
        <w:ind w:firstLine="1305"/>
        <w:spacing w:after="0" w:line="277" w:lineRule="auto"/>
        <w:tabs>
          <w:tab w:leader="none" w:pos="18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Guarantee of Employment. Nothing contained in this Agreement shall give the Executive the right to be retained in the employment of the Corporation or affect the right of the Corporation to dismiss the Executive.</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746" w:val="left"/>
        </w:tabs>
        <w:numPr>
          <w:ilvl w:val="0"/>
          <w:numId w:val="33"/>
        </w:numPr>
        <w:rPr>
          <w:rFonts w:ascii="Arial" w:cs="Arial" w:eastAsia="Arial" w:hAnsi="Arial"/>
          <w:sz w:val="17"/>
          <w:szCs w:val="17"/>
          <w:color w:val="auto"/>
        </w:rPr>
      </w:pPr>
      <w:r>
        <w:rPr>
          <w:rFonts w:ascii="Arial" w:cs="Arial" w:eastAsia="Arial" w:hAnsi="Arial"/>
          <w:sz w:val="17"/>
          <w:szCs w:val="17"/>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pacing w:after="0" w:line="165" w:lineRule="exact"/>
        <w:rPr>
          <w:rFonts w:ascii="Arial" w:cs="Arial" w:eastAsia="Arial" w:hAnsi="Arial"/>
          <w:sz w:val="17"/>
          <w:szCs w:val="17"/>
          <w:color w:val="auto"/>
        </w:rPr>
      </w:pPr>
    </w:p>
    <w:p>
      <w:pPr>
        <w:jc w:val="both"/>
        <w:ind w:firstLine="1305"/>
        <w:spacing w:after="0" w:line="286" w:lineRule="auto"/>
        <w:tabs>
          <w:tab w:leader="none" w:pos="1693"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165" w:lineRule="exact"/>
        <w:rPr>
          <w:rFonts w:ascii="Arial" w:cs="Arial" w:eastAsia="Arial" w:hAnsi="Arial"/>
          <w:sz w:val="17"/>
          <w:szCs w:val="17"/>
          <w:color w:val="auto"/>
        </w:rPr>
      </w:pPr>
    </w:p>
    <w:p>
      <w:pPr>
        <w:ind w:firstLine="1305"/>
        <w:spacing w:after="0" w:line="342" w:lineRule="auto"/>
        <w:tabs>
          <w:tab w:leader="none" w:pos="1772"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23" w:lineRule="exact"/>
        <w:rPr>
          <w:rFonts w:ascii="Arial" w:cs="Arial" w:eastAsia="Arial" w:hAnsi="Arial"/>
          <w:sz w:val="16"/>
          <w:szCs w:val="16"/>
          <w:color w:val="auto"/>
        </w:rPr>
      </w:pPr>
    </w:p>
    <w:p>
      <w:pPr>
        <w:ind w:firstLine="1305"/>
        <w:spacing w:after="0" w:line="308" w:lineRule="auto"/>
        <w:tabs>
          <w:tab w:leader="none" w:pos="173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6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w:t>
      </w:r>
    </w:p>
    <w:p>
      <w:pPr>
        <w:sectPr>
          <w:pgSz w:w="11900" w:h="16838" w:orient="portrait"/>
          <w:cols w:equalWidth="0" w:num="1">
            <w:col w:w="11420"/>
          </w:cols>
          <w:pgMar w:left="240" w:top="611"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color w:val="auto"/>
        </w:rPr>
        <w:t>shall constitute a full discharge with respect to the Corporation and the Corporation shall not be required to see to the application of any distribution so made.</w:t>
      </w:r>
    </w:p>
    <w:p>
      <w:pPr>
        <w:spacing w:after="0" w:line="248"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CLAIMS PROCEDURE.</w:t>
      </w:r>
    </w:p>
    <w:p>
      <w:pPr>
        <w:spacing w:after="0" w:line="252" w:lineRule="exact"/>
        <w:rPr>
          <w:sz w:val="20"/>
          <w:szCs w:val="20"/>
          <w:color w:val="auto"/>
        </w:rPr>
      </w:pPr>
    </w:p>
    <w:p>
      <w:pPr>
        <w:jc w:val="both"/>
        <w:ind w:left="660" w:firstLine="1293"/>
        <w:spacing w:after="0" w:line="302" w:lineRule="auto"/>
        <w:tabs>
          <w:tab w:leader="none" w:pos="28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 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189" w:lineRule="exact"/>
        <w:rPr>
          <w:rFonts w:ascii="Arial" w:cs="Arial" w:eastAsia="Arial" w:hAnsi="Arial"/>
          <w:sz w:val="18"/>
          <w:szCs w:val="18"/>
          <w:color w:val="auto"/>
        </w:rPr>
      </w:pPr>
    </w:p>
    <w:p>
      <w:pPr>
        <w:jc w:val="both"/>
        <w:ind w:left="660" w:firstLine="1293"/>
        <w:spacing w:after="0" w:line="323" w:lineRule="auto"/>
        <w:tabs>
          <w:tab w:leader="none" w:pos="27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5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LEE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31750</wp:posOffset>
            </wp:positionV>
            <wp:extent cx="3404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Executive - Lee E. Marks</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Vice President - Global Operations and Supply Chain</w:t>
      </w: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Brady Corporation</w:t>
      </w:r>
    </w:p>
    <w:p>
      <w:pPr>
        <w:spacing w:after="0" w:line="36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31750</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Interim President and Chief Executive Officer; Senior Vice President and</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90" w:lineRule="exact"/>
        <w:rPr>
          <w:sz w:val="20"/>
          <w:szCs w:val="20"/>
          <w:color w:val="auto"/>
        </w:rPr>
      </w:pPr>
    </w:p>
    <w:p>
      <w:pPr>
        <w:ind w:left="700" w:hanging="26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6,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President &amp; Chief Executive Officer and Chief Financial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 and Principal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6,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President &amp; Chief Executive Officer and Chief Financial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5"/>
    </w:lvl>
  </w:abstractNum>
  <w:abstractNum w:abstractNumId="3">
    <w:nsid w:val="333AB105"/>
    <w:multiLevelType w:val="hybridMultilevel"/>
    <w:lvl w:ilvl="0">
      <w:lvlJc w:val="left"/>
      <w:lvlText w:val="(%1)"/>
      <w:numFmt w:val="decimal"/>
      <w:start w:val="90"/>
    </w:lvl>
  </w:abstractNum>
  <w:abstractNum w:abstractNumId="4">
    <w:nsid w:val="721DA317"/>
    <w:multiLevelType w:val="hybridMultilevel"/>
    <w:lvl w:ilvl="0">
      <w:lvlJc w:val="left"/>
      <w:lvlText w:val="(%1)"/>
      <w:numFmt w:val="decimal"/>
      <w:start w:val="105"/>
    </w:lvl>
  </w:abstractNum>
  <w:abstractNum w:abstractNumId="5">
    <w:nsid w:val="2443A858"/>
    <w:multiLevelType w:val="hybridMultilevel"/>
    <w:lvl w:ilvl="0">
      <w:lvlJc w:val="left"/>
      <w:lvlText w:val="(%1)"/>
      <w:numFmt w:val="decimal"/>
      <w:start w:val="407"/>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lvl w:ilvl="1">
      <w:lvlJc w:val="left"/>
      <w:lvlText w:val="(%2)"/>
      <w:numFmt w:val="lowerLetter"/>
      <w:start w:val="1"/>
    </w:lvl>
  </w:abstractNum>
  <w:abstractNum w:abstractNumId="11">
    <w:nsid w:val="4353D0CD"/>
    <w:multiLevelType w:val="hybridMultilevel"/>
    <w:lvl w:ilvl="0">
      <w:lvlJc w:val="left"/>
      <w:lvlText w:val="(%1)"/>
      <w:numFmt w:val="lowerLetter"/>
      <w:start w:val="3"/>
    </w:lvl>
  </w:abstractNum>
  <w:abstractNum w:abstractNumId="12">
    <w:nsid w:val="B03E0C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3">
    <w:nsid w:val="189A769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
    <w:nsid w:val="54E49EB4"/>
    <w:multiLevelType w:val="hybridMultilevel"/>
    <w:lvl w:ilvl="0">
      <w:lvlJc w:val="left"/>
      <w:lvlText w:val="%1"/>
      <w:numFmt w:val="lowerLetter"/>
      <w:start w:val="1"/>
    </w:lvl>
    <w:lvl w:ilvl="1">
      <w:lvlJc w:val="left"/>
      <w:lvlText w:val="(%2)"/>
      <w:numFmt w:val="lowerRoman"/>
      <w:start w:val="4"/>
    </w:lvl>
  </w:abstractNum>
  <w:abstractNum w:abstractNumId="15">
    <w:nsid w:val="71F32454"/>
    <w:multiLevelType w:val="hybridMultilevel"/>
    <w:lvl w:ilvl="0">
      <w:lvlJc w:val="left"/>
      <w:lvlText w:val="(%1)"/>
      <w:numFmt w:val="lowerLetter"/>
      <w:start w:val="1"/>
    </w:lvl>
    <w:lvl w:ilvl="1">
      <w:lvlJc w:val="left"/>
      <w:lvlText w:val="(%2)"/>
      <w:numFmt w:val="lowerRoman"/>
      <w:start w:val="1"/>
    </w:lvl>
  </w:abstractNum>
  <w:abstractNum w:abstractNumId="16">
    <w:nsid w:val="2CA88611"/>
    <w:multiLevelType w:val="hybridMultilevel"/>
    <w:lvl w:ilvl="0">
      <w:lvlJc w:val="left"/>
      <w:lvlText w:val="(%1)"/>
      <w:numFmt w:val="lowerLetter"/>
      <w:start w:val="2"/>
    </w:lvl>
  </w:abstractNum>
  <w:abstractNum w:abstractNumId="17">
    <w:nsid w:val="836C40E"/>
    <w:multiLevelType w:val="hybridMultilevel"/>
    <w:lvl w:ilvl="0">
      <w:lvlJc w:val="left"/>
      <w:lvlText w:val="%1."/>
      <w:numFmt w:val="decimal"/>
      <w:start w:val="10"/>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3"/>
    </w:lvl>
  </w:abstractNum>
  <w:abstractNum w:abstractNumId="23">
    <w:nsid w:val="737B8DDC"/>
    <w:multiLevelType w:val="hybridMultilevel"/>
    <w:lvl w:ilvl="0">
      <w:lvlJc w:val="left"/>
      <w:lvlText w:val="%1"/>
      <w:numFmt w:val="lowerLetter"/>
      <w:start w:val="1"/>
    </w:lvl>
    <w:lvl w:ilvl="1">
      <w:lvlJc w:val="left"/>
      <w:lvlText w:val="(%2)"/>
      <w:numFmt w:val="lowerLetter"/>
      <w:start w:val="5"/>
    </w:lvl>
  </w:abstractNum>
  <w:abstractNum w:abstractNumId="24">
    <w:nsid w:val="6CEAF087"/>
    <w:multiLevelType w:val="hybridMultilevel"/>
    <w:lvl w:ilvl="0">
      <w:lvlJc w:val="left"/>
      <w:lvlText w:val="(%1)"/>
      <w:numFmt w:val="lowerLetter"/>
      <w:start w:val="6"/>
    </w:lvl>
    <w:lvl w:ilvl="1">
      <w:lvlJc w:val="left"/>
      <w:lvlText w:val="(%2)"/>
      <w:numFmt w:val="lowerLetter"/>
      <w:start w:val="9"/>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2"/>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5"/>
    </w:lvl>
  </w:abstractNum>
  <w:abstractNum w:abstractNumId="33">
    <w:nsid w:val="3804823E"/>
    <w:multiLevelType w:val="hybridMultilevel"/>
    <w:lvl w:ilvl="0">
      <w:lvlJc w:val="left"/>
      <w:lvlText w:val="(%1)"/>
      <w:numFmt w:val="lowerLetter"/>
      <w:start w:val="5"/>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decimal"/>
      <w:start w:val="5"/>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2019-12-05T21:33:31Z</dcterms:created>
  <dcterms:modified xsi:type="dcterms:W3CDTF">2019-12-05T21:33:31Z</dcterms:modified>
</cp:coreProperties>
</file>