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15</w:t>
      </w:r>
    </w:p>
    <w:p>
      <w:pPr>
        <w:spacing w:after="0" w:line="103" w:lineRule="exact"/>
        <w:rPr>
          <w:sz w:val="24"/>
          <w:szCs w:val="24"/>
          <w:color w:val="auto"/>
        </w:rPr>
      </w:pPr>
    </w:p>
    <w:p>
      <w:pPr>
        <w:jc w:val="center"/>
        <w:ind w:left="360" w:right="1920"/>
        <w:spacing w:after="0" w:line="248" w:lineRule="auto"/>
        <w:rPr>
          <w:sz w:val="20"/>
          <w:szCs w:val="20"/>
          <w:color w:val="auto"/>
        </w:rPr>
      </w:pPr>
      <w:r>
        <w:rPr>
          <w:rFonts w:ascii="Arial" w:cs="Arial" w:eastAsia="Arial" w:hAnsi="Arial"/>
          <w:sz w:val="20"/>
          <w:szCs w:val="20"/>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333-44505</w:t>
      </w:r>
    </w:p>
    <w:p>
      <w:pPr>
        <w:spacing w:after="0" w:line="106" w:lineRule="exact"/>
        <w:rPr>
          <w:sz w:val="24"/>
          <w:szCs w:val="24"/>
          <w:color w:val="auto"/>
        </w:rPr>
      </w:pPr>
    </w:p>
    <w:p>
      <w:pPr>
        <w:ind w:left="4660"/>
        <w:spacing w:after="0"/>
        <w:rPr>
          <w:sz w:val="20"/>
          <w:szCs w:val="20"/>
          <w:color w:val="auto"/>
        </w:rPr>
      </w:pPr>
      <w:r>
        <w:rPr>
          <w:rFonts w:ascii="Arial" w:cs="Arial" w:eastAsia="Arial" w:hAnsi="Arial"/>
          <w:sz w:val="23"/>
          <w:szCs w:val="23"/>
          <w:color w:val="auto"/>
        </w:rPr>
        <w:t>__________________</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Brady Matched 401(k) Plan</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6555 West Good Hope Road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(414) 358-6600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Plan interests in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f/k/a BradyGold Plan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each class of securities covered by this Form)</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Brady Corporation Class A Nonvoting Common Stock, par value $.01 per share</w:t>
      </w:r>
      <w:r>
        <w:rPr>
          <w:rFonts w:ascii="Arial" w:cs="Arial" w:eastAsia="Arial" w:hAnsi="Arial"/>
          <w:sz w:val="25"/>
          <w:szCs w:val="25"/>
          <w:b w:val="1"/>
          <w:bCs w:val="1"/>
          <w:color w:val="auto"/>
          <w:vertAlign w:val="superscript"/>
        </w:rPr>
        <w:t>1</w:t>
      </w:r>
    </w:p>
    <w:p>
      <w:pPr>
        <w:jc w:val="center"/>
        <w:ind w:right="-119"/>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pacing w:after="0" w:line="139" w:lineRule="exact"/>
        <w:rPr>
          <w:sz w:val="24"/>
          <w:szCs w:val="24"/>
          <w:color w:val="auto"/>
        </w:rPr>
      </w:pPr>
    </w:p>
    <w:tbl>
      <w:tblPr>
        <w:tblLayout w:type="fixed"/>
        <w:tblInd w:w="1340" w:type="dxa"/>
        <w:tblCellMar>
          <w:top w:w="0" w:type="dxa"/>
          <w:left w:w="0" w:type="dxa"/>
          <w:bottom w:w="0" w:type="dxa"/>
          <w:right w:w="0" w:type="dxa"/>
        </w:tblCellMar>
      </w:tblP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Rule 12g-4(a)(1)</w:t>
            </w:r>
          </w:p>
        </w:tc>
        <w:tc>
          <w:tcPr>
            <w:tcW w:w="38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660" w:type="dxa"/>
            <w:vAlign w:val="bottom"/>
          </w:tcPr>
          <w:p>
            <w:pPr>
              <w:spacing w:after="0"/>
              <w:rPr>
                <w:sz w:val="20"/>
                <w:szCs w:val="20"/>
                <w:color w:val="auto"/>
              </w:rPr>
            </w:pPr>
            <w:r>
              <w:rPr>
                <w:rFonts w:ascii="Arial" w:cs="Arial" w:eastAsia="Arial" w:hAnsi="Arial"/>
                <w:sz w:val="18"/>
                <w:szCs w:val="18"/>
                <w:color w:val="auto"/>
              </w:rPr>
              <w:t>Rule 12g-4(a)(2)</w:t>
            </w:r>
          </w:p>
        </w:tc>
        <w:tc>
          <w:tcPr>
            <w:tcW w:w="38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0"/>
        </w:trPr>
        <w:tc>
          <w:tcPr>
            <w:tcW w:w="1660" w:type="dxa"/>
            <w:vAlign w:val="bottom"/>
          </w:tcPr>
          <w:p>
            <w:pPr>
              <w:spacing w:after="0"/>
              <w:rPr>
                <w:sz w:val="20"/>
                <w:szCs w:val="20"/>
                <w:color w:val="auto"/>
              </w:rPr>
            </w:pPr>
            <w:r>
              <w:rPr>
                <w:rFonts w:ascii="Arial" w:cs="Arial" w:eastAsia="Arial" w:hAnsi="Arial"/>
                <w:sz w:val="18"/>
                <w:szCs w:val="18"/>
                <w:color w:val="auto"/>
              </w:rPr>
              <w:t>Rule 12h-3(b)(1)(i)</w:t>
            </w:r>
          </w:p>
        </w:tc>
        <w:tc>
          <w:tcPr>
            <w:tcW w:w="380" w:type="dxa"/>
            <w:vAlign w:val="bottom"/>
          </w:tcPr>
          <w:p>
            <w:pPr>
              <w:jc w:val="center"/>
              <w:ind w:left="130"/>
              <w:spacing w:after="0"/>
              <w:rPr>
                <w:sz w:val="20"/>
                <w:szCs w:val="20"/>
                <w:color w:val="auto"/>
              </w:rPr>
            </w:pPr>
            <w:r>
              <w:rPr>
                <w:rFonts w:ascii="Arial" w:cs="Arial" w:eastAsia="Arial" w:hAnsi="Arial"/>
                <w:sz w:val="18"/>
                <w:szCs w:val="18"/>
                <w:color w:val="auto"/>
                <w:w w:val="88"/>
              </w:rPr>
              <w:t>x</w:t>
            </w:r>
          </w:p>
        </w:tc>
      </w:tr>
      <w:tr>
        <w:trPr>
          <w:trHeight w:val="277"/>
        </w:trPr>
        <w:tc>
          <w:tcPr>
            <w:tcW w:w="1660" w:type="dxa"/>
            <w:vAlign w:val="bottom"/>
          </w:tcPr>
          <w:p>
            <w:pPr>
              <w:spacing w:after="0"/>
              <w:rPr>
                <w:sz w:val="20"/>
                <w:szCs w:val="20"/>
                <w:color w:val="auto"/>
              </w:rPr>
            </w:pPr>
            <w:r>
              <w:rPr>
                <w:rFonts w:ascii="Arial" w:cs="Arial" w:eastAsia="Arial" w:hAnsi="Arial"/>
                <w:sz w:val="18"/>
                <w:szCs w:val="18"/>
                <w:color w:val="auto"/>
              </w:rPr>
              <w:t>Rule 12h-3(b)(1)(ii)</w:t>
            </w:r>
          </w:p>
        </w:tc>
        <w:tc>
          <w:tcPr>
            <w:tcW w:w="38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Rule 15d-6</w:t>
            </w:r>
          </w:p>
        </w:tc>
        <w:tc>
          <w:tcPr>
            <w:tcW w:w="38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660" w:type="dxa"/>
            <w:vAlign w:val="bottom"/>
          </w:tcPr>
          <w:p>
            <w:pPr>
              <w:spacing w:after="0"/>
              <w:rPr>
                <w:sz w:val="20"/>
                <w:szCs w:val="20"/>
                <w:color w:val="auto"/>
              </w:rPr>
            </w:pPr>
            <w:r>
              <w:rPr>
                <w:rFonts w:ascii="Arial" w:cs="Arial" w:eastAsia="Arial" w:hAnsi="Arial"/>
                <w:sz w:val="18"/>
                <w:szCs w:val="18"/>
                <w:color w:val="auto"/>
              </w:rPr>
              <w:t>Rule 15d-22(b)</w:t>
            </w:r>
          </w:p>
        </w:tc>
        <w:tc>
          <w:tcPr>
            <w:tcW w:w="38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Approximate number of holders of record as of the certification or notice date: None</w:t>
      </w:r>
      <w:r>
        <w:rPr>
          <w:rFonts w:ascii="Arial" w:cs="Arial" w:eastAsia="Arial" w:hAnsi="Arial"/>
          <w:sz w:val="25"/>
          <w:szCs w:val="25"/>
          <w:color w:val="auto"/>
          <w:vertAlign w:val="superscript"/>
        </w:rPr>
        <w:t>2</w:t>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4"/>
          <w:szCs w:val="24"/>
          <w:color w:val="auto"/>
        </w:rPr>
      </w:pPr>
    </w:p>
    <w:p>
      <w:pPr>
        <w:jc w:val="both"/>
        <w:ind w:right="60" w:firstLine="8"/>
        <w:spacing w:after="0" w:line="226" w:lineRule="auto"/>
        <w:tabs>
          <w:tab w:leader="none" w:pos="108"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Although the duty to file reports under Section 13(a) or 15(d) of the Securities Exchange Act of 1934, as amended, has been terminated with respect to the Brady Matched 401(k) Plan (the “Plan”), the duty to file reports under Section 13(a) or 15(d) remains with respect to Brady Corporation Class A Nonvoting Common Stock, par value $.01 per share (“Common Stock”).</w:t>
      </w:r>
    </w:p>
    <w:p>
      <w:pPr>
        <w:spacing w:after="0" w:line="2" w:lineRule="exact"/>
        <w:rPr>
          <w:rFonts w:ascii="Arial" w:cs="Arial" w:eastAsia="Arial" w:hAnsi="Arial"/>
          <w:sz w:val="25"/>
          <w:szCs w:val="25"/>
          <w:color w:val="auto"/>
          <w:vertAlign w:val="superscript"/>
        </w:rPr>
      </w:pPr>
    </w:p>
    <w:p>
      <w:pPr>
        <w:spacing w:after="0" w:line="209"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The Plan no longer offers Common Stock as an investment option. Therefore, interests in the Plan no longer require registration. Accordingly, this Form 15 is being filed solely to suspend the Plan’s duty to file reports under Section 15(d), including on Form 11-K.</w:t>
      </w:r>
    </w:p>
    <w:p>
      <w:pPr>
        <w:sectPr>
          <w:pgSz w:w="11900" w:h="16838" w:orient="portrait"/>
          <w:cols w:equalWidth="0" w:num="1">
            <w:col w:w="11320"/>
          </w:cols>
          <w:pgMar w:left="240" w:top="693" w:right="33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Brady Matched 401(k) Plan has caused this certification/notice to be signed on its behalf by the undersigned duly authorized person.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4840" w:type="dxa"/>
            <w:vAlign w:val="bottom"/>
            <w:gridSpan w:val="3"/>
          </w:tcPr>
          <w:p>
            <w:pPr>
              <w:ind w:left="1480"/>
              <w:spacing w:after="0"/>
              <w:rPr>
                <w:sz w:val="20"/>
                <w:szCs w:val="20"/>
                <w:color w:val="auto"/>
              </w:rPr>
            </w:pPr>
            <w:r>
              <w:rPr>
                <w:rFonts w:ascii="Arial" w:cs="Arial" w:eastAsia="Arial" w:hAnsi="Arial"/>
                <w:sz w:val="18"/>
                <w:szCs w:val="18"/>
                <w:color w:val="auto"/>
              </w:rPr>
              <w:t>BRADY MATCHED 401(k) PLAN</w:t>
            </w:r>
          </w:p>
        </w:tc>
      </w:tr>
      <w:tr>
        <w:trPr>
          <w:trHeight w:val="392"/>
        </w:trPr>
        <w:tc>
          <w:tcPr>
            <w:tcW w:w="3060" w:type="dxa"/>
            <w:vAlign w:val="bottom"/>
          </w:tcPr>
          <w:p>
            <w:pPr>
              <w:spacing w:after="0"/>
              <w:rPr>
                <w:sz w:val="20"/>
                <w:szCs w:val="20"/>
                <w:color w:val="auto"/>
              </w:rPr>
            </w:pPr>
            <w:r>
              <w:rPr>
                <w:rFonts w:ascii="Arial" w:cs="Arial" w:eastAsia="Arial" w:hAnsi="Arial"/>
                <w:sz w:val="18"/>
                <w:szCs w:val="18"/>
                <w:color w:val="auto"/>
              </w:rPr>
              <w:t>DATE: June 11, 2018</w:t>
            </w:r>
          </w:p>
        </w:tc>
        <w:tc>
          <w:tcPr>
            <w:tcW w:w="4840" w:type="dxa"/>
            <w:vAlign w:val="bottom"/>
            <w:gridSpan w:val="3"/>
          </w:tcPr>
          <w:p>
            <w:pPr>
              <w:ind w:left="1480"/>
              <w:spacing w:after="0"/>
              <w:rPr>
                <w:sz w:val="20"/>
                <w:szCs w:val="20"/>
                <w:color w:val="auto"/>
              </w:rPr>
            </w:pPr>
            <w:r>
              <w:rPr>
                <w:rFonts w:ascii="Arial" w:cs="Arial" w:eastAsia="Arial" w:hAnsi="Arial"/>
                <w:sz w:val="18"/>
                <w:szCs w:val="18"/>
                <w:color w:val="auto"/>
              </w:rPr>
              <w:t>By: /s/ AARON J. PEARCE</w:t>
            </w:r>
          </w:p>
        </w:tc>
      </w:tr>
      <w:tr>
        <w:trPr>
          <w:trHeight w:val="222"/>
        </w:trPr>
        <w:tc>
          <w:tcPr>
            <w:tcW w:w="3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Aaron J. Pearce</w:t>
            </w:r>
          </w:p>
        </w:tc>
        <w:tc>
          <w:tcPr>
            <w:tcW w:w="220" w:type="dxa"/>
            <w:vAlign w:val="bottom"/>
          </w:tcPr>
          <w:p>
            <w:pPr>
              <w:spacing w:after="0"/>
              <w:rPr>
                <w:sz w:val="19"/>
                <w:szCs w:val="19"/>
                <w:color w:val="auto"/>
              </w:rPr>
            </w:pPr>
          </w:p>
        </w:tc>
      </w:tr>
      <w:tr>
        <w:trPr>
          <w:trHeight w:val="230"/>
        </w:trPr>
        <w:tc>
          <w:tcPr>
            <w:tcW w:w="3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40" w:type="dxa"/>
            <w:vAlign w:val="bottom"/>
            <w:gridSpan w:val="2"/>
          </w:tcPr>
          <w:p>
            <w:pPr>
              <w:ind w:left="340"/>
              <w:spacing w:after="0"/>
              <w:rPr>
                <w:sz w:val="20"/>
                <w:szCs w:val="20"/>
                <w:color w:val="auto"/>
              </w:rPr>
            </w:pPr>
            <w:r>
              <w:rPr>
                <w:rFonts w:ascii="Arial" w:cs="Arial" w:eastAsia="Arial" w:hAnsi="Arial"/>
                <w:sz w:val="18"/>
                <w:szCs w:val="18"/>
                <w:color w:val="auto"/>
                <w:w w:val="90"/>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2019-12-05T14:15:32Z</dcterms:created>
  <dcterms:modified xsi:type="dcterms:W3CDTF">2019-12-05T14:15:32Z</dcterms:modified>
</cp:coreProperties>
</file>