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9"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52"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BRADY MATCHED 401(k) PLAN</w:t>
      </w:r>
    </w:p>
    <w:p>
      <w:pPr>
        <w:spacing w:after="0" w:line="212"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52"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BRADY CORPORATION</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6555 WEST GOOD HOPE ROAD</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MILWAUKEE WI 53202-0571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Financial Statements as of and for the Years Ended December 31, 2011 and 2010, Supplemental Schedules as of December 31, 2011, and Reports of Independent Registered Public Accounting Firm</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20" w:type="dxa"/>
            <w:vAlign w:val="bottom"/>
            <w:gridSpan w:val="7"/>
            <w:vMerge w:val="restart"/>
          </w:tcPr>
          <w:p>
            <w:pPr>
              <w:spacing w:after="0"/>
              <w:rPr>
                <w:sz w:val="20"/>
                <w:szCs w:val="20"/>
                <w:color w:val="auto"/>
              </w:rPr>
            </w:pPr>
            <w:r>
              <w:rPr>
                <w:rFonts w:ascii="Arial" w:cs="Arial" w:eastAsia="Arial" w:hAnsi="Arial"/>
                <w:sz w:val="18"/>
                <w:szCs w:val="18"/>
                <w:b w:val="1"/>
                <w:bCs w:val="1"/>
                <w:color w:val="0000EE"/>
                <w:w w:val="98"/>
              </w:rPr>
              <w:t>REPORT OF INDEPENDENT REGISTERED PUBLIC ACCOUNTING FIRM</w:t>
            </w:r>
          </w:p>
        </w:tc>
        <w:tc>
          <w:tcPr>
            <w:tcW w:w="5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6020" w:type="dxa"/>
            <w:vAlign w:val="bottom"/>
            <w:tcBorders>
              <w:bottom w:val="single" w:sz="8" w:color="0000EE"/>
            </w:tcBorders>
            <w:gridSpan w:val="7"/>
            <w:vMerge w:val="continue"/>
          </w:tcPr>
          <w:p>
            <w:pPr>
              <w:spacing w:after="0"/>
              <w:rPr>
                <w:sz w:val="14"/>
                <w:szCs w:val="14"/>
                <w:color w:val="auto"/>
              </w:rPr>
            </w:pPr>
          </w:p>
        </w:tc>
        <w:tc>
          <w:tcPr>
            <w:tcW w:w="5300" w:type="dxa"/>
            <w:vAlign w:val="bottom"/>
          </w:tcPr>
          <w:p>
            <w:pPr>
              <w:jc w:val="right"/>
              <w:spacing w:after="0" w:line="151"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0"/>
        </w:trPr>
        <w:tc>
          <w:tcPr>
            <w:tcW w:w="602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360" w:type="dxa"/>
            <w:vAlign w:val="bottom"/>
            <w:tcBorders>
              <w:bottom w:val="single" w:sz="8" w:color="0000EE"/>
            </w:tcBorders>
            <w:gridSpan w:val="2"/>
          </w:tcPr>
          <w:p>
            <w:pPr>
              <w:spacing w:after="0" w:line="184"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Net Assets Available for Benefits</w:t>
              </w:r>
            </w:hyperlink>
          </w:p>
        </w:tc>
        <w:tc>
          <w:tcPr>
            <w:tcW w:w="2220" w:type="dxa"/>
            <w:vAlign w:val="bottom"/>
            <w:gridSpan w:val="4"/>
          </w:tcPr>
          <w:p>
            <w:pPr>
              <w:spacing w:after="0"/>
              <w:rPr>
                <w:sz w:val="15"/>
                <w:szCs w:val="15"/>
                <w:color w:val="auto"/>
              </w:rPr>
            </w:pPr>
          </w:p>
        </w:tc>
        <w:tc>
          <w:tcPr>
            <w:tcW w:w="530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8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Changes in Net Assets Available for Benefits</w:t>
              </w:r>
            </w:hyperlink>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180" w:type="dxa"/>
            <w:vAlign w:val="bottom"/>
            <w:tcBorders>
              <w:top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400" w:type="dxa"/>
            <w:vAlign w:val="bottom"/>
            <w:gridSpan w:val="3"/>
          </w:tcPr>
          <w:p>
            <w:pPr>
              <w:spacing w:after="0"/>
              <w:rPr>
                <w:sz w:val="24"/>
                <w:szCs w:val="24"/>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gridSpan w:val="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SUPPLEMENTAL SCHEDULES</w:t>
              </w:r>
            </w:hyperlink>
          </w:p>
        </w:tc>
        <w:tc>
          <w:tcPr>
            <w:tcW w:w="5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580" w:type="dxa"/>
            <w:vAlign w:val="bottom"/>
            <w:gridSpan w:val="6"/>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Schedule H, Line 4a — Schedule of Delinquent Participant Contributions</w:t>
              </w:r>
            </w:hyperlink>
          </w:p>
        </w:tc>
        <w:tc>
          <w:tcPr>
            <w:tcW w:w="5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Schedule H, Line 4i — Schedule of Assets (Held at End of Year)</w:t>
              </w:r>
            </w:hyperlink>
          </w:p>
        </w:tc>
        <w:tc>
          <w:tcPr>
            <w:tcW w:w="420" w:type="dxa"/>
            <w:vAlign w:val="bottom"/>
          </w:tcPr>
          <w:p>
            <w:pPr>
              <w:spacing w:after="0"/>
              <w:rPr>
                <w:sz w:val="17"/>
                <w:szCs w:val="17"/>
                <w:color w:val="auto"/>
              </w:rPr>
            </w:pPr>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Exhibit 23.1 — Consent of CliftonLarsonAllen LLP</w:t>
      </w:r>
    </w:p>
    <w:p>
      <w:pPr>
        <w:sectPr>
          <w:pgSz w:w="11900" w:h="16838" w:orient="portrait"/>
          <w:cols w:equalWidth="0" w:num="1">
            <w:col w:w="11320"/>
          </w:cols>
          <w:pgMar w:left="240" w:top="459"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20" w:space="400"/>
            <w:col w:w="10400"/>
          </w:cols>
          <w:pgMar w:left="240" w:top="45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8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Brady Matched 401(k) Plan as of December 31, 2011 and 2010,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2011 and 2010, and the changes in net assets available for benefits for the years then ended in conformity with accounting principles generally accepted in the United States of America.</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audits were made for the purpose of forming an opinion on the financial statements taken as a whole. The accompanying supplemental schedules are presented for purposes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presented fairly, in all material respects, in relation to the basic financial statements taken as a whole.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1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Investments — at fair value</w:t>
            </w:r>
          </w:p>
        </w:tc>
        <w:tc>
          <w:tcPr>
            <w:tcW w:w="1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159,385,286</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163,101,545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44,526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34,145</w:t>
            </w: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Company contributions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934,524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911,924</w:t>
            </w: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Other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55,144</w:t>
            </w: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participants</w:t>
            </w:r>
          </w:p>
        </w:tc>
        <w:tc>
          <w:tcPr>
            <w:tcW w:w="1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3,225,308</w:t>
            </w:r>
          </w:p>
        </w:tc>
        <w:tc>
          <w:tcPr>
            <w:tcW w:w="3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3,088,834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Total receivables</w:t>
            </w:r>
          </w:p>
        </w:tc>
        <w:tc>
          <w:tcPr>
            <w:tcW w:w="1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4,214,976</w:t>
            </w:r>
          </w:p>
        </w:tc>
        <w:tc>
          <w:tcPr>
            <w:tcW w:w="3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4,000,758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163,644,788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167,136,448</w:t>
            </w:r>
          </w:p>
        </w:tc>
      </w:tr>
      <w:tr>
        <w:trPr>
          <w:trHeight w:val="331"/>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118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1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163,644,788</w:t>
            </w:r>
          </w:p>
        </w:tc>
        <w:tc>
          <w:tcPr>
            <w:tcW w:w="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167,135,640</w:t>
            </w:r>
          </w:p>
        </w:tc>
        <w:tc>
          <w:tcPr>
            <w:tcW w:w="100" w:type="dxa"/>
            <w:vAlign w:val="bottom"/>
            <w:shd w:val="clear" w:color="auto" w:fill="CCEEFF"/>
          </w:tcPr>
          <w:p>
            <w:pPr>
              <w:spacing w:after="0"/>
              <w:rPr>
                <w:sz w:val="18"/>
                <w:szCs w:val="18"/>
                <w:color w:val="auto"/>
              </w:rPr>
            </w:pPr>
          </w:p>
        </w:tc>
      </w:tr>
      <w:tr>
        <w:trPr>
          <w:trHeight w:val="331"/>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 contracts</w:t>
            </w:r>
          </w:p>
        </w:tc>
        <w:tc>
          <w:tcPr>
            <w:tcW w:w="11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(621,779)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(378,761)</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118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163,023,009</w:t>
            </w:r>
          </w:p>
        </w:tc>
        <w:tc>
          <w:tcPr>
            <w:tcW w:w="32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166,756,879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ADDITIONS TO NET ASSETS ATTRIBUTED TO</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8,130,759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4,211,835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4,274,744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1280"/>
              <w:spacing w:after="0"/>
              <w:rPr>
                <w:sz w:val="20"/>
                <w:szCs w:val="20"/>
                <w:color w:val="auto"/>
              </w:rPr>
            </w:pPr>
            <w:r>
              <w:rPr>
                <w:rFonts w:ascii="Arial" w:cs="Arial" w:eastAsia="Arial" w:hAnsi="Arial"/>
                <w:sz w:val="18"/>
                <w:szCs w:val="18"/>
                <w:color w:val="auto"/>
              </w:rPr>
              <w:t>Total contributions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12,748,988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13,220,438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(loss) income</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Net (depreciation) appreciation in fair value of investments</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(7,307,220)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15,390,998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2,964,919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investment (loss) income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(4,342,301)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17,732,062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420"/>
              <w:spacing w:after="0"/>
              <w:rPr>
                <w:sz w:val="20"/>
                <w:szCs w:val="20"/>
                <w:color w:val="auto"/>
              </w:rPr>
            </w:pPr>
            <w:r>
              <w:rPr>
                <w:rFonts w:ascii="Arial" w:cs="Arial" w:eastAsia="Arial" w:hAnsi="Arial"/>
                <w:sz w:val="18"/>
                <w:szCs w:val="18"/>
                <w:color w:val="auto"/>
              </w:rPr>
              <w:t>Interest income from notes receivable from participants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114,458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of assets from affiliated plans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1280"/>
              <w:spacing w:after="0"/>
              <w:rPr>
                <w:sz w:val="20"/>
                <w:szCs w:val="20"/>
                <w:color w:val="auto"/>
              </w:rPr>
            </w:pPr>
            <w:r>
              <w:rPr>
                <w:rFonts w:ascii="Arial" w:cs="Arial" w:eastAsia="Arial" w:hAnsi="Arial"/>
                <w:sz w:val="18"/>
                <w:szCs w:val="18"/>
                <w:color w:val="auto"/>
              </w:rPr>
              <w:t>Total additions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8,521,288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34,930,215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 FROM NET ASSETS ATTRIBUTED TO</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11,791,034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19,371,498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1280"/>
              <w:spacing w:after="0"/>
              <w:rPr>
                <w:sz w:val="20"/>
                <w:szCs w:val="20"/>
                <w:color w:val="auto"/>
              </w:rPr>
            </w:pPr>
            <w:r>
              <w:rPr>
                <w:rFonts w:ascii="Arial" w:cs="Arial" w:eastAsia="Arial" w:hAnsi="Arial"/>
                <w:sz w:val="18"/>
                <w:szCs w:val="18"/>
                <w:color w:val="auto"/>
              </w:rPr>
              <w:t>Total deductions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12,255,158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19,765,633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(3,733,870)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15,164,582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166,756,879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151,592,297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163,023,009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166,756,879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PLAN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as amended (ERISA).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$245,000 for calendar year 2011, adjusted for inflation. Participants self-direct all participant and Company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any newly eligible participant, the Plan will automatically withhold 3% of the employee’s pay, on a pre-tax basis, unless a waiver form to opt-out of the plan is completed by the employee within ninety days of their hire date. The withheld funds will be deposited into an account under the employee’s name in the Plan.</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1—DESCRIPTION OF THE PLAN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Investment options include various equity funds, a common collective trust fund, a bond fund, two money market funds, and Brady Corporation Class A Non-Voting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Plan provides for full vesting of participants’ contributions from the date they are made. Company contributions will become vested after a two-year period of continuous service for all contributions made after January 1, 2008. The participants’ share of the Company contribution becomes fully vested, in any event, upon normal retirement at age 65, termination due to permanent or total disability or death, or a plan termination.</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2011, the interest rates on outstanding loans range from 3.25% to 10.25%.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At December 31, 2011 and 2010, forfeited non-vested accounts totaled $55,144 and $55,056, respectively. These amounts were used to reduce Company contribution receivables as of December 31, 2011 and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w:t>
      </w:r>
    </w:p>
    <w:p>
      <w:pPr>
        <w:spacing w:after="0" w:line="13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 as well as the adjustment of the fully benefit-responsive investment contract from fair value to contract value. The Statement of Changes in Net Assets Available for Benefits is prepared on a contract value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Plan utilizes various investment instruments, including various equity funds, a common collective trust fund, a bond fund, two money market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2—SUMMARY OF SIGNIFICANT ACCOUNTING POLICIES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are paid by the Plan. This includes administrative, investment management, audit, legal and other miscellaneous fees of the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$0 and $808 for the years ended December 31, 2011 and 2010,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value of individual investments held which exceeded 5% of the net assets available for benefits at December 31, 2011 and 2010, was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5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Growth Fund of America</w:t>
            </w:r>
          </w:p>
        </w:tc>
        <w:tc>
          <w:tcPr>
            <w:tcW w:w="1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$23,728,153</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$26,399,363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PNC Investment Contract Fund*</w:t>
            </w:r>
          </w:p>
        </w:tc>
        <w:tc>
          <w:tcPr>
            <w:tcW w:w="3060" w:type="dxa"/>
            <w:vAlign w:val="bottom"/>
            <w:gridSpan w:val="3"/>
          </w:tcPr>
          <w:p>
            <w:pPr>
              <w:jc w:val="right"/>
              <w:ind w:right="360"/>
              <w:spacing w:after="0"/>
              <w:rPr>
                <w:sz w:val="20"/>
                <w:szCs w:val="20"/>
                <w:color w:val="auto"/>
              </w:rPr>
            </w:pPr>
            <w:r>
              <w:rPr>
                <w:rFonts w:ascii="Arial" w:cs="Arial" w:eastAsia="Arial" w:hAnsi="Arial"/>
                <w:sz w:val="18"/>
                <w:szCs w:val="18"/>
                <w:color w:val="auto"/>
              </w:rPr>
              <w:t>18,936,617**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17,791,748</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Index Inst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15,519,578</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13,195,596</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Vanguard Institutional Index Fund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13,284,114</w:t>
            </w:r>
          </w:p>
        </w:tc>
        <w:tc>
          <w:tcPr>
            <w:tcW w:w="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13,677,163</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Vanguard Prime Money Market Fund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11,061,790</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10,367,180</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9,910,022</w:t>
            </w:r>
          </w:p>
        </w:tc>
        <w:tc>
          <w:tcPr>
            <w:tcW w:w="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11,843,958</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 Rowe Price Retirement 2030</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9,082,428</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8,460,191</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LSV Value Equity Fund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8,935,661</w:t>
            </w:r>
          </w:p>
        </w:tc>
        <w:tc>
          <w:tcPr>
            <w:tcW w:w="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9,399,024</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Oppenheimer Developing Markets</w:t>
            </w:r>
          </w:p>
        </w:tc>
        <w:tc>
          <w:tcPr>
            <w:tcW w:w="3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10,370,602</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years ended December 31, 2011 and 2010, the Plan’s investments (including gains and losses on investments bought and sold, as well as held during the year) (depreciated) appreciated in value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9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$(8,124,637)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$14,380,502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Bond fund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522,577</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281,421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424,515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Brady Corporation common stock</w:t>
            </w:r>
          </w:p>
        </w:tc>
        <w:tc>
          <w:tcPr>
            <w:tcW w:w="9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(129,675)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347,044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(depreciation) appreciation in fair value of investments</w:t>
            </w:r>
          </w:p>
        </w:tc>
        <w:tc>
          <w:tcPr>
            <w:tcW w:w="2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(7,307,220)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15,390,998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jc w:val="right"/>
              <w:ind w:right="892"/>
              <w:spacing w:after="0"/>
              <w:rPr>
                <w:sz w:val="20"/>
                <w:szCs w:val="20"/>
                <w:color w:val="auto"/>
              </w:rPr>
            </w:pPr>
            <w:r>
              <w:rPr>
                <w:rFonts w:ascii="Arial" w:cs="Arial" w:eastAsia="Arial" w:hAnsi="Arial"/>
                <w:sz w:val="18"/>
                <w:szCs w:val="18"/>
                <w:color w:val="auto"/>
              </w:rPr>
              <w:t>8</w:t>
            </w:r>
          </w:p>
        </w:tc>
        <w:tc>
          <w:tcPr>
            <w:tcW w:w="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Generally accepted accounting principles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Plan’s net assets measured at fair market value are classified in one of the following categories: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Assets for which fair value is based on quoted market prices in active markets for identical instruments as of the reporting date.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Assets for which fair value is based on valuation models for which pricing inputs were either directly or indirectly observable.</w:t>
      </w:r>
    </w:p>
    <w:p>
      <w:pPr>
        <w:spacing w:after="0" w:line="90" w:lineRule="exact"/>
        <w:rPr>
          <w:sz w:val="20"/>
          <w:szCs w:val="20"/>
          <w:color w:val="auto"/>
        </w:rPr>
      </w:pPr>
    </w:p>
    <w:p>
      <w:pPr>
        <w:ind w:left="920" w:right="280" w:hanging="904"/>
        <w:spacing w:after="0" w:line="268" w:lineRule="auto"/>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Assets for which fair value is based on valuation models with significant unobservable pricing inputs and which result in the use of management estimates.</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2011.</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Shares of equity funds and bond funds are valued at quoted market prices, which represent the net asset value of shares held by the Plan at year end. Common stock is valued at quoted market prices. Such securities are classified within Level 1 of the valuation hierarchy.</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common collective trust fund is valued at the net asset value of the fund based on the fair value of the underlying investments and then adjusted by the issuer to contract value. The collective trust fund does not have a finite life, unfunded commitments relating to these types of investments, or significant restrictions on redemption. The money market funds are valued at a stable $1.00 net asset value. Such securities are classified within Level 2 of the valuation hierarchy.</w:t>
      </w:r>
    </w:p>
    <w:p>
      <w:pPr>
        <w:spacing w:after="0" w:line="8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Growth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30,930,343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30,930,343</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Balanced funds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13,284,114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13,284,114</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Value funds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15,517,530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15,517,530</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funds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17,424,540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17,424,540</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Target date funds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28,309,810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28,309,810</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funds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15,519,578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15,519,578</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Other funds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3,616,865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3,616,865</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11,070,909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11,070,909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Brady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4,153,201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4,153,201</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19,558,396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19,558,396</w:t>
            </w:r>
          </w:p>
        </w:tc>
        <w:tc>
          <w:tcPr>
            <w:tcW w:w="10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128,755,981</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ind w:left="20"/>
              <w:spacing w:after="0"/>
              <w:rPr>
                <w:sz w:val="20"/>
                <w:szCs w:val="20"/>
                <w:color w:val="auto"/>
              </w:rPr>
            </w:pPr>
            <w:r>
              <w:rPr>
                <w:rFonts w:ascii="Arial" w:cs="Arial" w:eastAsia="Arial" w:hAnsi="Arial"/>
                <w:sz w:val="18"/>
                <w:szCs w:val="18"/>
                <w:color w:val="auto"/>
                <w:w w:val="84"/>
              </w:rPr>
              <w:t>30,629,305</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159,385,286</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Growth funds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33,791,311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33,791,311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Balanced funds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13,677,163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13,677,163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Value funds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16,674,805</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16,674,805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funds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22,214,560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Target date funds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27,258,589</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27,258,589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funds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13,195,596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13,195,596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Other funds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3,690,103</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10,373,593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10,373,593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Brady common stock</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4,055,316</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4,055,316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2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18,170,509</w:t>
            </w: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18,170,509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134,557,443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ind w:left="20"/>
              <w:spacing w:after="0"/>
              <w:rPr>
                <w:sz w:val="20"/>
                <w:szCs w:val="20"/>
                <w:color w:val="auto"/>
              </w:rPr>
            </w:pPr>
            <w:r>
              <w:rPr>
                <w:rFonts w:ascii="Arial" w:cs="Arial" w:eastAsia="Arial" w:hAnsi="Arial"/>
                <w:sz w:val="18"/>
                <w:szCs w:val="18"/>
                <w:color w:val="auto"/>
                <w:w w:val="84"/>
              </w:rPr>
              <w:t>28,544,102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163,101,545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300" w:type="dxa"/>
            <w:vAlign w:val="bottom"/>
            <w:vMerge w:val="restart"/>
          </w:tcPr>
          <w:p>
            <w:pPr>
              <w:jc w:val="right"/>
              <w:ind w:right="512"/>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5—PLAN TERMINATION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Company matching contributions in their accounts.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6—FEDERAL INCOME TAX STATUS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Plan uses a prototype plan document sponsored by PNC Bank (PNC or the Trustee). PNC received an opinion letter from the Internal Revenue Service (IRS), dated March 31, 2008,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7—EXEMPT PARTY-IN-INTEREST TRANSACTIONS</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Plan invests in Company common stock. In addition, certain plan investments represent shares of mutual funds and a common collective trust fund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2011 and 2010, the Plan held 131,555 and 124,358 shares, respectively, of common stock of Brady Corporation, with a cost basis of $3,182,618 and $2,905,633, respectively. During the years ended December 31, 2011 and 2010, the Plan recorded dividend income from the common stock of Brady Corporation of $91,377 and $90,186,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8—RECONCILIATION TO FORM 5500</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5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4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financial statements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$163,023,009</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$166,756,879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80" w:type="dxa"/>
            <w:vAlign w:val="bottom"/>
          </w:tcPr>
          <w:p>
            <w:pPr>
              <w:jc w:val="right"/>
              <w:ind w:right="3852"/>
              <w:spacing w:after="0"/>
              <w:rPr>
                <w:sz w:val="20"/>
                <w:szCs w:val="20"/>
                <w:color w:val="auto"/>
              </w:rPr>
            </w:pPr>
            <w:r>
              <w:rPr>
                <w:rFonts w:ascii="Arial" w:cs="Arial" w:eastAsia="Arial" w:hAnsi="Arial"/>
                <w:sz w:val="18"/>
                <w:szCs w:val="18"/>
                <w:color w:val="auto"/>
                <w:w w:val="98"/>
              </w:rPr>
              <w:t>investment contracts</w:t>
            </w:r>
          </w:p>
        </w:tc>
        <w:tc>
          <w:tcPr>
            <w:tcW w:w="5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621,779</w:t>
            </w:r>
          </w:p>
        </w:tc>
        <w:tc>
          <w:tcPr>
            <w:tcW w:w="5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reported per Form 5500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163,644,788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167,135,640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jc w:val="right"/>
              <w:ind w:right="1092"/>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AND FOR THE YEARS ENDED DECEMBER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8—RECONCILIATION TO FORM 5500 </w:t>
      </w:r>
      <w:r>
        <w:rPr>
          <w:rFonts w:ascii="Arial" w:cs="Arial" w:eastAsia="Arial" w:hAnsi="Arial"/>
          <w:sz w:val="18"/>
          <w:szCs w:val="18"/>
          <w:color w:val="auto"/>
        </w:rPr>
        <w:t>(continued)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 in net assets available for benefits per the financial statements for the years ended December 31, 2011 and 2010 includes the transfer of assets from another plan. The amounts reported per Form 5500 do not include the transfer of assets from another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in net assets available for benefits per the financial statements to the Form 5500 for the year ended December 31: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1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(Decrease) increase in net assets available for benefits per financial statements</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$(3,733,870)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$15,164,582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90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investment contract at end of year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621,779</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378,761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contract at beginning of year</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(378,761)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Transfer of assets to Plan</w:t>
            </w:r>
          </w:p>
        </w:tc>
        <w:tc>
          <w:tcPr>
            <w:tcW w:w="3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(3,841,937)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reported per Form 5500</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(3,490,995)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11,745,814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9—TRANSFERS OF ASSETS FROM AFFILIATED PLANS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Effective January 1, 2010, the Clement Communications Incorporated Pension Plan and the Stopware, Inc. 401(k) Plan merged into the Plan, resulting in a transfer of assets to the Plan of $3,841,937 for the year ended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Management evaluated subsequent events through June 26, 2012, the date the financial statements were issued. Events or transactions occurring after December 31, 2011, but prior to June 26, 2012 that provide additional evidence about conditions that existed at December 31, 2011 have been recognized in the financial statements for the year ended December 31, 2011. Events or transactions that provided evidence about conditions that did not exist at December 31, 2011 but arose before the financial statements were issued, have not been recognized in the financial statements for the year ended December 31, 2011.</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SUPPLEMENTAL SCHEDULES</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4a—SCHEDULE OF DELINQUENT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PARTICIPANT CONTRIBUTIONS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EIN #: 39-0178960</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 003</w:t>
            </w:r>
          </w:p>
        </w:tc>
        <w:tc>
          <w:tcPr>
            <w:tcW w:w="0" w:type="dxa"/>
            <w:vAlign w:val="bottom"/>
          </w:tcPr>
          <w:p>
            <w:pPr>
              <w:spacing w:after="0"/>
              <w:rPr>
                <w:sz w:val="1"/>
                <w:szCs w:val="1"/>
                <w:color w:val="auto"/>
              </w:rPr>
            </w:pPr>
          </w:p>
        </w:tc>
      </w:tr>
      <w:tr>
        <w:trPr>
          <w:trHeight w:val="366"/>
        </w:trPr>
        <w:tc>
          <w:tcPr>
            <w:tcW w:w="160" w:type="dxa"/>
            <w:vAlign w:val="bottom"/>
          </w:tcPr>
          <w:p>
            <w:pPr>
              <w:spacing w:after="0"/>
              <w:rPr>
                <w:sz w:val="24"/>
                <w:szCs w:val="24"/>
                <w:color w:val="auto"/>
              </w:rPr>
            </w:pPr>
          </w:p>
        </w:tc>
        <w:tc>
          <w:tcPr>
            <w:tcW w:w="21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1"/>
              </w:rPr>
              <w:t>Participant</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Contributions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2180" w:type="dxa"/>
            <w:vAlign w:val="bottom"/>
            <w:gridSpan w:val="2"/>
          </w:tcPr>
          <w:p>
            <w:pPr>
              <w:jc w:val="center"/>
              <w:ind w:right="1240"/>
              <w:spacing w:after="0" w:line="150" w:lineRule="exact"/>
              <w:rPr>
                <w:sz w:val="20"/>
                <w:szCs w:val="20"/>
                <w:color w:val="auto"/>
              </w:rPr>
            </w:pPr>
            <w:r>
              <w:rPr>
                <w:rFonts w:ascii="Arial" w:cs="Arial" w:eastAsia="Arial" w:hAnsi="Arial"/>
                <w:sz w:val="14"/>
                <w:szCs w:val="14"/>
                <w:b w:val="1"/>
                <w:bCs w:val="1"/>
                <w:color w:val="auto"/>
                <w:w w:val="89"/>
              </w:rPr>
              <w:t>Transferred</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21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Late to Plan</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6"/>
          </w:tcPr>
          <w:p>
            <w:pPr>
              <w:jc w:val="center"/>
              <w:ind w:left="541"/>
              <w:spacing w:after="0"/>
              <w:rPr>
                <w:sz w:val="20"/>
                <w:szCs w:val="20"/>
                <w:color w:val="auto"/>
              </w:rPr>
            </w:pPr>
            <w:r>
              <w:rPr>
                <w:rFonts w:ascii="Arial" w:cs="Arial" w:eastAsia="Arial" w:hAnsi="Arial"/>
                <w:sz w:val="14"/>
                <w:szCs w:val="14"/>
                <w:b w:val="1"/>
                <w:bCs w:val="1"/>
                <w:color w:val="auto"/>
                <w:w w:val="86"/>
              </w:rPr>
              <w:t>Total that Constitute Nonexempt Prohibited Transactions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Fully</w:t>
            </w:r>
          </w:p>
        </w:tc>
        <w:tc>
          <w:tcPr>
            <w:tcW w:w="0" w:type="dxa"/>
            <w:vAlign w:val="bottom"/>
          </w:tcPr>
          <w:p>
            <w:pPr>
              <w:spacing w:after="0"/>
              <w:rPr>
                <w:sz w:val="1"/>
                <w:szCs w:val="1"/>
                <w:color w:val="auto"/>
              </w:rPr>
            </w:pPr>
          </w:p>
        </w:tc>
      </w:tr>
      <w:tr>
        <w:trPr>
          <w:trHeight w:val="129"/>
        </w:trPr>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85"/>
              <w:spacing w:after="0" w:line="129" w:lineRule="exact"/>
              <w:rPr>
                <w:sz w:val="20"/>
                <w:szCs w:val="20"/>
                <w:color w:val="auto"/>
              </w:rPr>
            </w:pPr>
            <w:r>
              <w:rPr>
                <w:rFonts w:ascii="Arial" w:cs="Arial" w:eastAsia="Arial" w:hAnsi="Arial"/>
                <w:sz w:val="14"/>
                <w:szCs w:val="14"/>
                <w:b w:val="1"/>
                <w:bCs w:val="1"/>
                <w:color w:val="auto"/>
                <w:w w:val="88"/>
              </w:rPr>
              <w:t>Check here if</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Contributions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1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9"/>
              </w:rPr>
              <w:t>Late Participant</w:t>
            </w: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Relating to</w:t>
            </w:r>
          </w:p>
        </w:tc>
        <w:tc>
          <w:tcPr>
            <w:tcW w:w="10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Pending</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Corrected</w:t>
            </w:r>
          </w:p>
        </w:tc>
        <w:tc>
          <w:tcPr>
            <w:tcW w:w="0" w:type="dxa"/>
            <w:vAlign w:val="bottom"/>
          </w:tcPr>
          <w:p>
            <w:pPr>
              <w:spacing w:after="0"/>
              <w:rPr>
                <w:sz w:val="1"/>
                <w:szCs w:val="1"/>
                <w:color w:val="auto"/>
              </w:rPr>
            </w:pPr>
          </w:p>
        </w:tc>
      </w:tr>
      <w:tr>
        <w:trPr>
          <w:trHeight w:val="134"/>
        </w:trPr>
        <w:tc>
          <w:tcPr>
            <w:tcW w:w="2340" w:type="dxa"/>
            <w:vAlign w:val="bottom"/>
            <w:gridSpan w:val="3"/>
          </w:tcPr>
          <w:p>
            <w:pPr>
              <w:jc w:val="center"/>
              <w:ind w:right="1080"/>
              <w:spacing w:after="0" w:line="135" w:lineRule="exact"/>
              <w:rPr>
                <w:sz w:val="20"/>
                <w:szCs w:val="20"/>
                <w:color w:val="auto"/>
              </w:rPr>
            </w:pPr>
            <w:r>
              <w:rPr>
                <w:rFonts w:ascii="Arial" w:cs="Arial" w:eastAsia="Arial" w:hAnsi="Arial"/>
                <w:sz w:val="14"/>
                <w:szCs w:val="14"/>
                <w:b w:val="1"/>
                <w:bCs w:val="1"/>
                <w:color w:val="auto"/>
                <w:w w:val="87"/>
              </w:rPr>
              <w:t>Loan Repayments</w:t>
            </w: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85"/>
              </w:rPr>
              <w:t>Not</w:t>
            </w:r>
          </w:p>
        </w:tc>
        <w:tc>
          <w:tcPr>
            <w:tcW w:w="110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Corrected Outside</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87"/>
              </w:rPr>
              <w:t>Correction</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Under VFCP</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180" w:type="dxa"/>
            <w:vAlign w:val="bottom"/>
            <w:gridSpan w:val="2"/>
          </w:tcPr>
          <w:p>
            <w:pPr>
              <w:jc w:val="center"/>
              <w:ind w:right="1240"/>
              <w:spacing w:after="0" w:line="161" w:lineRule="exact"/>
              <w:rPr>
                <w:sz w:val="20"/>
                <w:szCs w:val="20"/>
                <w:color w:val="auto"/>
              </w:rPr>
            </w:pPr>
            <w:r>
              <w:rPr>
                <w:rFonts w:ascii="Arial" w:cs="Arial" w:eastAsia="Arial" w:hAnsi="Arial"/>
                <w:sz w:val="14"/>
                <w:szCs w:val="14"/>
                <w:b w:val="1"/>
                <w:bCs w:val="1"/>
                <w:color w:val="auto"/>
                <w:w w:val="85"/>
              </w:rPr>
              <w:t xml:space="preserve">are included: </w:t>
            </w:r>
            <w:r>
              <w:rPr>
                <w:rFonts w:ascii="MS PGothic" w:cs="MS PGothic" w:eastAsia="MS PGothic" w:hAnsi="MS PGothic"/>
                <w:sz w:val="14"/>
                <w:szCs w:val="14"/>
                <w:color w:val="auto"/>
                <w:w w:val="85"/>
              </w:rPr>
              <w:t>☒</w:t>
            </w:r>
          </w:p>
        </w:tc>
        <w:tc>
          <w:tcPr>
            <w:tcW w:w="900" w:type="dxa"/>
            <w:vAlign w:val="bottom"/>
          </w:tcPr>
          <w:p>
            <w:pPr>
              <w:jc w:val="right"/>
              <w:ind w:right="179"/>
              <w:spacing w:after="0"/>
              <w:rPr>
                <w:sz w:val="20"/>
                <w:szCs w:val="20"/>
                <w:color w:val="auto"/>
              </w:rPr>
            </w:pPr>
            <w:r>
              <w:rPr>
                <w:rFonts w:ascii="Arial" w:cs="Arial" w:eastAsia="Arial" w:hAnsi="Arial"/>
                <w:sz w:val="14"/>
                <w:szCs w:val="14"/>
                <w:b w:val="1"/>
                <w:bCs w:val="1"/>
                <w:color w:val="auto"/>
                <w:w w:val="97"/>
              </w:rPr>
              <w:t>Plan Year</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Corrected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VFCP</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in VFCP</w:t>
            </w:r>
          </w:p>
        </w:tc>
        <w:tc>
          <w:tcPr>
            <w:tcW w:w="110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and PTE 2002-51</w:t>
            </w:r>
          </w:p>
        </w:tc>
        <w:tc>
          <w:tcPr>
            <w:tcW w:w="0" w:type="dxa"/>
            <w:vAlign w:val="bottom"/>
          </w:tcPr>
          <w:p>
            <w:pPr>
              <w:spacing w:after="0"/>
              <w:rPr>
                <w:sz w:val="1"/>
                <w:szCs w:val="1"/>
                <w:color w:val="auto"/>
              </w:rPr>
            </w:pP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609,599</w:t>
            </w:r>
          </w:p>
        </w:tc>
        <w:tc>
          <w:tcPr>
            <w:tcW w:w="10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2006</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609,302</w:t>
            </w:r>
          </w:p>
        </w:tc>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587,258</w:t>
            </w:r>
          </w:p>
        </w:tc>
        <w:tc>
          <w:tcPr>
            <w:tcW w:w="900" w:type="dxa"/>
            <w:vAlign w:val="bottom"/>
          </w:tcPr>
          <w:p>
            <w:pPr>
              <w:jc w:val="right"/>
              <w:ind w:right="179"/>
              <w:spacing w:after="0"/>
              <w:rPr>
                <w:sz w:val="20"/>
                <w:szCs w:val="20"/>
                <w:color w:val="auto"/>
              </w:rPr>
            </w:pPr>
            <w:r>
              <w:rPr>
                <w:rFonts w:ascii="Arial" w:cs="Arial" w:eastAsia="Arial" w:hAnsi="Arial"/>
                <w:sz w:val="18"/>
                <w:szCs w:val="18"/>
                <w:color w:val="auto"/>
              </w:rPr>
              <w:t>2007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586,972</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903,744</w:t>
            </w: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2009</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903,217</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1,076,624</w:t>
            </w:r>
          </w:p>
        </w:tc>
        <w:tc>
          <w:tcPr>
            <w:tcW w:w="900" w:type="dxa"/>
            <w:vAlign w:val="bottom"/>
          </w:tcPr>
          <w:p>
            <w:pPr>
              <w:jc w:val="right"/>
              <w:ind w:right="179"/>
              <w:spacing w:after="0"/>
              <w:rPr>
                <w:sz w:val="20"/>
                <w:szCs w:val="20"/>
                <w:color w:val="auto"/>
              </w:rPr>
            </w:pPr>
            <w:r>
              <w:rPr>
                <w:rFonts w:ascii="Arial" w:cs="Arial" w:eastAsia="Arial" w:hAnsi="Arial"/>
                <w:sz w:val="18"/>
                <w:szCs w:val="18"/>
                <w:color w:val="auto"/>
              </w:rPr>
              <w:t>2010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1,076,091</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EIN #: 39-0178960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 003</w:t>
      </w:r>
    </w:p>
    <w:p>
      <w:pPr>
        <w:sectPr>
          <w:pgSz w:w="11900" w:h="16838" w:orient="portrait"/>
          <w:cols w:equalWidth="0" w:num="1">
            <w:col w:w="11420"/>
          </w:cols>
          <w:pgMar w:left="240" w:top="459" w:right="239" w:bottom="1440" w:gutter="0" w:footer="0" w:header="0"/>
        </w:sectPr>
      </w:pPr>
    </w:p>
    <w:p>
      <w:pPr>
        <w:spacing w:after="0" w:line="336" w:lineRule="exact"/>
        <w:rPr>
          <w:sz w:val="20"/>
          <w:szCs w:val="20"/>
          <w:color w:val="auto"/>
        </w:rPr>
      </w:pPr>
    </w:p>
    <w:p>
      <w:pPr>
        <w:jc w:val="center"/>
        <w:ind w:left="387"/>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Oppenheimer Developing Markets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Growth Fund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Blackrock Small Cap Growth Eq Instl*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American Cent Sm Cap Val Inst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LSV Value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 Rowe Price Retirement 2010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 Rowe Price Retirement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 Rowe Price Retirement 2030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 Rowe Price Retirement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 Rowe Price Retirement 2050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Credit Suisse Commodity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Vanguard Institutional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COLLECTIVE TRUST FUND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Investment Contract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FUND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Vanguard Total Bond Index 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Vanguard Prime Money Market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Brady Corporation Class A Non-voting*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220" w:right="2973" w:hanging="215"/>
        <w:spacing w:after="0" w:line="274" w:lineRule="auto"/>
        <w:rPr>
          <w:sz w:val="20"/>
          <w:szCs w:val="20"/>
          <w:color w:val="auto"/>
        </w:rPr>
      </w:pPr>
      <w:r>
        <w:rPr>
          <w:rFonts w:ascii="Arial" w:cs="Arial" w:eastAsia="Arial" w:hAnsi="Arial"/>
          <w:sz w:val="18"/>
          <w:szCs w:val="18"/>
          <w:b w:val="1"/>
          <w:bCs w:val="1"/>
          <w:color w:val="auto"/>
        </w:rPr>
        <w:t>NOTES RECEIVABLE from PARTICIPANTS, at various interest rates and due through November 9, 2040*</w:t>
      </w:r>
    </w:p>
    <w:p>
      <w:pPr>
        <w:spacing w:after="0"/>
        <w:rPr>
          <w:sz w:val="20"/>
          <w:szCs w:val="20"/>
          <w:color w:val="auto"/>
        </w:rPr>
      </w:pPr>
      <w:r>
        <w:rPr>
          <w:rFonts w:ascii="Arial" w:cs="Arial" w:eastAsia="Arial" w:hAnsi="Arial"/>
          <w:sz w:val="18"/>
          <w:szCs w:val="18"/>
          <w:b w:val="1"/>
          <w:bCs w:val="1"/>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4"/>
          <w:szCs w:val="14"/>
          <w:b w:val="1"/>
          <w:bCs w:val="1"/>
          <w:color w:val="auto"/>
        </w:rPr>
        <w:t>Fair</w:t>
      </w:r>
    </w:p>
    <w:p>
      <w:pPr>
        <w:spacing w:after="0" w:line="1" w:lineRule="exact"/>
        <w:rPr>
          <w:sz w:val="20"/>
          <w:szCs w:val="20"/>
          <w:color w:val="auto"/>
        </w:rPr>
      </w:pPr>
    </w:p>
    <w:p>
      <w:pPr>
        <w:ind w:left="327"/>
        <w:spacing w:after="0"/>
        <w:rPr>
          <w:sz w:val="20"/>
          <w:szCs w:val="20"/>
          <w:color w:val="auto"/>
        </w:rPr>
      </w:pPr>
      <w:r>
        <w:rPr>
          <w:rFonts w:ascii="Arial" w:cs="Arial" w:eastAsia="Arial" w:hAnsi="Arial"/>
          <w:sz w:val="14"/>
          <w:szCs w:val="14"/>
          <w:b w:val="1"/>
          <w:bCs w:val="1"/>
          <w:color w:val="auto"/>
        </w:rPr>
        <w:t>Value</w:t>
      </w:r>
    </w:p>
    <w:p>
      <w:pPr>
        <w:spacing w:after="0" w:line="195" w:lineRule="exact"/>
        <w:rPr>
          <w:sz w:val="20"/>
          <w:szCs w:val="20"/>
          <w:color w:val="auto"/>
        </w:rPr>
      </w:pPr>
    </w:p>
    <w:p>
      <w:pPr>
        <w:ind w:left="267" w:hanging="267"/>
        <w:spacing w:after="0"/>
        <w:tabs>
          <w:tab w:leader="none" w:pos="267" w:val="left"/>
        </w:tabs>
        <w:numPr>
          <w:ilvl w:val="0"/>
          <w:numId w:val="9"/>
        </w:numPr>
        <w:rPr>
          <w:rFonts w:ascii="Arial" w:cs="Arial" w:eastAsia="Arial" w:hAnsi="Arial"/>
          <w:sz w:val="15"/>
          <w:szCs w:val="15"/>
          <w:color w:val="auto"/>
        </w:rPr>
      </w:pPr>
      <w:r>
        <w:rPr>
          <w:rFonts w:ascii="Arial" w:cs="Arial" w:eastAsia="Arial" w:hAnsi="Arial"/>
          <w:sz w:val="15"/>
          <w:szCs w:val="15"/>
          <w:color w:val="auto"/>
        </w:rPr>
        <w:t>7,514,538</w:t>
      </w:r>
    </w:p>
    <w:p>
      <w:pPr>
        <w:spacing w:after="0" w:line="49" w:lineRule="exact"/>
        <w:rPr>
          <w:rFonts w:ascii="Arial" w:cs="Arial" w:eastAsia="Arial" w:hAnsi="Arial"/>
          <w:sz w:val="15"/>
          <w:szCs w:val="15"/>
          <w:color w:val="auto"/>
        </w:rPr>
      </w:pPr>
    </w:p>
    <w:p>
      <w:pPr>
        <w:ind w:left="187"/>
        <w:spacing w:after="0"/>
        <w:rPr>
          <w:rFonts w:ascii="Arial" w:cs="Arial" w:eastAsia="Arial" w:hAnsi="Arial"/>
          <w:sz w:val="15"/>
          <w:szCs w:val="15"/>
          <w:color w:val="auto"/>
        </w:rPr>
      </w:pPr>
      <w:r>
        <w:rPr>
          <w:rFonts w:ascii="Arial" w:cs="Arial" w:eastAsia="Arial" w:hAnsi="Arial"/>
          <w:sz w:val="15"/>
          <w:szCs w:val="15"/>
          <w:color w:val="auto"/>
        </w:rPr>
        <w:t>23,728,153</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9,910,002</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7,202,190</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6,581,869</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8,935,661</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3,553,481</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7,602,983</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9,082,428</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6,548,469</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1,522,449</w:t>
      </w:r>
    </w:p>
    <w:p>
      <w:pPr>
        <w:spacing w:after="0" w:line="43"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5"/>
          <w:szCs w:val="15"/>
          <w:color w:val="auto"/>
        </w:rPr>
        <w:t>3,616,865</w:t>
      </w:r>
    </w:p>
    <w:p>
      <w:pPr>
        <w:spacing w:after="0" w:line="43" w:lineRule="exact"/>
        <w:rPr>
          <w:rFonts w:ascii="Arial" w:cs="Arial" w:eastAsia="Arial" w:hAnsi="Arial"/>
          <w:sz w:val="15"/>
          <w:szCs w:val="15"/>
          <w:color w:val="auto"/>
        </w:rPr>
      </w:pPr>
    </w:p>
    <w:p>
      <w:pPr>
        <w:ind w:left="187"/>
        <w:spacing w:after="0"/>
        <w:rPr>
          <w:rFonts w:ascii="Arial" w:cs="Arial" w:eastAsia="Arial" w:hAnsi="Arial"/>
          <w:sz w:val="15"/>
          <w:szCs w:val="15"/>
          <w:color w:val="auto"/>
        </w:rPr>
      </w:pPr>
      <w:r>
        <w:rPr>
          <w:rFonts w:ascii="Arial" w:cs="Arial" w:eastAsia="Arial" w:hAnsi="Arial"/>
          <w:sz w:val="15"/>
          <w:szCs w:val="15"/>
          <w:color w:val="auto"/>
        </w:rPr>
        <w:t>13,284,114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17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6"/>
          <w:szCs w:val="16"/>
          <w:u w:val="single" w:color="auto"/>
          <w:color w:val="auto"/>
        </w:rPr>
        <w:t>109,083,202</w:t>
      </w:r>
    </w:p>
    <w:p>
      <w:pPr>
        <w:spacing w:after="0" w:line="27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19,558,396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17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15,519,578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11,061,790</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11,070,909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4,153,201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17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3,225,308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17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$162,610,594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617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2">
            <w:col w:w="9633" w:space="720"/>
            <w:col w:w="1067"/>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BRADY MATCHED 401(k) PLAN</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June 26, 2012</w:t>
            </w:r>
          </w:p>
        </w:tc>
        <w:tc>
          <w:tcPr>
            <w:tcW w:w="25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WENDY SALMON</w:t>
            </w:r>
          </w:p>
        </w:tc>
      </w:tr>
      <w:tr>
        <w:trPr>
          <w:trHeight w:val="202"/>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Wendy Salmon</w:t>
            </w:r>
          </w:p>
        </w:tc>
      </w:t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Plan Administrative Committee Member</w:t>
            </w:r>
          </w:p>
        </w:tc>
      </w:tr>
      <w:tr>
        <w:trPr>
          <w:trHeight w:val="365"/>
        </w:trPr>
        <w:tc>
          <w:tcPr>
            <w:tcW w:w="3520" w:type="dxa"/>
            <w:vAlign w:val="bottom"/>
          </w:tcPr>
          <w:p>
            <w:pPr>
              <w:spacing w:after="0"/>
              <w:rPr>
                <w:sz w:val="24"/>
                <w:szCs w:val="24"/>
                <w:color w:val="auto"/>
              </w:rPr>
            </w:pPr>
          </w:p>
        </w:tc>
        <w:tc>
          <w:tcPr>
            <w:tcW w:w="256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26, 2012 appearing in this Annual Report on Form 11-K of Brady Matched 401(k) Plan for the year ended December 31,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2019-12-09T08:49:21Z</dcterms:created>
  <dcterms:modified xsi:type="dcterms:W3CDTF">2019-12-09T08:49:21Z</dcterms:modified>
</cp:coreProperties>
</file>