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8"/>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8"/>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8"/>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192405</wp:posOffset>
            </wp:positionV>
            <wp:extent cx="16008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43" w:lineRule="exact"/>
        <w:rPr>
          <w:sz w:val="24"/>
          <w:szCs w:val="24"/>
          <w:color w:val="auto"/>
        </w:rPr>
      </w:pPr>
    </w:p>
    <w:p>
      <w:pPr>
        <w:jc w:val="center"/>
        <w:ind w:right="-58"/>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163830</wp:posOffset>
            </wp:positionV>
            <wp:extent cx="16008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1" w:lineRule="exact"/>
        <w:rPr>
          <w:sz w:val="24"/>
          <w:szCs w:val="24"/>
          <w:color w:val="auto"/>
        </w:rPr>
      </w:pPr>
    </w:p>
    <w:p>
      <w:pPr>
        <w:jc w:val="center"/>
        <w:ind w:right="-58"/>
        <w:spacing w:after="0"/>
        <w:rPr>
          <w:sz w:val="20"/>
          <w:szCs w:val="20"/>
          <w:color w:val="auto"/>
        </w:rPr>
      </w:pPr>
      <w:r>
        <w:rPr>
          <w:rFonts w:ascii="Arial" w:cs="Arial" w:eastAsia="Arial" w:hAnsi="Arial"/>
          <w:sz w:val="23"/>
          <w:szCs w:val="23"/>
          <w:b w:val="1"/>
          <w:bCs w:val="1"/>
          <w:color w:val="auto"/>
        </w:rPr>
        <w:t>CURRENT REPORT</w:t>
      </w:r>
    </w:p>
    <w:p>
      <w:pPr>
        <w:spacing w:after="0" w:line="154"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Pursuant to Section 13 or 15(d) of the</w:t>
      </w:r>
    </w:p>
    <w:p>
      <w:pPr>
        <w:spacing w:after="0" w:line="33"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Securities Exchange Act of 1934</w:t>
      </w:r>
    </w:p>
    <w:p>
      <w:pPr>
        <w:spacing w:after="0" w:line="133"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Date of Report (Date of earliest event reported): November 20,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198755</wp:posOffset>
            </wp:positionV>
            <wp:extent cx="16008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52" w:lineRule="exact"/>
        <w:rPr>
          <w:sz w:val="24"/>
          <w:szCs w:val="24"/>
          <w:color w:val="auto"/>
        </w:rPr>
      </w:pPr>
    </w:p>
    <w:tbl>
      <w:tblPr>
        <w:tblLayout w:type="fixed"/>
        <w:tblInd w:w="2379" w:type="dxa"/>
        <w:tblCellMar>
          <w:top w:w="0" w:type="dxa"/>
          <w:left w:w="0" w:type="dxa"/>
          <w:bottom w:w="0" w:type="dxa"/>
          <w:right w:w="0" w:type="dxa"/>
        </w:tblCellMar>
      </w:tblPr>
      <w:tr>
        <w:trPr>
          <w:trHeight w:val="468"/>
        </w:trPr>
        <w:tc>
          <w:tcPr>
            <w:tcW w:w="960" w:type="dxa"/>
            <w:vAlign w:val="bottom"/>
          </w:tcPr>
          <w:p>
            <w:pPr>
              <w:spacing w:after="0"/>
              <w:rPr>
                <w:sz w:val="24"/>
                <w:szCs w:val="2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39"/>
                <w:szCs w:val="39"/>
                <w:b w:val="1"/>
                <w:bCs w:val="1"/>
                <w:color w:val="auto"/>
                <w:w w:val="99"/>
              </w:rPr>
              <w:t>BRADY CORPORATION</w:t>
            </w:r>
          </w:p>
        </w:tc>
      </w:tr>
      <w:tr>
        <w:trPr>
          <w:trHeight w:val="209"/>
        </w:trPr>
        <w:tc>
          <w:tcPr>
            <w:tcW w:w="960" w:type="dxa"/>
            <w:vAlign w:val="bottom"/>
          </w:tcPr>
          <w:p>
            <w:pPr>
              <w:spacing w:after="0"/>
              <w:rPr>
                <w:sz w:val="18"/>
                <w:szCs w:val="18"/>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r>
      <w:tr>
        <w:trPr>
          <w:trHeight w:val="229"/>
        </w:trPr>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2220" w:type="dxa"/>
            <w:vAlign w:val="bottom"/>
          </w:tcPr>
          <w:p>
            <w:pPr>
              <w:spacing w:after="0"/>
              <w:rPr>
                <w:sz w:val="19"/>
                <w:szCs w:val="19"/>
                <w:color w:val="auto"/>
              </w:rPr>
            </w:pPr>
          </w:p>
        </w:tc>
      </w:tr>
      <w:tr>
        <w:trPr>
          <w:trHeight w:val="257"/>
        </w:trPr>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1"/>
              </w:rPr>
              <w:t>Commission File Number 1-14959</w:t>
            </w:r>
          </w:p>
        </w:tc>
      </w:tr>
      <w:tr>
        <w:trPr>
          <w:trHeight w:val="627"/>
        </w:trPr>
        <w:tc>
          <w:tcPr>
            <w:tcW w:w="960" w:type="dxa"/>
            <w:vAlign w:val="bottom"/>
          </w:tcPr>
          <w:p>
            <w:pPr>
              <w:jc w:val="center"/>
              <w:ind w:right="90"/>
              <w:spacing w:after="0"/>
              <w:rPr>
                <w:sz w:val="20"/>
                <w:szCs w:val="20"/>
                <w:color w:val="auto"/>
              </w:rPr>
            </w:pPr>
            <w:r>
              <w:rPr>
                <w:rFonts w:ascii="Arial" w:cs="Arial" w:eastAsia="Arial" w:hAnsi="Arial"/>
                <w:sz w:val="16"/>
                <w:szCs w:val="16"/>
                <w:b w:val="1"/>
                <w:bCs w:val="1"/>
                <w:color w:val="auto"/>
                <w:w w:val="89"/>
              </w:rPr>
              <w:t>Wisconsin</w:t>
            </w:r>
          </w:p>
        </w:tc>
        <w:tc>
          <w:tcPr>
            <w:tcW w:w="5840" w:type="dxa"/>
            <w:vAlign w:val="bottom"/>
            <w:gridSpan w:val="3"/>
          </w:tcPr>
          <w:p>
            <w:pPr>
              <w:jc w:val="center"/>
              <w:ind w:left="4720"/>
              <w:spacing w:after="0"/>
              <w:rPr>
                <w:sz w:val="20"/>
                <w:szCs w:val="20"/>
                <w:color w:val="auto"/>
              </w:rPr>
            </w:pPr>
            <w:r>
              <w:rPr>
                <w:rFonts w:ascii="Arial" w:cs="Arial" w:eastAsia="Arial" w:hAnsi="Arial"/>
                <w:sz w:val="16"/>
                <w:szCs w:val="16"/>
                <w:b w:val="1"/>
                <w:bCs w:val="1"/>
                <w:color w:val="auto"/>
                <w:w w:val="91"/>
              </w:rPr>
              <w:t>39-0971239</w:t>
            </w:r>
          </w:p>
        </w:tc>
      </w:tr>
      <w:tr>
        <w:trPr>
          <w:trHeight w:val="161"/>
        </w:trPr>
        <w:tc>
          <w:tcPr>
            <w:tcW w:w="960" w:type="dxa"/>
            <w:vAlign w:val="bottom"/>
          </w:tcPr>
          <w:p>
            <w:pPr>
              <w:jc w:val="center"/>
              <w:ind w:right="70"/>
              <w:spacing w:after="0"/>
              <w:rPr>
                <w:sz w:val="20"/>
                <w:szCs w:val="20"/>
                <w:color w:val="auto"/>
              </w:rPr>
            </w:pPr>
            <w:r>
              <w:rPr>
                <w:rFonts w:ascii="Arial" w:cs="Arial" w:eastAsia="Arial" w:hAnsi="Arial"/>
                <w:sz w:val="13"/>
                <w:szCs w:val="13"/>
                <w:b w:val="1"/>
                <w:bCs w:val="1"/>
                <w:color w:val="auto"/>
                <w:w w:val="88"/>
              </w:rPr>
              <w:t>(State of</w:t>
            </w:r>
          </w:p>
        </w:tc>
        <w:tc>
          <w:tcPr>
            <w:tcW w:w="1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(IRS Employer</w:t>
            </w:r>
          </w:p>
        </w:tc>
      </w:tr>
      <w:tr>
        <w:trPr>
          <w:trHeight w:val="160"/>
        </w:trPr>
        <w:tc>
          <w:tcPr>
            <w:tcW w:w="960" w:type="dxa"/>
            <w:vAlign w:val="bottom"/>
          </w:tcPr>
          <w:p>
            <w:pPr>
              <w:jc w:val="center"/>
              <w:ind w:right="90"/>
              <w:spacing w:after="0"/>
              <w:rPr>
                <w:sz w:val="20"/>
                <w:szCs w:val="20"/>
                <w:color w:val="auto"/>
              </w:rPr>
            </w:pPr>
            <w:r>
              <w:rPr>
                <w:rFonts w:ascii="Arial" w:cs="Arial" w:eastAsia="Arial" w:hAnsi="Arial"/>
                <w:sz w:val="13"/>
                <w:szCs w:val="13"/>
                <w:b w:val="1"/>
                <w:bCs w:val="1"/>
                <w:color w:val="auto"/>
                <w:w w:val="90"/>
              </w:rPr>
              <w:t>Incorporation)</w:t>
            </w:r>
          </w:p>
        </w:tc>
        <w:tc>
          <w:tcPr>
            <w:tcW w:w="1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Identification No.)</w:t>
            </w:r>
          </w:p>
        </w:tc>
      </w:tr>
      <w:tr>
        <w:trPr>
          <w:trHeight w:val="193"/>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6555 West Good Hope Road</w:t>
            </w:r>
          </w:p>
        </w:tc>
      </w:tr>
      <w:tr>
        <w:trPr>
          <w:trHeight w:val="190"/>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Milwaukee, Wisconsin 53223</w:t>
            </w:r>
          </w:p>
        </w:tc>
      </w:tr>
      <w:tr>
        <w:trPr>
          <w:trHeight w:val="167"/>
        </w:trPr>
        <w:tc>
          <w:tcPr>
            <w:tcW w:w="960" w:type="dxa"/>
            <w:vAlign w:val="bottom"/>
          </w:tcPr>
          <w:p>
            <w:pPr>
              <w:spacing w:after="0"/>
              <w:rPr>
                <w:sz w:val="14"/>
                <w:szCs w:val="1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3"/>
                <w:szCs w:val="13"/>
                <w:b w:val="1"/>
                <w:bCs w:val="1"/>
                <w:color w:val="auto"/>
                <w:w w:val="89"/>
              </w:rPr>
              <w:t>(Address of Principal Executive Offices and Zip Code)</w:t>
            </w:r>
          </w:p>
        </w:tc>
      </w:tr>
      <w:tr>
        <w:trPr>
          <w:trHeight w:val="336"/>
        </w:trPr>
        <w:tc>
          <w:tcPr>
            <w:tcW w:w="960" w:type="dxa"/>
            <w:vAlign w:val="bottom"/>
          </w:tcPr>
          <w:p>
            <w:pPr>
              <w:spacing w:after="0"/>
              <w:rPr>
                <w:sz w:val="24"/>
                <w:szCs w:val="24"/>
                <w:color w:val="auto"/>
              </w:rPr>
            </w:pPr>
          </w:p>
        </w:tc>
        <w:tc>
          <w:tcPr>
            <w:tcW w:w="3620" w:type="dxa"/>
            <w:vAlign w:val="bottom"/>
            <w:gridSpan w:val="2"/>
          </w:tcPr>
          <w:p>
            <w:pPr>
              <w:jc w:val="center"/>
              <w:ind w:left="1000"/>
              <w:spacing w:after="0"/>
              <w:rPr>
                <w:sz w:val="20"/>
                <w:szCs w:val="20"/>
                <w:color w:val="auto"/>
              </w:rPr>
            </w:pPr>
            <w:r>
              <w:rPr>
                <w:rFonts w:ascii="Arial" w:cs="Arial" w:eastAsia="Arial" w:hAnsi="Arial"/>
                <w:sz w:val="16"/>
                <w:szCs w:val="16"/>
                <w:b w:val="1"/>
                <w:bCs w:val="1"/>
                <w:color w:val="auto"/>
                <w:w w:val="91"/>
              </w:rPr>
              <w:t>(414) 358-6600</w:t>
            </w:r>
          </w:p>
        </w:tc>
        <w:tc>
          <w:tcPr>
            <w:tcW w:w="2220" w:type="dxa"/>
            <w:vAlign w:val="bottom"/>
          </w:tcPr>
          <w:p>
            <w:pPr>
              <w:spacing w:after="0"/>
              <w:rPr>
                <w:sz w:val="24"/>
                <w:szCs w:val="24"/>
                <w:color w:val="auto"/>
              </w:rPr>
            </w:pPr>
          </w:p>
        </w:tc>
      </w:tr>
      <w:tr>
        <w:trPr>
          <w:trHeight w:val="171"/>
        </w:trPr>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40" w:type="dxa"/>
            <w:vAlign w:val="bottom"/>
            <w:gridSpan w:val="2"/>
          </w:tcPr>
          <w:p>
            <w:pPr>
              <w:jc w:val="center"/>
              <w:ind w:right="2156"/>
              <w:spacing w:after="0"/>
              <w:rPr>
                <w:sz w:val="20"/>
                <w:szCs w:val="20"/>
                <w:color w:val="auto"/>
              </w:rPr>
            </w:pPr>
            <w:r>
              <w:rPr>
                <w:rFonts w:ascii="Arial" w:cs="Arial" w:eastAsia="Arial" w:hAnsi="Arial"/>
                <w:sz w:val="13"/>
                <w:szCs w:val="13"/>
                <w:b w:val="1"/>
                <w:bCs w:val="1"/>
                <w:color w:val="auto"/>
                <w:w w:val="89"/>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159385</wp:posOffset>
            </wp:positionV>
            <wp:extent cx="16008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3" w:lineRule="exact"/>
        <w:rPr>
          <w:sz w:val="24"/>
          <w:szCs w:val="24"/>
          <w:color w:val="auto"/>
        </w:rPr>
      </w:pPr>
    </w:p>
    <w:p>
      <w:pPr>
        <w:ind w:left="479"/>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319"/>
          </w:cols>
          <w:pgMar w:left="261" w:top="670" w:right="319" w:bottom="1440" w:gutter="0" w:footer="0" w:header="0"/>
        </w:sectPr>
      </w:pPr>
    </w:p>
    <w:bookmarkStart w:id="1" w:name="page2"/>
    <w:bookmarkEnd w:id="1"/>
    <w:p>
      <w:pPr>
        <w:ind w:left="24"/>
        <w:spacing w:after="0"/>
        <w:tabs>
          <w:tab w:leader="none" w:pos="943" w:val="left"/>
        </w:tabs>
        <w:rPr>
          <w:sz w:val="20"/>
          <w:szCs w:val="20"/>
          <w:color w:val="auto"/>
        </w:rPr>
      </w:pPr>
      <w:r>
        <w:rPr>
          <w:rFonts w:ascii="Arial" w:cs="Arial" w:eastAsia="Arial" w:hAnsi="Arial"/>
          <w:sz w:val="16"/>
          <w:szCs w:val="16"/>
          <w:color w:val="auto"/>
        </w:rPr>
        <w:t>Item 2.02</w:t>
      </w:r>
      <w:r>
        <w:rPr>
          <w:sz w:val="20"/>
          <w:szCs w:val="20"/>
          <w:color w:val="auto"/>
        </w:rPr>
        <w:tab/>
      </w:r>
      <w:r>
        <w:rPr>
          <w:rFonts w:ascii="Arial" w:cs="Arial" w:eastAsia="Arial" w:hAnsi="Arial"/>
          <w:sz w:val="15"/>
          <w:szCs w:val="15"/>
          <w:color w:val="auto"/>
        </w:rPr>
        <w:t>RESULTS OF OPERATIONS AND FINANCIAL CONDITION</w:t>
      </w:r>
    </w:p>
    <w:p>
      <w:pPr>
        <w:spacing w:after="0" w:line="226" w:lineRule="exact"/>
        <w:rPr>
          <w:sz w:val="20"/>
          <w:szCs w:val="20"/>
          <w:color w:val="auto"/>
        </w:rPr>
      </w:pPr>
    </w:p>
    <w:p>
      <w:pPr>
        <w:ind w:left="4" w:firstLine="290"/>
        <w:spacing w:after="0" w:line="279" w:lineRule="auto"/>
        <w:rPr>
          <w:sz w:val="20"/>
          <w:szCs w:val="20"/>
          <w:color w:val="auto"/>
        </w:rPr>
      </w:pPr>
      <w:r>
        <w:rPr>
          <w:rFonts w:ascii="Arial" w:cs="Arial" w:eastAsia="Arial" w:hAnsi="Arial"/>
          <w:sz w:val="16"/>
          <w:szCs w:val="16"/>
          <w:color w:val="auto"/>
        </w:rPr>
        <w:t>On November 21, 2013, Brady Corporation (the “Company”) issued a press release announcing its fiscal 2014 first quarter financial results. A copy of the press release is being furnished to the Securities and Exchange Commission as Exhibit 99.1 attached hereto and is incorporated herein by reference.</w:t>
      </w:r>
    </w:p>
    <w:p>
      <w:pPr>
        <w:spacing w:after="0" w:line="200" w:lineRule="exact"/>
        <w:rPr>
          <w:sz w:val="20"/>
          <w:szCs w:val="20"/>
          <w:color w:val="auto"/>
        </w:rPr>
      </w:pPr>
    </w:p>
    <w:p>
      <w:pPr>
        <w:spacing w:after="0" w:line="241" w:lineRule="exact"/>
        <w:rPr>
          <w:sz w:val="20"/>
          <w:szCs w:val="20"/>
          <w:color w:val="auto"/>
        </w:rPr>
      </w:pPr>
    </w:p>
    <w:p>
      <w:pPr>
        <w:ind w:left="24"/>
        <w:spacing w:after="0"/>
        <w:tabs>
          <w:tab w:leader="none" w:pos="943" w:val="left"/>
        </w:tabs>
        <w:rPr>
          <w:sz w:val="20"/>
          <w:szCs w:val="20"/>
          <w:color w:val="auto"/>
        </w:rPr>
      </w:pPr>
      <w:r>
        <w:rPr>
          <w:rFonts w:ascii="Arial" w:cs="Arial" w:eastAsia="Arial" w:hAnsi="Arial"/>
          <w:sz w:val="16"/>
          <w:szCs w:val="16"/>
          <w:color w:val="auto"/>
        </w:rPr>
        <w:t>Item 5.02</w:t>
      </w:r>
      <w:r>
        <w:rPr>
          <w:sz w:val="20"/>
          <w:szCs w:val="20"/>
          <w:color w:val="auto"/>
        </w:rPr>
        <w:tab/>
      </w:r>
      <w:r>
        <w:rPr>
          <w:rFonts w:ascii="Arial" w:cs="Arial" w:eastAsia="Arial" w:hAnsi="Arial"/>
          <w:sz w:val="15"/>
          <w:szCs w:val="15"/>
          <w:color w:val="auto"/>
        </w:rPr>
        <w:t>DEPARTURE OF DIRECTORS OR CERTAIN OFFICERS; ELECTION OF DIRECTORS; APPOINTMENT</w:t>
      </w:r>
    </w:p>
    <w:p>
      <w:pPr>
        <w:spacing w:after="0" w:line="21" w:lineRule="exact"/>
        <w:rPr>
          <w:sz w:val="20"/>
          <w:szCs w:val="20"/>
          <w:color w:val="auto"/>
        </w:rPr>
      </w:pPr>
    </w:p>
    <w:p>
      <w:pPr>
        <w:ind w:left="964"/>
        <w:spacing w:after="0"/>
        <w:rPr>
          <w:sz w:val="20"/>
          <w:szCs w:val="20"/>
          <w:color w:val="auto"/>
        </w:rPr>
      </w:pPr>
      <w:r>
        <w:rPr>
          <w:rFonts w:ascii="Arial" w:cs="Arial" w:eastAsia="Arial" w:hAnsi="Arial"/>
          <w:sz w:val="16"/>
          <w:szCs w:val="16"/>
          <w:color w:val="auto"/>
        </w:rPr>
        <w:t>OF CERTAN OFFICERS; COMPENSATORY ARRANGEMENTS OF CERTAIN OFFICERS</w:t>
      </w:r>
    </w:p>
    <w:p>
      <w:pPr>
        <w:spacing w:after="0" w:line="166" w:lineRule="exact"/>
        <w:rPr>
          <w:sz w:val="20"/>
          <w:szCs w:val="20"/>
          <w:color w:val="auto"/>
        </w:rPr>
      </w:pPr>
    </w:p>
    <w:p>
      <w:pPr>
        <w:jc w:val="both"/>
        <w:ind w:left="4" w:hanging="4"/>
        <w:spacing w:after="0" w:line="261" w:lineRule="auto"/>
        <w:tabs>
          <w:tab w:leader="none" w:pos="243"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July 11, 2013, the Company disclosed on a Current Report on Form 8-K that on July 10, 2013, Allan J. Klotsche, Senior Vice President - Human Resources of the Company, announced his intent to resign his employment upon the hiring of his successor and after a transition period following such hire. On November 20, 2013, the Board of Directors elected Helena Nelligan to serve as Senior Vice President - Human Resources. Mr. Klotsche will remain employed by the Company in a transition role until the effective date of his resignation of employment on January 7, 2014.</w:t>
      </w:r>
    </w:p>
    <w:p>
      <w:pPr>
        <w:spacing w:after="0" w:line="285" w:lineRule="exact"/>
        <w:rPr>
          <w:sz w:val="20"/>
          <w:szCs w:val="20"/>
          <w:color w:val="auto"/>
        </w:rPr>
      </w:pPr>
    </w:p>
    <w:p>
      <w:pPr>
        <w:ind w:left="4" w:hanging="4"/>
        <w:spacing w:after="0" w:line="310" w:lineRule="auto"/>
        <w:tabs>
          <w:tab w:leader="none" w:pos="231" w:val="left"/>
        </w:tabs>
        <w:numPr>
          <w:ilvl w:val="0"/>
          <w:numId w:val="3"/>
        </w:numPr>
        <w:rPr>
          <w:rFonts w:ascii="Arial" w:cs="Arial" w:eastAsia="Arial" w:hAnsi="Arial"/>
          <w:sz w:val="15"/>
          <w:szCs w:val="15"/>
          <w:color w:val="auto"/>
        </w:rPr>
      </w:pPr>
      <w:r>
        <w:rPr>
          <w:rFonts w:ascii="Arial" w:cs="Arial" w:eastAsia="Arial" w:hAnsi="Arial"/>
          <w:sz w:val="15"/>
          <w:szCs w:val="15"/>
          <w:color w:val="auto"/>
        </w:rPr>
        <w:t>On November 20, 2013, the holders of all of the shares of the Company’s Class B Common Stock elected Nancy L. Gioia to the Company’s Board of Directors. Ms. Gioia had been nominated for election to the Board of Directors through a process conducted by the Corporate Governance Committee of the Board.</w:t>
      </w:r>
    </w:p>
    <w:p>
      <w:pPr>
        <w:spacing w:after="0" w:line="1" w:lineRule="exact"/>
        <w:rPr>
          <w:sz w:val="20"/>
          <w:szCs w:val="20"/>
          <w:color w:val="auto"/>
        </w:rPr>
      </w:pPr>
    </w:p>
    <w:p>
      <w:pPr>
        <w:jc w:val="both"/>
        <w:ind w:left="4"/>
        <w:spacing w:after="0" w:line="265" w:lineRule="auto"/>
        <w:rPr>
          <w:sz w:val="20"/>
          <w:szCs w:val="20"/>
          <w:color w:val="auto"/>
        </w:rPr>
      </w:pPr>
      <w:r>
        <w:rPr>
          <w:rFonts w:ascii="Arial" w:cs="Arial" w:eastAsia="Arial" w:hAnsi="Arial"/>
          <w:sz w:val="16"/>
          <w:szCs w:val="16"/>
          <w:color w:val="auto"/>
        </w:rPr>
        <w:t>Ms. Gioia has been appointed to the Technology Committee of the Board of Directors. She is eligible to participate in the Company’s equity incentive and other benefit plans on a basis similar to other non-employee directors and, as such, will receive an award of 4,250 time-based stock options and 1,450 shares of unrestricted stock with a grant date of December 4, 2013.</w:t>
      </w:r>
    </w:p>
    <w:p>
      <w:pPr>
        <w:spacing w:after="0" w:line="283" w:lineRule="exact"/>
        <w:rPr>
          <w:sz w:val="20"/>
          <w:szCs w:val="20"/>
          <w:color w:val="auto"/>
        </w:rPr>
      </w:pPr>
    </w:p>
    <w:p>
      <w:pPr>
        <w:jc w:val="both"/>
        <w:ind w:left="4" w:hanging="4"/>
        <w:spacing w:after="0" w:line="277" w:lineRule="auto"/>
        <w:tabs>
          <w:tab w:leader="none" w:pos="234" w:val="left"/>
        </w:tabs>
        <w:numPr>
          <w:ilvl w:val="0"/>
          <w:numId w:val="4"/>
        </w:numPr>
        <w:rPr>
          <w:rFonts w:ascii="Arial" w:cs="Arial" w:eastAsia="Arial" w:hAnsi="Arial"/>
          <w:sz w:val="15"/>
          <w:szCs w:val="15"/>
          <w:color w:val="auto"/>
        </w:rPr>
      </w:pPr>
      <w:r>
        <w:rPr>
          <w:rFonts w:ascii="Arial" w:cs="Arial" w:eastAsia="Arial" w:hAnsi="Arial"/>
          <w:sz w:val="15"/>
          <w:szCs w:val="15"/>
          <w:color w:val="auto"/>
        </w:rPr>
        <w:t>On November 20, 2013, the Company and Allan J. Klotsche, Senior Vice President - Human Resources, entered into a Complete and Permanent Release and Resignation Agreement (the “Separation Agreement”) in connection with his resignation of employment from the Company as disclosed in Item 5.02 (b) hereto. Under the Separation Agreement, Mr. Klotsche will receive $321,500 to be paid in equal installments in the 12 month period following his resignation of employment on January 7, 2014. The Separation Agreement also contains 12 month non-competition and non-solicitation provisions, as well as standard confidentiality, waiver and non-disparagement provisions. The Separation Agreement is also subject to legal revocation rights. The foregoing description of the Separation Agreement is qualified in its entirety by reference to the full text of such agreement, a copy of which is attached hereto as Exhibit 10.1 and is incorporated herein by reference.</w:t>
      </w:r>
    </w:p>
    <w:p>
      <w:pPr>
        <w:spacing w:after="0" w:line="200" w:lineRule="exact"/>
        <w:rPr>
          <w:sz w:val="20"/>
          <w:szCs w:val="20"/>
          <w:color w:val="auto"/>
        </w:rPr>
      </w:pPr>
    </w:p>
    <w:p>
      <w:pPr>
        <w:spacing w:after="0" w:line="244" w:lineRule="exact"/>
        <w:rPr>
          <w:sz w:val="20"/>
          <w:szCs w:val="20"/>
          <w:color w:val="auto"/>
        </w:rPr>
      </w:pPr>
    </w:p>
    <w:p>
      <w:pPr>
        <w:ind w:left="24"/>
        <w:spacing w:after="0"/>
        <w:tabs>
          <w:tab w:leader="none" w:pos="943" w:val="left"/>
        </w:tabs>
        <w:rPr>
          <w:sz w:val="20"/>
          <w:szCs w:val="20"/>
          <w:color w:val="auto"/>
        </w:rPr>
      </w:pPr>
      <w:r>
        <w:rPr>
          <w:rFonts w:ascii="Arial" w:cs="Arial" w:eastAsia="Arial" w:hAnsi="Arial"/>
          <w:sz w:val="16"/>
          <w:szCs w:val="16"/>
          <w:color w:val="auto"/>
        </w:rPr>
        <w:t>Item 5.07</w:t>
      </w:r>
      <w:r>
        <w:rPr>
          <w:sz w:val="20"/>
          <w:szCs w:val="20"/>
          <w:color w:val="auto"/>
        </w:rPr>
        <w:tab/>
      </w:r>
      <w:r>
        <w:rPr>
          <w:rFonts w:ascii="Arial" w:cs="Arial" w:eastAsia="Arial" w:hAnsi="Arial"/>
          <w:sz w:val="15"/>
          <w:szCs w:val="15"/>
          <w:color w:val="auto"/>
        </w:rPr>
        <w:t>SUBMISSIONS OF MATTERS TO A VOTE OF SECURITY HOLDERS</w:t>
      </w:r>
    </w:p>
    <w:p>
      <w:pPr>
        <w:spacing w:after="0" w:line="397" w:lineRule="exact"/>
        <w:rPr>
          <w:sz w:val="20"/>
          <w:szCs w:val="20"/>
          <w:color w:val="auto"/>
        </w:rPr>
      </w:pPr>
    </w:p>
    <w:p>
      <w:pPr>
        <w:ind w:left="4" w:right="280" w:firstLine="290"/>
        <w:spacing w:after="0" w:line="265" w:lineRule="auto"/>
        <w:rPr>
          <w:sz w:val="20"/>
          <w:szCs w:val="20"/>
          <w:color w:val="auto"/>
        </w:rPr>
      </w:pPr>
      <w:r>
        <w:rPr>
          <w:rFonts w:ascii="Arial" w:cs="Arial" w:eastAsia="Arial" w:hAnsi="Arial"/>
          <w:sz w:val="16"/>
          <w:szCs w:val="16"/>
          <w:color w:val="auto"/>
        </w:rPr>
        <w:t>On November 20, 2013, at the Company’s Annual Shareholders’ Meeting, the holders of all of the 3,538,628 shares of the Company’s Class B Common Stock voted unanimously in favor of electing the following persons to serve as the Company’s directors until the next annual meeting of shareholders and until their successors have been elected:</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6"/>
          <w:szCs w:val="16"/>
          <w:color w:val="auto"/>
        </w:rPr>
        <w:t>Patrick W. Allender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Gary S. Balkema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color w:val="auto"/>
        </w:rPr>
        <w:t>Nancy L. Gioia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color w:val="auto"/>
        </w:rPr>
        <w:t>Conrad G. Goodkind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color w:val="auto"/>
        </w:rPr>
        <w:t>Frank W. Harris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color w:val="auto"/>
        </w:rPr>
        <w:t>Elizabeth P. Pungello</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color w:val="auto"/>
        </w:rPr>
        <w:t>Bradley C. Richardson</w:t>
      </w:r>
    </w:p>
    <w:p>
      <w:pPr>
        <w:sectPr>
          <w:pgSz w:w="11900" w:h="16838" w:orient="portrait"/>
          <w:cols w:equalWidth="0" w:num="1">
            <w:col w:w="11424"/>
          </w:cols>
          <w:pgMar w:left="236" w:top="682" w:right="239" w:bottom="1440" w:gutter="0" w:footer="0" w:header="0"/>
        </w:sectPr>
      </w:pPr>
    </w:p>
    <w:bookmarkStart w:id="2" w:name="page3"/>
    <w:bookmarkEnd w:id="2"/>
    <w:p>
      <w:pPr>
        <w:ind w:left="20"/>
        <w:spacing w:after="0"/>
        <w:tabs>
          <w:tab w:leader="none" w:pos="940" w:val="left"/>
        </w:tabs>
        <w:rPr>
          <w:sz w:val="20"/>
          <w:szCs w:val="20"/>
          <w:color w:val="auto"/>
        </w:rPr>
      </w:pPr>
      <w:r>
        <w:rPr>
          <w:rFonts w:ascii="Arial" w:cs="Arial" w:eastAsia="Arial" w:hAnsi="Arial"/>
          <w:sz w:val="16"/>
          <w:szCs w:val="16"/>
          <w:color w:val="auto"/>
        </w:rPr>
        <w:t>Item 9.01</w:t>
      </w:r>
      <w:r>
        <w:rPr>
          <w:sz w:val="20"/>
          <w:szCs w:val="20"/>
          <w:color w:val="auto"/>
        </w:rPr>
        <w:tab/>
      </w:r>
      <w:r>
        <w:rPr>
          <w:rFonts w:ascii="Arial" w:cs="Arial" w:eastAsia="Arial" w:hAnsi="Arial"/>
          <w:sz w:val="15"/>
          <w:szCs w:val="15"/>
          <w:color w:val="auto"/>
        </w:rPr>
        <w:t>FINANCIAL STATEMENTS AND EXHIBITS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filed as Exhibits to this Report.</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Exhibit No. 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55149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14975" cy="7620"/>
                    </a:xfrm>
                    <a:prstGeom prst="rect">
                      <a:avLst/>
                    </a:prstGeom>
                    <a:noFill/>
                  </pic:spPr>
                </pic:pic>
              </a:graphicData>
            </a:graphic>
          </wp:anchor>
        </w:drawing>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560" w:type="dxa"/>
            <w:vAlign w:val="bottom"/>
          </w:tcPr>
          <w:p>
            <w:pPr>
              <w:jc w:val="right"/>
              <w:ind w:right="200"/>
              <w:spacing w:after="0"/>
              <w:rPr>
                <w:sz w:val="20"/>
                <w:szCs w:val="20"/>
                <w:color w:val="auto"/>
              </w:rPr>
            </w:pPr>
            <w:r>
              <w:rPr>
                <w:rFonts w:ascii="Arial" w:cs="Arial" w:eastAsia="Arial" w:hAnsi="Arial"/>
                <w:sz w:val="16"/>
                <w:szCs w:val="16"/>
                <w:color w:val="auto"/>
                <w:w w:val="83"/>
              </w:rPr>
              <w:t>10.1</w:t>
            </w:r>
          </w:p>
        </w:tc>
        <w:tc>
          <w:tcPr>
            <w:tcW w:w="7720" w:type="dxa"/>
            <w:vAlign w:val="bottom"/>
          </w:tcPr>
          <w:p>
            <w:pPr>
              <w:ind w:left="280"/>
              <w:spacing w:after="0"/>
              <w:rPr>
                <w:sz w:val="20"/>
                <w:szCs w:val="20"/>
                <w:color w:val="auto"/>
              </w:rPr>
            </w:pPr>
            <w:r>
              <w:rPr>
                <w:rFonts w:ascii="Arial" w:cs="Arial" w:eastAsia="Arial" w:hAnsi="Arial"/>
                <w:sz w:val="16"/>
                <w:szCs w:val="16"/>
                <w:color w:val="auto"/>
              </w:rPr>
              <w:t>Separation Agreement between the Company and Allan J. Klotsche dated as of November 20, 2013.</w:t>
            </w:r>
          </w:p>
        </w:tc>
      </w:tr>
      <w:tr>
        <w:trPr>
          <w:trHeight w:val="241"/>
        </w:trPr>
        <w:tc>
          <w:tcPr>
            <w:tcW w:w="560" w:type="dxa"/>
            <w:vAlign w:val="bottom"/>
          </w:tcPr>
          <w:p>
            <w:pPr>
              <w:jc w:val="right"/>
              <w:ind w:right="200"/>
              <w:spacing w:after="0"/>
              <w:rPr>
                <w:sz w:val="20"/>
                <w:szCs w:val="20"/>
                <w:color w:val="auto"/>
              </w:rPr>
            </w:pPr>
            <w:r>
              <w:rPr>
                <w:rFonts w:ascii="Arial" w:cs="Arial" w:eastAsia="Arial" w:hAnsi="Arial"/>
                <w:sz w:val="16"/>
                <w:szCs w:val="16"/>
                <w:color w:val="auto"/>
                <w:w w:val="83"/>
              </w:rPr>
              <w:t>99.1</w:t>
            </w:r>
          </w:p>
        </w:tc>
        <w:tc>
          <w:tcPr>
            <w:tcW w:w="7720" w:type="dxa"/>
            <w:vAlign w:val="bottom"/>
          </w:tcPr>
          <w:p>
            <w:pPr>
              <w:ind w:left="280"/>
              <w:spacing w:after="0"/>
              <w:rPr>
                <w:sz w:val="20"/>
                <w:szCs w:val="20"/>
                <w:color w:val="auto"/>
              </w:rPr>
            </w:pPr>
            <w:r>
              <w:rPr>
                <w:rFonts w:ascii="Arial" w:cs="Arial" w:eastAsia="Arial" w:hAnsi="Arial"/>
                <w:sz w:val="16"/>
                <w:szCs w:val="16"/>
                <w:color w:val="auto"/>
                <w:w w:val="91"/>
              </w:rPr>
              <w:t>Press Release of Brady Corporation, dated November 21, 2013, relating to first quarter fiscal 2014 financial results.</w:t>
            </w:r>
          </w:p>
        </w:tc>
      </w:tr>
      <w:tr>
        <w:trPr>
          <w:trHeight w:val="422"/>
        </w:trPr>
        <w:tc>
          <w:tcPr>
            <w:tcW w:w="560" w:type="dxa"/>
            <w:vAlign w:val="bottom"/>
          </w:tcPr>
          <w:p>
            <w:pPr>
              <w:jc w:val="right"/>
              <w:ind w:right="200"/>
              <w:spacing w:after="0"/>
              <w:rPr>
                <w:sz w:val="20"/>
                <w:szCs w:val="20"/>
                <w:color w:val="auto"/>
              </w:rPr>
            </w:pPr>
            <w:r>
              <w:rPr>
                <w:rFonts w:ascii="Arial" w:cs="Arial" w:eastAsia="Arial" w:hAnsi="Arial"/>
                <w:sz w:val="16"/>
                <w:szCs w:val="16"/>
                <w:color w:val="auto"/>
                <w:w w:val="83"/>
              </w:rPr>
              <w:t>99.2</w:t>
            </w:r>
          </w:p>
        </w:tc>
        <w:tc>
          <w:tcPr>
            <w:tcW w:w="7720" w:type="dxa"/>
            <w:vAlign w:val="bottom"/>
          </w:tcPr>
          <w:p>
            <w:pPr>
              <w:ind w:left="280"/>
              <w:spacing w:after="0"/>
              <w:rPr>
                <w:sz w:val="20"/>
                <w:szCs w:val="20"/>
                <w:color w:val="auto"/>
              </w:rPr>
            </w:pPr>
            <w:r>
              <w:rPr>
                <w:rFonts w:ascii="Arial" w:cs="Arial" w:eastAsia="Arial" w:hAnsi="Arial"/>
                <w:sz w:val="16"/>
                <w:szCs w:val="16"/>
                <w:color w:val="auto"/>
                <w:w w:val="92"/>
              </w:rPr>
              <w:t>Informational slides provided by Brady Corporation, dated November 21, 2013, relating to first quarter fiscal 2014</w:t>
            </w:r>
          </w:p>
        </w:tc>
      </w:tr>
      <w:tr>
        <w:trPr>
          <w:trHeight w:val="205"/>
        </w:trPr>
        <w:tc>
          <w:tcPr>
            <w:tcW w:w="560" w:type="dxa"/>
            <w:vAlign w:val="bottom"/>
          </w:tcPr>
          <w:p>
            <w:pPr>
              <w:spacing w:after="0"/>
              <w:rPr>
                <w:sz w:val="17"/>
                <w:szCs w:val="17"/>
                <w:color w:val="auto"/>
              </w:rPr>
            </w:pPr>
          </w:p>
        </w:tc>
        <w:tc>
          <w:tcPr>
            <w:tcW w:w="7720" w:type="dxa"/>
            <w:vAlign w:val="bottom"/>
          </w:tcPr>
          <w:p>
            <w:pPr>
              <w:ind w:left="280"/>
              <w:spacing w:after="0"/>
              <w:rPr>
                <w:sz w:val="20"/>
                <w:szCs w:val="20"/>
                <w:color w:val="auto"/>
              </w:rPr>
            </w:pPr>
            <w:r>
              <w:rPr>
                <w:rFonts w:ascii="Arial" w:cs="Arial" w:eastAsia="Arial" w:hAnsi="Arial"/>
                <w:sz w:val="16"/>
                <w:szCs w:val="16"/>
                <w:color w:val="auto"/>
              </w:rPr>
              <w:t>financial results</w:t>
            </w:r>
          </w:p>
        </w:tc>
      </w:tr>
    </w:tbl>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7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BRADY CORPORATION</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21, 2013</w:t>
      </w:r>
    </w:p>
    <w:p>
      <w:pPr>
        <w:spacing w:after="0" w:line="34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29210</wp:posOffset>
            </wp:positionV>
            <wp:extent cx="348488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84880" cy="7620"/>
                    </a:xfrm>
                    <a:prstGeom prst="rect">
                      <a:avLst/>
                    </a:prstGeom>
                    <a:noFill/>
                  </pic:spPr>
                </pic:pic>
              </a:graphicData>
            </a:graphic>
          </wp:anchor>
        </w:drawing>
      </w:r>
    </w:p>
    <w:p>
      <w:pPr>
        <w:spacing w:after="0" w:line="4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Thomas J. Felmer</w:t>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Interim President &amp; Chief Executive Officer and Chief Financial Officer</w:t>
      </w:r>
    </w:p>
    <w:p>
      <w:pPr>
        <w:sectPr>
          <w:pgSz w:w="11900" w:h="16838" w:orient="portrait"/>
          <w:cols w:equalWidth="0" w:num="1">
            <w:col w:w="11440"/>
          </w:cols>
          <w:pgMar w:left="240" w:top="682"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5"/>
        </w:trPr>
        <w:tc>
          <w:tcPr>
            <w:tcW w:w="900" w:type="dxa"/>
            <w:vAlign w:val="bottom"/>
          </w:tcPr>
          <w:p>
            <w:pPr>
              <w:spacing w:after="0"/>
              <w:rPr>
                <w:sz w:val="17"/>
                <w:szCs w:val="17"/>
                <w:color w:val="auto"/>
              </w:rPr>
            </w:pPr>
          </w:p>
        </w:tc>
        <w:tc>
          <w:tcPr>
            <w:tcW w:w="7780" w:type="dxa"/>
            <w:vAlign w:val="bottom"/>
          </w:tcPr>
          <w:p>
            <w:pPr>
              <w:ind w:left="4220"/>
              <w:spacing w:after="0"/>
              <w:rPr>
                <w:sz w:val="20"/>
                <w:szCs w:val="20"/>
                <w:color w:val="auto"/>
              </w:rPr>
            </w:pPr>
            <w:r>
              <w:rPr>
                <w:rFonts w:ascii="Arial" w:cs="Arial" w:eastAsia="Arial" w:hAnsi="Arial"/>
                <w:sz w:val="16"/>
                <w:szCs w:val="16"/>
                <w:color w:val="auto"/>
              </w:rPr>
              <w:t>EXHIBIT INDEX</w:t>
            </w:r>
          </w:p>
        </w:tc>
        <w:tc>
          <w:tcPr>
            <w:tcW w:w="0" w:type="dxa"/>
            <w:vAlign w:val="bottom"/>
          </w:tcPr>
          <w:p>
            <w:pPr>
              <w:spacing w:after="0"/>
              <w:rPr>
                <w:sz w:val="1"/>
                <w:szCs w:val="1"/>
                <w:color w:val="auto"/>
              </w:rPr>
            </w:pPr>
          </w:p>
        </w:tc>
      </w:tr>
      <w:tr>
        <w:trPr>
          <w:trHeight w:val="511"/>
        </w:trPr>
        <w:tc>
          <w:tcPr>
            <w:tcW w:w="900" w:type="dxa"/>
            <w:vAlign w:val="bottom"/>
          </w:tcPr>
          <w:p>
            <w:pPr>
              <w:ind w:left="20"/>
              <w:spacing w:after="0"/>
              <w:rPr>
                <w:sz w:val="20"/>
                <w:szCs w:val="20"/>
                <w:color w:val="auto"/>
              </w:rPr>
            </w:pPr>
            <w:r>
              <w:rPr>
                <w:rFonts w:ascii="Arial" w:cs="Arial" w:eastAsia="Arial" w:hAnsi="Arial"/>
                <w:sz w:val="14"/>
                <w:szCs w:val="14"/>
                <w:color w:val="auto"/>
              </w:rPr>
              <w:t>EXHIBIT</w:t>
            </w:r>
          </w:p>
        </w:tc>
        <w:tc>
          <w:tcPr>
            <w:tcW w:w="7780" w:type="dxa"/>
            <w:vAlign w:val="bottom"/>
            <w:vMerge w:val="restart"/>
          </w:tcPr>
          <w:p>
            <w:pPr>
              <w:ind w:left="260"/>
              <w:spacing w:after="0"/>
              <w:rPr>
                <w:sz w:val="20"/>
                <w:szCs w:val="20"/>
                <w:color w:val="auto"/>
              </w:rPr>
            </w:pPr>
            <w:r>
              <w:rPr>
                <w:rFonts w:ascii="Arial" w:cs="Arial" w:eastAsia="Arial" w:hAnsi="Arial"/>
                <w:sz w:val="16"/>
                <w:szCs w:val="16"/>
                <w:color w:val="auto"/>
              </w:rPr>
              <w:t>DESCRIPTION</w:t>
            </w:r>
          </w:p>
        </w:tc>
        <w:tc>
          <w:tcPr>
            <w:tcW w:w="0" w:type="dxa"/>
            <w:vAlign w:val="bottom"/>
          </w:tcPr>
          <w:p>
            <w:pPr>
              <w:spacing w:after="0"/>
              <w:rPr>
                <w:sz w:val="1"/>
                <w:szCs w:val="1"/>
                <w:color w:val="auto"/>
              </w:rPr>
            </w:pPr>
          </w:p>
        </w:tc>
      </w:tr>
      <w:tr>
        <w:trPr>
          <w:trHeight w:val="189"/>
        </w:trPr>
        <w:tc>
          <w:tcPr>
            <w:tcW w:w="900" w:type="dxa"/>
            <w:vAlign w:val="bottom"/>
          </w:tcPr>
          <w:p>
            <w:pPr>
              <w:ind w:left="20"/>
              <w:spacing w:after="0"/>
              <w:rPr>
                <w:sz w:val="20"/>
                <w:szCs w:val="20"/>
                <w:color w:val="auto"/>
              </w:rPr>
            </w:pPr>
            <w:r>
              <w:rPr>
                <w:rFonts w:ascii="Arial" w:cs="Arial" w:eastAsia="Arial" w:hAnsi="Arial"/>
                <w:sz w:val="14"/>
                <w:szCs w:val="14"/>
                <w:color w:val="auto"/>
              </w:rPr>
              <w:t>NUMBER</w:t>
            </w:r>
          </w:p>
        </w:tc>
        <w:tc>
          <w:tcPr>
            <w:tcW w:w="7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00" w:type="dxa"/>
            <w:vAlign w:val="bottom"/>
            <w:tcBorders>
              <w:bottom w:val="single" w:sz="8" w:color="auto"/>
            </w:tcBorders>
          </w:tcPr>
          <w:p>
            <w:pPr>
              <w:spacing w:after="0"/>
              <w:rPr>
                <w:sz w:val="2"/>
                <w:szCs w:val="2"/>
                <w:color w:val="auto"/>
              </w:rPr>
            </w:pPr>
          </w:p>
        </w:tc>
        <w:tc>
          <w:tcPr>
            <w:tcW w:w="7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6"/>
                <w:szCs w:val="16"/>
                <w:color w:val="auto"/>
              </w:rPr>
              <w:t>10.1</w:t>
            </w:r>
          </w:p>
        </w:tc>
        <w:tc>
          <w:tcPr>
            <w:tcW w:w="7780" w:type="dxa"/>
            <w:vAlign w:val="bottom"/>
          </w:tcPr>
          <w:p>
            <w:pPr>
              <w:ind w:left="260"/>
              <w:spacing w:after="0"/>
              <w:rPr>
                <w:sz w:val="20"/>
                <w:szCs w:val="20"/>
                <w:color w:val="auto"/>
              </w:rPr>
            </w:pPr>
            <w:r>
              <w:rPr>
                <w:rFonts w:ascii="Arial" w:cs="Arial" w:eastAsia="Arial" w:hAnsi="Arial"/>
                <w:sz w:val="16"/>
                <w:szCs w:val="16"/>
                <w:color w:val="auto"/>
              </w:rPr>
              <w:t>Separation Agreement between the Company and Allan J. Klotsche dated as of November 20, 2013.</w:t>
            </w:r>
          </w:p>
        </w:tc>
        <w:tc>
          <w:tcPr>
            <w:tcW w:w="0" w:type="dxa"/>
            <w:vAlign w:val="bottom"/>
          </w:tcPr>
          <w:p>
            <w:pPr>
              <w:spacing w:after="0"/>
              <w:rPr>
                <w:sz w:val="1"/>
                <w:szCs w:val="1"/>
                <w:color w:val="auto"/>
              </w:rPr>
            </w:pPr>
          </w:p>
        </w:tc>
      </w:tr>
      <w:tr>
        <w:trPr>
          <w:trHeight w:val="241"/>
        </w:trPr>
        <w:tc>
          <w:tcPr>
            <w:tcW w:w="900" w:type="dxa"/>
            <w:vAlign w:val="bottom"/>
          </w:tcPr>
          <w:p>
            <w:pPr>
              <w:ind w:left="20"/>
              <w:spacing w:after="0"/>
              <w:rPr>
                <w:sz w:val="20"/>
                <w:szCs w:val="20"/>
                <w:color w:val="auto"/>
              </w:rPr>
            </w:pPr>
            <w:r>
              <w:rPr>
                <w:rFonts w:ascii="Arial" w:cs="Arial" w:eastAsia="Arial" w:hAnsi="Arial"/>
                <w:sz w:val="16"/>
                <w:szCs w:val="16"/>
                <w:color w:val="auto"/>
              </w:rPr>
              <w:t>99.1</w:t>
            </w:r>
          </w:p>
        </w:tc>
        <w:tc>
          <w:tcPr>
            <w:tcW w:w="7780" w:type="dxa"/>
            <w:vAlign w:val="bottom"/>
          </w:tcPr>
          <w:p>
            <w:pPr>
              <w:ind w:left="260"/>
              <w:spacing w:after="0"/>
              <w:rPr>
                <w:sz w:val="20"/>
                <w:szCs w:val="20"/>
                <w:color w:val="auto"/>
              </w:rPr>
            </w:pPr>
            <w:r>
              <w:rPr>
                <w:rFonts w:ascii="Arial" w:cs="Arial" w:eastAsia="Arial" w:hAnsi="Arial"/>
                <w:sz w:val="16"/>
                <w:szCs w:val="16"/>
                <w:color w:val="auto"/>
                <w:w w:val="92"/>
              </w:rPr>
              <w:t>Press Release of Brady Corporation, dated November 21, 2013, relating to first quarter fiscal 2014 financial results.</w:t>
            </w:r>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sz w:val="20"/>
                <w:szCs w:val="20"/>
                <w:color w:val="auto"/>
              </w:rPr>
            </w:pPr>
            <w:r>
              <w:rPr>
                <w:rFonts w:ascii="Arial" w:cs="Arial" w:eastAsia="Arial" w:hAnsi="Arial"/>
                <w:sz w:val="16"/>
                <w:szCs w:val="16"/>
                <w:color w:val="auto"/>
              </w:rPr>
              <w:t>99.2</w:t>
            </w:r>
          </w:p>
        </w:tc>
        <w:tc>
          <w:tcPr>
            <w:tcW w:w="7780" w:type="dxa"/>
            <w:vAlign w:val="bottom"/>
          </w:tcPr>
          <w:p>
            <w:pPr>
              <w:ind w:left="260"/>
              <w:spacing w:after="0"/>
              <w:rPr>
                <w:sz w:val="20"/>
                <w:szCs w:val="20"/>
                <w:color w:val="auto"/>
              </w:rPr>
            </w:pPr>
            <w:r>
              <w:rPr>
                <w:rFonts w:ascii="Arial" w:cs="Arial" w:eastAsia="Arial" w:hAnsi="Arial"/>
                <w:sz w:val="16"/>
                <w:szCs w:val="16"/>
                <w:color w:val="auto"/>
                <w:w w:val="93"/>
              </w:rPr>
              <w:t>Informational slides provided by Brady Corporation, dated November 21, 2013, relating to first quarter fiscal 2014</w:t>
            </w:r>
          </w:p>
        </w:tc>
        <w:tc>
          <w:tcPr>
            <w:tcW w:w="0" w:type="dxa"/>
            <w:vAlign w:val="bottom"/>
          </w:tcPr>
          <w:p>
            <w:pPr>
              <w:spacing w:after="0"/>
              <w:rPr>
                <w:sz w:val="1"/>
                <w:szCs w:val="1"/>
                <w:color w:val="auto"/>
              </w:rPr>
            </w:pPr>
          </w:p>
        </w:tc>
      </w:tr>
      <w:tr>
        <w:trPr>
          <w:trHeight w:val="205"/>
        </w:trPr>
        <w:tc>
          <w:tcPr>
            <w:tcW w:w="900" w:type="dxa"/>
            <w:vAlign w:val="bottom"/>
          </w:tcPr>
          <w:p>
            <w:pPr>
              <w:spacing w:after="0"/>
              <w:rPr>
                <w:sz w:val="17"/>
                <w:szCs w:val="17"/>
                <w:color w:val="auto"/>
              </w:rPr>
            </w:pPr>
          </w:p>
        </w:tc>
        <w:tc>
          <w:tcPr>
            <w:tcW w:w="7780" w:type="dxa"/>
            <w:vAlign w:val="bottom"/>
          </w:tcPr>
          <w:p>
            <w:pPr>
              <w:ind w:left="260"/>
              <w:spacing w:after="0"/>
              <w:rPr>
                <w:sz w:val="20"/>
                <w:szCs w:val="20"/>
                <w:color w:val="auto"/>
              </w:rPr>
            </w:pPr>
            <w:r>
              <w:rPr>
                <w:rFonts w:ascii="Arial" w:cs="Arial" w:eastAsia="Arial" w:hAnsi="Arial"/>
                <w:sz w:val="16"/>
                <w:szCs w:val="16"/>
                <w:color w:val="auto"/>
              </w:rPr>
              <w:t>financial results.</w:t>
            </w:r>
          </w:p>
        </w:tc>
        <w:tc>
          <w:tcPr>
            <w:tcW w:w="0" w:type="dxa"/>
            <w:vAlign w:val="bottom"/>
          </w:tcPr>
          <w:p>
            <w:pPr>
              <w:spacing w:after="0"/>
              <w:rPr>
                <w:sz w:val="1"/>
                <w:szCs w:val="1"/>
                <w:color w:val="auto"/>
              </w:rPr>
            </w:pPr>
          </w:p>
        </w:tc>
      </w:tr>
    </w:tbl>
    <w:p>
      <w:pPr>
        <w:sectPr>
          <w:pgSz w:w="11900" w:h="16838" w:orient="portrait"/>
          <w:cols w:equalWidth="0" w:num="1">
            <w:col w:w="10219"/>
          </w:cols>
          <w:pgMar w:left="240" w:top="73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10.1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COMPLETE AND PERMANENT RELEASE AND RESIGNATION AGREEMENT</w:t>
      </w:r>
    </w:p>
    <w:p>
      <w:pPr>
        <w:spacing w:after="0" w:line="206" w:lineRule="exact"/>
        <w:rPr>
          <w:sz w:val="20"/>
          <w:szCs w:val="20"/>
          <w:color w:val="auto"/>
        </w:rPr>
      </w:pPr>
    </w:p>
    <w:p>
      <w:pPr>
        <w:ind w:right="20" w:firstLine="579"/>
        <w:spacing w:after="0" w:line="314" w:lineRule="auto"/>
        <w:rPr>
          <w:sz w:val="20"/>
          <w:szCs w:val="20"/>
          <w:color w:val="auto"/>
        </w:rPr>
      </w:pPr>
      <w:r>
        <w:rPr>
          <w:rFonts w:ascii="Arial" w:cs="Arial" w:eastAsia="Arial" w:hAnsi="Arial"/>
          <w:sz w:val="15"/>
          <w:szCs w:val="15"/>
          <w:color w:val="auto"/>
        </w:rPr>
        <w:t>Allan J. Klotsche (“Mr. Klotsche”) and Brady Corporation (“the Company”) hereby enter into this Complete and Permanent Release and Resignation Agreement to resolve all matters relating to Mr. Klotsche’s employment with and resignation from the Company. Mr. Klotsche and the Company hereby agree as follows:</w:t>
      </w:r>
    </w:p>
    <w:p>
      <w:pPr>
        <w:spacing w:after="0" w:line="124" w:lineRule="exact"/>
        <w:rPr>
          <w:sz w:val="20"/>
          <w:szCs w:val="20"/>
          <w:color w:val="auto"/>
        </w:rPr>
      </w:pPr>
    </w:p>
    <w:p>
      <w:pPr>
        <w:ind w:left="860" w:hanging="285"/>
        <w:spacing w:after="0"/>
        <w:tabs>
          <w:tab w:leader="none" w:pos="86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Resignation.</w:t>
      </w:r>
    </w:p>
    <w:p>
      <w:pPr>
        <w:spacing w:after="0" w:line="206" w:lineRule="exact"/>
        <w:rPr>
          <w:sz w:val="20"/>
          <w:szCs w:val="20"/>
          <w:color w:val="auto"/>
        </w:rPr>
      </w:pPr>
    </w:p>
    <w:p>
      <w:pPr>
        <w:jc w:val="both"/>
        <w:ind w:firstLine="579"/>
        <w:spacing w:after="0" w:line="276" w:lineRule="auto"/>
        <w:rPr>
          <w:sz w:val="20"/>
          <w:szCs w:val="20"/>
          <w:color w:val="auto"/>
        </w:rPr>
      </w:pPr>
      <w:r>
        <w:rPr>
          <w:rFonts w:ascii="Arial" w:cs="Arial" w:eastAsia="Arial" w:hAnsi="Arial"/>
          <w:sz w:val="15"/>
          <w:szCs w:val="15"/>
          <w:color w:val="auto"/>
        </w:rPr>
        <w:t>Effective November 20, 2013, pursuant to the action of the Board of Directors of the Company, Mr. Klotsche's term as Senior Vice President--Human Resources of the Company expired and Mr. Klotsche resigned from any and all officer and director positions which he held with subsidiaries or affiliates of the Company (the “Effective Date”). Effective 12:01 a.m. on January 7, 2014 (CDT) (the “Separation Date”), Mr. Klotsche hereby agrees to resign from employment with the Company. From the Effective Date to the Separation Date, Mr. Klotsche will remain employed by the Company and receive his current salary and fringe benefits. During that time, Mr. Klotsche will be available to consult with respect to human resource and other issues as requested by the Company. The Separation Date shall be deemed to be the “Qualifying Event” for insurance continuation and benefit plan purposes under state and federal law. As of the Effective Date, Mr. Klotsche shall no longer be entitled to participate in any and all Equity Agreements with Brady Corporation, except as described in this Agreement.</w:t>
      </w:r>
    </w:p>
    <w:p>
      <w:pPr>
        <w:spacing w:after="0" w:line="151" w:lineRule="exact"/>
        <w:rPr>
          <w:sz w:val="20"/>
          <w:szCs w:val="20"/>
          <w:color w:val="auto"/>
        </w:rPr>
      </w:pPr>
    </w:p>
    <w:p>
      <w:pPr>
        <w:ind w:left="860" w:hanging="285"/>
        <w:spacing w:after="0"/>
        <w:tabs>
          <w:tab w:leader="none" w:pos="86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Retirement Plan; Equity Agreements.</w:t>
      </w:r>
    </w:p>
    <w:p>
      <w:pPr>
        <w:spacing w:after="0" w:line="206" w:lineRule="exact"/>
        <w:rPr>
          <w:sz w:val="20"/>
          <w:szCs w:val="20"/>
          <w:color w:val="auto"/>
        </w:rPr>
      </w:pPr>
    </w:p>
    <w:p>
      <w:pPr>
        <w:jc w:val="both"/>
        <w:ind w:right="20" w:firstLine="579"/>
        <w:spacing w:after="0" w:line="261" w:lineRule="auto"/>
        <w:rPr>
          <w:sz w:val="20"/>
          <w:szCs w:val="20"/>
          <w:color w:val="auto"/>
        </w:rPr>
      </w:pPr>
      <w:r>
        <w:rPr>
          <w:rFonts w:ascii="Arial" w:cs="Arial" w:eastAsia="Arial" w:hAnsi="Arial"/>
          <w:sz w:val="16"/>
          <w:szCs w:val="16"/>
          <w:color w:val="auto"/>
        </w:rPr>
        <w:t>All of Mr. Klotsche’s balances, including Company stock, within any Company retirement plan will be paid out in accordance with the provisions of each plan and Mr. Klotsche’s instructions under such plans. In addition, Mr. Klotsche shall have all of his preexisting rights with respect to stock options and restricted stock in accordance with the equity plans and granting agreements governing such equity. Following the Effective Date, Mr. Klotsche will be provided with a summary of outstanding grants and post-termination exercise periods under those equity agreements.</w:t>
      </w:r>
    </w:p>
    <w:p>
      <w:pPr>
        <w:spacing w:after="0" w:line="161" w:lineRule="exact"/>
        <w:rPr>
          <w:sz w:val="20"/>
          <w:szCs w:val="20"/>
          <w:color w:val="auto"/>
        </w:rPr>
      </w:pPr>
    </w:p>
    <w:p>
      <w:pPr>
        <w:ind w:left="860" w:hanging="285"/>
        <w:spacing w:after="0"/>
        <w:tabs>
          <w:tab w:leader="none" w:pos="86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Severance Pay.</w:t>
      </w:r>
    </w:p>
    <w:p>
      <w:pPr>
        <w:spacing w:after="0" w:line="206" w:lineRule="exact"/>
        <w:rPr>
          <w:sz w:val="20"/>
          <w:szCs w:val="20"/>
          <w:color w:val="auto"/>
        </w:rPr>
      </w:pPr>
    </w:p>
    <w:p>
      <w:pPr>
        <w:jc w:val="both"/>
        <w:ind w:right="20" w:firstLine="579"/>
        <w:spacing w:after="0" w:line="292" w:lineRule="auto"/>
        <w:rPr>
          <w:sz w:val="20"/>
          <w:szCs w:val="20"/>
          <w:color w:val="auto"/>
        </w:rPr>
      </w:pPr>
      <w:r>
        <w:rPr>
          <w:rFonts w:ascii="Arial" w:cs="Arial" w:eastAsia="Arial" w:hAnsi="Arial"/>
          <w:sz w:val="14"/>
          <w:szCs w:val="14"/>
          <w:color w:val="auto"/>
        </w:rPr>
        <w:t>In addition to the foregoing, and assuming Mr. Klotsche accepts and does not revoke this Agreement, Mr. Klotsche will be provided severance payments in the gross amount of $321,500, less required withholding, payable over the one year period following the Separation Date in accordance with the Company’s normal payroll practices, with the first such payment to be made on the first pay date occurring after the Separation Date or, only to the extent required by Section 409A, on the six-month anniversary of the Separation Date. Each severance installment payable under this Section 3 shall constitute a separate "payment" within the meaning of Treasury Regulation Section 1.409A-2(b)</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pacing w:after="0" w:line="190" w:lineRule="exact"/>
        <w:rPr>
          <w:sz w:val="20"/>
          <w:szCs w:val="20"/>
          <w:color w:val="auto"/>
        </w:rPr>
      </w:pPr>
    </w:p>
    <w:p>
      <w:pPr>
        <w:jc w:val="both"/>
        <w:ind w:right="20" w:firstLine="579"/>
        <w:spacing w:after="0" w:line="257" w:lineRule="auto"/>
        <w:rPr>
          <w:sz w:val="20"/>
          <w:szCs w:val="20"/>
          <w:color w:val="auto"/>
        </w:rPr>
      </w:pPr>
      <w:r>
        <w:rPr>
          <w:rFonts w:ascii="Arial" w:cs="Arial" w:eastAsia="Arial" w:hAnsi="Arial"/>
          <w:sz w:val="16"/>
          <w:szCs w:val="16"/>
          <w:color w:val="auto"/>
        </w:rPr>
        <w:t>Mr. Klotsche will also be provided health insurance benefits from the Effective Date to the Separation Date. Mr. Klotsche’s resignation is a qualifying event under the provisions of the Consolidated Reconciliation Act of 1985 (COBRA), and Mr. Klotsche will have the right to continue his group medical, dental or vision coverage for up to 18 months. The Company will continue to pay the Company portion of Mr. Klotsche’s premium for 6 months following the Separation Date, provided that Mr. Klotsche continues his medical coverage by paying the employee portion of the medical premium Mr. Klotsche will also be provided prorated Company retirement plan contributions from the Effective Date to the Separation Date, the option to purchase his Company vehicle for 80% of its assessed value as of the Separation Date, and the right to retain his Company computer/cell phone/iPad fully wiped of all Company-related data and information.</w:t>
      </w:r>
    </w:p>
    <w:p>
      <w:pPr>
        <w:spacing w:after="0" w:line="165" w:lineRule="exact"/>
        <w:rPr>
          <w:sz w:val="20"/>
          <w:szCs w:val="20"/>
          <w:color w:val="auto"/>
        </w:rPr>
      </w:pPr>
    </w:p>
    <w:p>
      <w:pPr>
        <w:ind w:left="860" w:hanging="285"/>
        <w:spacing w:after="0"/>
        <w:tabs>
          <w:tab w:leader="none" w:pos="86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Adequate Consideration.</w:t>
      </w:r>
    </w:p>
    <w:p>
      <w:pPr>
        <w:spacing w:after="0" w:line="206" w:lineRule="exact"/>
        <w:rPr>
          <w:sz w:val="20"/>
          <w:szCs w:val="20"/>
          <w:color w:val="auto"/>
        </w:rPr>
      </w:pPr>
    </w:p>
    <w:p>
      <w:pPr>
        <w:jc w:val="both"/>
        <w:ind w:firstLine="579"/>
        <w:spacing w:after="0" w:line="258" w:lineRule="auto"/>
        <w:rPr>
          <w:sz w:val="20"/>
          <w:szCs w:val="20"/>
          <w:color w:val="auto"/>
        </w:rPr>
      </w:pPr>
      <w:r>
        <w:rPr>
          <w:rFonts w:ascii="Arial" w:cs="Arial" w:eastAsia="Arial" w:hAnsi="Arial"/>
          <w:sz w:val="16"/>
          <w:szCs w:val="16"/>
          <w:color w:val="auto"/>
        </w:rPr>
        <w:t>Mr. Klotsche acknowledges that the Company is under no pre-existing obligation to pay him any of the severance payments or benefits described in paragraph 3 above, that no amounts are due and owing Mr. Klotsche other than vested benefits to which he is otherwise entitled (“vested benefits”), and that the foregoing benefits are adequate consideration for Mr. Klotsche’s commitments in this Agreement. The parties agree that the foregoing constitute all of the payments and benefits to be provided to Mr. Klotsche under this Agreement, and that they are in full settlement of all payments and benefits, including but not limited to, claims for wages, vacation pay, sick pay, bonuses, commissions, relocation costs, severance payments, stock options, or any other compensation.</w:t>
      </w:r>
    </w:p>
    <w:p>
      <w:pPr>
        <w:sectPr>
          <w:pgSz w:w="11900" w:h="16838" w:orient="portrait"/>
          <w:cols w:equalWidth="0" w:num="1">
            <w:col w:w="11440"/>
          </w:cols>
          <w:pgMar w:left="240" w:top="529" w:right="219" w:bottom="1440" w:gutter="0" w:footer="0" w:header="0"/>
        </w:sectPr>
      </w:pPr>
    </w:p>
    <w:bookmarkStart w:id="5" w:name="page6"/>
    <w:bookmarkEnd w:id="5"/>
    <w:p>
      <w:pPr>
        <w:ind w:left="860" w:hanging="285"/>
        <w:spacing w:after="0"/>
        <w:tabs>
          <w:tab w:leader="none" w:pos="86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Release Of All Claims.</w:t>
      </w:r>
    </w:p>
    <w:p>
      <w:pPr>
        <w:spacing w:after="0" w:line="206" w:lineRule="exact"/>
        <w:rPr>
          <w:sz w:val="20"/>
          <w:szCs w:val="20"/>
          <w:color w:val="auto"/>
        </w:rPr>
      </w:pPr>
    </w:p>
    <w:p>
      <w:pPr>
        <w:jc w:val="both"/>
        <w:ind w:firstLine="579"/>
        <w:spacing w:after="0" w:line="295" w:lineRule="auto"/>
        <w:rPr>
          <w:sz w:val="20"/>
          <w:szCs w:val="20"/>
          <w:color w:val="auto"/>
        </w:rPr>
      </w:pPr>
      <w:r>
        <w:rPr>
          <w:rFonts w:ascii="Arial" w:cs="Arial" w:eastAsia="Arial" w:hAnsi="Arial"/>
          <w:sz w:val="14"/>
          <w:szCs w:val="14"/>
          <w:color w:val="auto"/>
        </w:rPr>
        <w:t xml:space="preserve">In consideration of the payments and benefits described above, and to the fullest extent allowed by law, Mr. Klotsche, for himself, his spouse, heirs, successors and assigns, hereby releases and forever discharges the Company, its owners, parents, successors, affiliates, directors, officers, employees and all other representatives, from any and all charges, claims, suits and expenses (including attorneys’ fees and costs), whether known or unknown, including, but not limited to, claims of age or other discrimination, breach of contract, wrongful discharge, constructive discharge, claims under the Wisconsin Fair Employment Act, § 111.31, </w:t>
      </w:r>
      <w:r>
        <w:rPr>
          <w:rFonts w:ascii="Arial" w:cs="Arial" w:eastAsia="Arial" w:hAnsi="Arial"/>
          <w:sz w:val="14"/>
          <w:szCs w:val="14"/>
          <w:u w:val="single" w:color="auto"/>
          <w:color w:val="auto"/>
        </w:rPr>
        <w:t>et seq</w:t>
      </w:r>
      <w:r>
        <w:rPr>
          <w:rFonts w:ascii="Arial" w:cs="Arial" w:eastAsia="Arial" w:hAnsi="Arial"/>
          <w:sz w:val="14"/>
          <w:szCs w:val="14"/>
          <w:color w:val="auto"/>
        </w:rPr>
        <w:t xml:space="preserve">. </w:t>
      </w:r>
      <w:r>
        <w:rPr>
          <w:rFonts w:ascii="Arial" w:cs="Arial" w:eastAsia="Arial" w:hAnsi="Arial"/>
          <w:sz w:val="14"/>
          <w:szCs w:val="14"/>
          <w:u w:val="single" w:color="auto"/>
          <w:color w:val="auto"/>
        </w:rPr>
        <w:t>Wis</w:t>
      </w:r>
      <w:r>
        <w:rPr>
          <w:rFonts w:ascii="Arial" w:cs="Arial" w:eastAsia="Arial" w:hAnsi="Arial"/>
          <w:sz w:val="14"/>
          <w:szCs w:val="14"/>
          <w:color w:val="auto"/>
        </w:rPr>
        <w:t xml:space="preserve">. </w:t>
      </w:r>
      <w:r>
        <w:rPr>
          <w:rFonts w:ascii="Arial" w:cs="Arial" w:eastAsia="Arial" w:hAnsi="Arial"/>
          <w:sz w:val="14"/>
          <w:szCs w:val="14"/>
          <w:u w:val="single" w:color="auto"/>
          <w:color w:val="auto"/>
        </w:rPr>
        <w:t>Stats</w:t>
      </w:r>
      <w:r>
        <w:rPr>
          <w:rFonts w:ascii="Arial" w:cs="Arial" w:eastAsia="Arial" w:hAnsi="Arial"/>
          <w:sz w:val="14"/>
          <w:szCs w:val="14"/>
          <w:color w:val="auto"/>
        </w:rPr>
        <w:t xml:space="preserve">.; Title VII of The Civil Rights Act of 1964, as amended, 42 U.S.C. § 2000e, </w:t>
      </w:r>
      <w:r>
        <w:rPr>
          <w:rFonts w:ascii="Arial" w:cs="Arial" w:eastAsia="Arial" w:hAnsi="Arial"/>
          <w:sz w:val="14"/>
          <w:szCs w:val="14"/>
          <w:u w:val="single" w:color="auto"/>
          <w:color w:val="auto"/>
        </w:rPr>
        <w:t>et seq</w:t>
      </w:r>
      <w:r>
        <w:rPr>
          <w:rFonts w:ascii="Arial" w:cs="Arial" w:eastAsia="Arial" w:hAnsi="Arial"/>
          <w:sz w:val="14"/>
          <w:szCs w:val="14"/>
          <w:color w:val="auto"/>
        </w:rPr>
        <w:t xml:space="preserve">.; the Age Discrimination in Employment Act, 29 U.S.C. § 621 </w:t>
      </w:r>
      <w:r>
        <w:rPr>
          <w:rFonts w:ascii="Arial" w:cs="Arial" w:eastAsia="Arial" w:hAnsi="Arial"/>
          <w:sz w:val="14"/>
          <w:szCs w:val="14"/>
          <w:u w:val="single" w:color="auto"/>
          <w:color w:val="auto"/>
        </w:rPr>
        <w:t>et</w:t>
      </w:r>
      <w:r>
        <w:rPr>
          <w:rFonts w:ascii="Arial" w:cs="Arial" w:eastAsia="Arial" w:hAnsi="Arial"/>
          <w:sz w:val="14"/>
          <w:szCs w:val="14"/>
          <w:color w:val="auto"/>
        </w:rPr>
        <w:t xml:space="preserve">. </w:t>
      </w:r>
      <w:r>
        <w:rPr>
          <w:rFonts w:ascii="Arial" w:cs="Arial" w:eastAsia="Arial" w:hAnsi="Arial"/>
          <w:sz w:val="14"/>
          <w:szCs w:val="14"/>
          <w:u w:val="single" w:color="auto"/>
          <w:color w:val="auto"/>
        </w:rPr>
        <w:t>seq</w:t>
      </w:r>
      <w:r>
        <w:rPr>
          <w:rFonts w:ascii="Arial" w:cs="Arial" w:eastAsia="Arial" w:hAnsi="Arial"/>
          <w:sz w:val="14"/>
          <w:szCs w:val="14"/>
          <w:color w:val="auto"/>
        </w:rPr>
        <w:t>.; the common law of Wisconsin, or any other federal, state or local law relating to employment. This release includes any and all matters in connection with or relating in any way to Mr. Klotsche’s employment with the Company and his resignation from the Company, provided, however, that nothing herein shall release, diminish, or otherwise affect Mr. Klotsche’s vested benefits. Notwithstanding the foregoing, this release excludes any claims: (a) to enforce the terms of this Agreement; (b) arising from facts, circumstances or events occurring after the Separation Date; or (c) for rights to indemnification Mr. Klotsche may have pursuant to the Company's Bylaws, Articles of Incorporation or applicable laws.</w:t>
      </w:r>
    </w:p>
    <w:p>
      <w:pPr>
        <w:spacing w:after="0" w:line="145" w:lineRule="exact"/>
        <w:rPr>
          <w:sz w:val="20"/>
          <w:szCs w:val="20"/>
          <w:color w:val="auto"/>
        </w:rPr>
      </w:pPr>
    </w:p>
    <w:p>
      <w:pPr>
        <w:ind w:left="860" w:hanging="285"/>
        <w:spacing w:after="0"/>
        <w:tabs>
          <w:tab w:leader="none" w:pos="86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Non-Admission.</w:t>
      </w:r>
    </w:p>
    <w:p>
      <w:pPr>
        <w:spacing w:after="0" w:line="206" w:lineRule="exact"/>
        <w:rPr>
          <w:sz w:val="20"/>
          <w:szCs w:val="20"/>
          <w:color w:val="auto"/>
        </w:rPr>
      </w:pPr>
    </w:p>
    <w:p>
      <w:pPr>
        <w:ind w:right="20" w:firstLine="579"/>
        <w:spacing w:after="0" w:line="279" w:lineRule="auto"/>
        <w:rPr>
          <w:sz w:val="20"/>
          <w:szCs w:val="20"/>
          <w:color w:val="auto"/>
        </w:rPr>
      </w:pPr>
      <w:r>
        <w:rPr>
          <w:rFonts w:ascii="Arial" w:cs="Arial" w:eastAsia="Arial" w:hAnsi="Arial"/>
          <w:sz w:val="16"/>
          <w:szCs w:val="16"/>
          <w:color w:val="auto"/>
        </w:rPr>
        <w:t>Mr. Klotsche and the Company agree that this Complete and Permanent Release and Resignation Agreement shall not constitute an admission by the Company that it has acted wrongfully with respect to Mr. Klotsche or that it has discriminated against him or against any other individual.</w:t>
      </w:r>
    </w:p>
    <w:p>
      <w:pPr>
        <w:spacing w:after="0" w:line="147" w:lineRule="exact"/>
        <w:rPr>
          <w:sz w:val="20"/>
          <w:szCs w:val="20"/>
          <w:color w:val="auto"/>
        </w:rPr>
      </w:pPr>
    </w:p>
    <w:p>
      <w:pPr>
        <w:ind w:left="860" w:hanging="285"/>
        <w:spacing w:after="0"/>
        <w:tabs>
          <w:tab w:leader="none" w:pos="86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Confidential Agreement.</w:t>
      </w:r>
    </w:p>
    <w:p>
      <w:pPr>
        <w:spacing w:after="0" w:line="206" w:lineRule="exact"/>
        <w:rPr>
          <w:sz w:val="20"/>
          <w:szCs w:val="20"/>
          <w:color w:val="auto"/>
        </w:rPr>
      </w:pPr>
    </w:p>
    <w:p>
      <w:pPr>
        <w:jc w:val="both"/>
        <w:ind w:right="20" w:firstLine="579"/>
        <w:spacing w:after="0" w:line="261" w:lineRule="auto"/>
        <w:rPr>
          <w:sz w:val="20"/>
          <w:szCs w:val="20"/>
          <w:color w:val="auto"/>
        </w:rPr>
      </w:pPr>
      <w:r>
        <w:rPr>
          <w:rFonts w:ascii="Arial" w:cs="Arial" w:eastAsia="Arial" w:hAnsi="Arial"/>
          <w:sz w:val="16"/>
          <w:szCs w:val="16"/>
          <w:color w:val="auto"/>
        </w:rPr>
        <w:t>Except as permitted below, Mr. Klotsche hereby agrees to keep the terms of this Complete and Permanent Release and Resignation Agreement confidential, and he agrees that he shall neither directly nor indirectly disclose the terms of this Agreement to any other person or entity except to his attorneys, tax preparers or financial advisors, and immediate family members, but only on the condition that they agree to abide by the terms of this confidentiality clause, unless compelled by law or until such time as it has been publicly disclosed by the Company.</w:t>
      </w:r>
    </w:p>
    <w:p>
      <w:pPr>
        <w:spacing w:after="0" w:line="161" w:lineRule="exact"/>
        <w:rPr>
          <w:sz w:val="20"/>
          <w:szCs w:val="20"/>
          <w:color w:val="auto"/>
        </w:rPr>
      </w:pPr>
    </w:p>
    <w:p>
      <w:pPr>
        <w:ind w:left="860" w:hanging="285"/>
        <w:spacing w:after="0"/>
        <w:tabs>
          <w:tab w:leader="none" w:pos="8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Mutual Non-Disparagement.</w:t>
      </w:r>
    </w:p>
    <w:p>
      <w:pPr>
        <w:spacing w:after="0" w:line="206" w:lineRule="exact"/>
        <w:rPr>
          <w:sz w:val="20"/>
          <w:szCs w:val="20"/>
          <w:color w:val="auto"/>
        </w:rPr>
      </w:pPr>
    </w:p>
    <w:p>
      <w:pPr>
        <w:ind w:right="20" w:firstLine="579"/>
        <w:spacing w:after="0" w:line="314" w:lineRule="auto"/>
        <w:rPr>
          <w:sz w:val="20"/>
          <w:szCs w:val="20"/>
          <w:color w:val="auto"/>
        </w:rPr>
      </w:pPr>
      <w:r>
        <w:rPr>
          <w:rFonts w:ascii="Arial" w:cs="Arial" w:eastAsia="Arial" w:hAnsi="Arial"/>
          <w:sz w:val="15"/>
          <w:szCs w:val="15"/>
          <w:color w:val="auto"/>
        </w:rPr>
        <w:t>Mr. Klotsche agrees that at no time will he make disparaging remarks about the Company, its officers, directors, or employees, its products or practices including, but not limited to, its personnel practices. For its part, the Company agrees that its Officers and Directors shall not make disparaging remarks about Mr. Klotsche.</w:t>
      </w:r>
    </w:p>
    <w:p>
      <w:pPr>
        <w:spacing w:after="0" w:line="124" w:lineRule="exact"/>
        <w:rPr>
          <w:sz w:val="20"/>
          <w:szCs w:val="20"/>
          <w:color w:val="auto"/>
        </w:rPr>
      </w:pPr>
    </w:p>
    <w:p>
      <w:pPr>
        <w:ind w:left="860" w:hanging="285"/>
        <w:spacing w:after="0"/>
        <w:tabs>
          <w:tab w:leader="none" w:pos="86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Confidentiality, Non-Solicitation and Non-Compete.</w:t>
      </w:r>
    </w:p>
    <w:p>
      <w:pPr>
        <w:spacing w:after="0" w:line="206" w:lineRule="exact"/>
        <w:rPr>
          <w:sz w:val="20"/>
          <w:szCs w:val="20"/>
          <w:color w:val="auto"/>
        </w:rPr>
      </w:pPr>
    </w:p>
    <w:p>
      <w:pPr>
        <w:jc w:val="both"/>
        <w:ind w:right="20" w:firstLine="579"/>
        <w:spacing w:after="0" w:line="261" w:lineRule="auto"/>
        <w:rPr>
          <w:sz w:val="20"/>
          <w:szCs w:val="20"/>
          <w:color w:val="auto"/>
        </w:rPr>
      </w:pPr>
      <w:r>
        <w:rPr>
          <w:rFonts w:ascii="Arial" w:cs="Arial" w:eastAsia="Arial" w:hAnsi="Arial"/>
          <w:sz w:val="16"/>
          <w:szCs w:val="16"/>
          <w:color w:val="auto"/>
        </w:rPr>
        <w:t>Mr. Klotsche and the Company specifically agree that the payments under paragraph 3 above shall be deemed to fully satisfy any obligation the Company may have to provide salary payments to Mr. Klotsche under any Confidential Information or Non-Compete Agreement he may have signed. All Confidentiality, Non-Solicitation and Non-Compete restrictions and responsibilities to which Mr. Klotsche will be subject after execution of this Agreement are set forth in this Paragraph 9. In addition, and as further consideration for this Agreement, Mr. Klotsche agrees to, understands and acknowledges the following:</w:t>
      </w:r>
    </w:p>
    <w:p>
      <w:pPr>
        <w:spacing w:after="0" w:line="165" w:lineRule="exact"/>
        <w:rPr>
          <w:sz w:val="20"/>
          <w:szCs w:val="20"/>
          <w:color w:val="auto"/>
        </w:rPr>
      </w:pPr>
    </w:p>
    <w:p>
      <w:pPr>
        <w:jc w:val="both"/>
        <w:ind w:left="1740" w:right="20" w:firstLine="572"/>
        <w:spacing w:after="0" w:line="277" w:lineRule="auto"/>
        <w:tabs>
          <w:tab w:leader="none" w:pos="2723" w:val="left"/>
        </w:tabs>
        <w:numPr>
          <w:ilvl w:val="0"/>
          <w:numId w:val="14"/>
        </w:numPr>
        <w:rPr>
          <w:rFonts w:ascii="Arial" w:cs="Arial" w:eastAsia="Arial" w:hAnsi="Arial"/>
          <w:sz w:val="15"/>
          <w:szCs w:val="15"/>
          <w:color w:val="auto"/>
        </w:rPr>
      </w:pPr>
      <w:r>
        <w:rPr>
          <w:rFonts w:ascii="Arial" w:cs="Arial" w:eastAsia="Arial" w:hAnsi="Arial"/>
          <w:sz w:val="15"/>
          <w:szCs w:val="15"/>
          <w:color w:val="auto"/>
        </w:rPr>
        <w:t>During Mr. Klotsche’s employment with the Company, he was provided with Confidential Information relating to the Company, its business and clients, the disclosure or misuse of which would cause severe and irreparable harm to the Company. Mr. Klotsche agrees that all</w:t>
      </w:r>
    </w:p>
    <w:p>
      <w:pPr>
        <w:jc w:val="both"/>
        <w:ind w:left="1740" w:right="20"/>
        <w:spacing w:after="0" w:line="253" w:lineRule="auto"/>
        <w:rPr>
          <w:sz w:val="20"/>
          <w:szCs w:val="20"/>
          <w:color w:val="auto"/>
        </w:rPr>
      </w:pPr>
      <w:r>
        <w:rPr>
          <w:rFonts w:ascii="Arial" w:cs="Arial" w:eastAsia="Arial" w:hAnsi="Arial"/>
          <w:sz w:val="16"/>
          <w:szCs w:val="16"/>
          <w:color w:val="auto"/>
        </w:rPr>
        <w:t>Confidential Information is and shall remain the sole and absolute property of the Company. Upon the Separation Date, Mr. Klotsche shall immediately return to the Company all documents and materials that contain or constitute Confidential Information, in any form whatsoever, including but not limited to, all copies, abstracts, electronic versions, and summaries thereof. Mr. Klotsche further agrees that, without the written approval of the Board of Directors of the Company, he will not disclose, use, copy or duplicate, or otherwise permit the use, disclosure, copying or duplication of any Confidential Information of the Company. Mr. Klotsche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ectPr>
          <w:pgSz w:w="11900" w:h="16838" w:orient="portrait"/>
          <w:cols w:equalWidth="0" w:num="1">
            <w:col w:w="11440"/>
          </w:cols>
          <w:pgMar w:left="240" w:top="533" w:right="219" w:bottom="1440" w:gutter="0" w:footer="0" w:header="0"/>
        </w:sectPr>
      </w:pPr>
    </w:p>
    <w:bookmarkStart w:id="6" w:name="page7"/>
    <w:bookmarkEnd w:id="6"/>
    <w:p>
      <w:pPr>
        <w:ind w:left="6" w:right="20" w:firstLine="573"/>
        <w:spacing w:after="0" w:line="279" w:lineRule="auto"/>
        <w:tabs>
          <w:tab w:leader="none" w:pos="1017"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sectPr>
          <w:pgSz w:w="11900" w:h="16838" w:orient="portrait"/>
          <w:cols w:equalWidth="0" w:num="1">
            <w:col w:w="10286"/>
          </w:cols>
          <w:pgMar w:left="1394" w:top="537" w:right="219" w:bottom="1440" w:gutter="0" w:footer="0" w:header="0"/>
        </w:sectPr>
      </w:pPr>
    </w:p>
    <w:p>
      <w:pPr>
        <w:spacing w:after="0" w:line="151" w:lineRule="exact"/>
        <w:rPr>
          <w:sz w:val="20"/>
          <w:szCs w:val="20"/>
          <w:color w:val="auto"/>
        </w:rPr>
      </w:pPr>
    </w:p>
    <w:p>
      <w:pPr>
        <w:ind w:left="6" w:firstLine="579"/>
        <w:spacing w:after="0" w:line="279" w:lineRule="auto"/>
        <w:rPr>
          <w:sz w:val="20"/>
          <w:szCs w:val="20"/>
          <w:color w:val="auto"/>
        </w:rPr>
      </w:pPr>
      <w:r>
        <w:rPr>
          <w:rFonts w:ascii="Arial" w:cs="Arial" w:eastAsia="Arial" w:hAnsi="Arial"/>
          <w:sz w:val="16"/>
          <w:szCs w:val="16"/>
          <w:color w:val="auto"/>
        </w:rPr>
        <w:t>(ii) inventions, designs, methods, discoveries, works of authorship, acquired or used by the Company;</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creations, improvements or ideas developed or otherwise produced,</w:t>
      </w:r>
    </w:p>
    <w:p>
      <w:pPr>
        <w:spacing w:after="0" w:line="417" w:lineRule="exact"/>
        <w:rPr>
          <w:sz w:val="20"/>
          <w:szCs w:val="20"/>
          <w:color w:val="auto"/>
        </w:rPr>
      </w:pPr>
    </w:p>
    <w:p>
      <w:pPr>
        <w:sectPr>
          <w:pgSz w:w="11900" w:h="16838" w:orient="portrait"/>
          <w:cols w:equalWidth="0" w:num="2">
            <w:col w:w="5146" w:space="680"/>
            <w:col w:w="4460"/>
          </w:cols>
          <w:pgMar w:left="1394" w:top="537" w:right="219" w:bottom="1440" w:gutter="0" w:footer="0" w:header="0"/>
          <w:type w:val="continuous"/>
        </w:sectPr>
      </w:pPr>
    </w:p>
    <w:p>
      <w:pPr>
        <w:ind w:left="986" w:hanging="407"/>
        <w:spacing w:after="0"/>
        <w:tabs>
          <w:tab w:leader="none" w:pos="98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Company’s proprietary programs, processes or software, consisting of but not limited to, computer programs in source or object code and all</w:t>
      </w:r>
    </w:p>
    <w:p>
      <w:pPr>
        <w:spacing w:after="0" w:line="44" w:lineRule="exact"/>
        <w:rPr>
          <w:sz w:val="20"/>
          <w:szCs w:val="20"/>
          <w:color w:val="auto"/>
        </w:rPr>
      </w:pPr>
    </w:p>
    <w:p>
      <w:pPr>
        <w:ind w:left="6" w:right="20"/>
        <w:spacing w:after="0" w:line="263" w:lineRule="auto"/>
        <w:rPr>
          <w:sz w:val="20"/>
          <w:szCs w:val="20"/>
          <w:color w:val="auto"/>
        </w:rPr>
      </w:pPr>
      <w:r>
        <w:rPr>
          <w:rFonts w:ascii="Arial" w:cs="Arial" w:eastAsia="Arial" w:hAnsi="Arial"/>
          <w:sz w:val="16"/>
          <w:szCs w:val="16"/>
          <w:color w:val="auto"/>
        </w:rPr>
        <w:t>related documentation and training materials, including all upgrades, updates, improvements, derivatives and modifications thereof and including programs and documentation in incomplete stages of design or research and development;</w:t>
      </w:r>
    </w:p>
    <w:p>
      <w:pPr>
        <w:spacing w:after="0" w:line="16" w:lineRule="exact"/>
        <w:rPr>
          <w:sz w:val="20"/>
          <w:szCs w:val="20"/>
          <w:color w:val="auto"/>
        </w:rPr>
      </w:pPr>
    </w:p>
    <w:p>
      <w:pPr>
        <w:ind w:left="1046" w:hanging="467"/>
        <w:spacing w:after="0"/>
        <w:tabs>
          <w:tab w:leader="none" w:pos="104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subject matter of the Company’s patents, design patents, copyrights, trade secrets, trademarks, service marks, trade names, trade dress,</w:t>
      </w:r>
    </w:p>
    <w:p>
      <w:pPr>
        <w:spacing w:after="0" w:line="179" w:lineRule="exact"/>
        <w:rPr>
          <w:sz w:val="20"/>
          <w:szCs w:val="20"/>
          <w:color w:val="auto"/>
        </w:rPr>
      </w:pPr>
    </w:p>
    <w:p>
      <w:pPr>
        <w:jc w:val="both"/>
        <w:ind w:left="6"/>
        <w:spacing w:after="0" w:line="279" w:lineRule="auto"/>
        <w:rPr>
          <w:sz w:val="20"/>
          <w:szCs w:val="20"/>
          <w:color w:val="auto"/>
        </w:rPr>
      </w:pPr>
      <w:r>
        <w:rPr>
          <w:rFonts w:ascii="Arial" w:cs="Arial" w:eastAsia="Arial" w:hAnsi="Arial"/>
          <w:sz w:val="16"/>
          <w:szCs w:val="16"/>
          <w:color w:val="auto"/>
        </w:rPr>
        <w:t>manuals, operating instructions, training materials, and other industrial property, including such information in incomplete stages of design or research and development; and</w:t>
      </w:r>
    </w:p>
    <w:p>
      <w:pPr>
        <w:spacing w:after="0" w:line="151" w:lineRule="exact"/>
        <w:rPr>
          <w:sz w:val="20"/>
          <w:szCs w:val="20"/>
          <w:color w:val="auto"/>
        </w:rPr>
      </w:pPr>
    </w:p>
    <w:p>
      <w:pPr>
        <w:ind w:left="1166" w:right="20" w:hanging="587"/>
        <w:spacing w:after="0" w:line="314" w:lineRule="auto"/>
        <w:tabs>
          <w:tab w:leader="none" w:pos="1166" w:val="left"/>
        </w:tabs>
        <w:numPr>
          <w:ilvl w:val="0"/>
          <w:numId w:val="18"/>
        </w:numPr>
        <w:rPr>
          <w:rFonts w:ascii="Arial" w:cs="Arial" w:eastAsia="Arial" w:hAnsi="Arial"/>
          <w:sz w:val="15"/>
          <w:szCs w:val="15"/>
          <w:color w:val="auto"/>
        </w:rPr>
      </w:pPr>
      <w:r>
        <w:rPr>
          <w:rFonts w:ascii="Arial" w:cs="Arial" w:eastAsia="Arial" w:hAnsi="Arial"/>
          <w:sz w:val="15"/>
          <w:szCs w:val="15"/>
          <w:color w:val="auto"/>
        </w:rPr>
        <w:t>other confidential and proprietary information or documents relating to the Company’s products, business and marketing plans and techniques, sales and distribution networks and any other information or documents which the Company protects as being confidential.</w:t>
      </w:r>
    </w:p>
    <w:p>
      <w:pPr>
        <w:spacing w:after="0" w:line="128" w:lineRule="exact"/>
        <w:rPr>
          <w:sz w:val="20"/>
          <w:szCs w:val="20"/>
          <w:color w:val="auto"/>
        </w:rPr>
      </w:pPr>
    </w:p>
    <w:p>
      <w:pPr>
        <w:ind w:left="1526" w:hanging="368"/>
        <w:spacing w:after="0"/>
        <w:tabs>
          <w:tab w:leader="none" w:pos="1526" w:val="left"/>
        </w:tabs>
        <w:numPr>
          <w:ilvl w:val="0"/>
          <w:numId w:val="19"/>
        </w:numPr>
        <w:rPr>
          <w:rFonts w:ascii="Arial" w:cs="Arial" w:eastAsia="Arial" w:hAnsi="Arial"/>
          <w:sz w:val="14"/>
          <w:szCs w:val="14"/>
          <w:color w:val="auto"/>
        </w:rPr>
      </w:pPr>
      <w:r>
        <w:rPr>
          <w:rFonts w:ascii="Arial" w:cs="Arial" w:eastAsia="Arial" w:hAnsi="Arial"/>
          <w:sz w:val="14"/>
          <w:szCs w:val="14"/>
          <w:color w:val="auto"/>
        </w:rPr>
        <w:t>Mr. Klotsche further agrees that, without the written approval of the Board of Directors of the Company, he shall not engage in any of</w:t>
      </w:r>
    </w:p>
    <w:p>
      <w:pPr>
        <w:spacing w:after="0" w:line="44" w:lineRule="exact"/>
        <w:rPr>
          <w:sz w:val="20"/>
          <w:szCs w:val="20"/>
          <w:color w:val="auto"/>
        </w:rPr>
      </w:pPr>
    </w:p>
    <w:p>
      <w:pPr>
        <w:jc w:val="both"/>
        <w:ind w:left="586" w:right="20"/>
        <w:spacing w:after="0" w:line="268" w:lineRule="auto"/>
        <w:rPr>
          <w:sz w:val="20"/>
          <w:szCs w:val="20"/>
          <w:color w:val="auto"/>
        </w:rPr>
      </w:pPr>
      <w:r>
        <w:rPr>
          <w:rFonts w:ascii="Arial" w:cs="Arial" w:eastAsia="Arial" w:hAnsi="Arial"/>
          <w:sz w:val="15"/>
          <w:szCs w:val="15"/>
          <w:color w:val="auto"/>
        </w:rPr>
        <w:t>the conduct described in subsection (i) below, either directly or indirectly, or as an employee, contractor, consultant, partner, officer, director or stockholder, other than a stockholder of less than 5% of the equities of a publicly traded corporation, or in any other capacity for any person, firm,</w:t>
      </w:r>
    </w:p>
    <w:p>
      <w:pPr>
        <w:spacing w:after="0" w:line="1" w:lineRule="exact"/>
        <w:rPr>
          <w:sz w:val="20"/>
          <w:szCs w:val="20"/>
          <w:color w:val="auto"/>
        </w:rPr>
      </w:pPr>
    </w:p>
    <w:p>
      <w:pPr>
        <w:ind w:left="906"/>
        <w:spacing w:after="0"/>
        <w:rPr>
          <w:sz w:val="20"/>
          <w:szCs w:val="20"/>
          <w:color w:val="auto"/>
        </w:rPr>
      </w:pPr>
      <w:r>
        <w:rPr>
          <w:rFonts w:ascii="Arial" w:cs="Arial" w:eastAsia="Arial" w:hAnsi="Arial"/>
          <w:sz w:val="16"/>
          <w:szCs w:val="16"/>
          <w:color w:val="auto"/>
        </w:rPr>
        <w:t>partnership or corporation:</w:t>
      </w:r>
    </w:p>
    <w:p>
      <w:pPr>
        <w:spacing w:after="0" w:line="190" w:lineRule="exact"/>
        <w:rPr>
          <w:sz w:val="20"/>
          <w:szCs w:val="20"/>
          <w:color w:val="auto"/>
        </w:rPr>
      </w:pPr>
    </w:p>
    <w:p>
      <w:pPr>
        <w:ind w:left="946" w:hanging="306"/>
        <w:spacing w:after="0"/>
        <w:tabs>
          <w:tab w:leader="none" w:pos="946"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 a period of 12 months following the Separation Date, Mr. Klotsche will not:</w:t>
      </w:r>
    </w:p>
    <w:p>
      <w:pPr>
        <w:spacing w:after="0" w:line="202" w:lineRule="exact"/>
        <w:rPr>
          <w:rFonts w:ascii="Arial" w:cs="Arial" w:eastAsia="Arial" w:hAnsi="Arial"/>
          <w:sz w:val="16"/>
          <w:szCs w:val="16"/>
          <w:color w:val="auto"/>
        </w:rPr>
      </w:pPr>
    </w:p>
    <w:p>
      <w:pPr>
        <w:ind w:left="1166" w:right="20" w:hanging="8"/>
        <w:spacing w:after="0" w:line="279" w:lineRule="auto"/>
        <w:tabs>
          <w:tab w:leader="none" w:pos="1429" w:val="left"/>
        </w:tabs>
        <w:numPr>
          <w:ilvl w:val="1"/>
          <w:numId w:val="20"/>
        </w:numPr>
        <w:rPr>
          <w:rFonts w:ascii="Arial" w:cs="Arial" w:eastAsia="Arial" w:hAnsi="Arial"/>
          <w:sz w:val="16"/>
          <w:szCs w:val="16"/>
          <w:color w:val="auto"/>
        </w:rPr>
      </w:pPr>
      <w:r>
        <w:rPr>
          <w:rFonts w:ascii="Arial" w:cs="Arial" w:eastAsia="Arial" w:hAnsi="Arial"/>
          <w:sz w:val="16"/>
          <w:szCs w:val="16"/>
          <w:color w:val="auto"/>
        </w:rPr>
        <w:t>perform duties as or for a Competitor that are the same as or similar to the duties performed by him for the Company at any time during his employment with Company; or</w:t>
      </w:r>
    </w:p>
    <w:p>
      <w:pPr>
        <w:ind w:left="1446" w:hanging="288"/>
        <w:spacing w:after="0"/>
        <w:tabs>
          <w:tab w:leader="none" w:pos="1446" w:val="left"/>
        </w:tabs>
        <w:numPr>
          <w:ilvl w:val="1"/>
          <w:numId w:val="20"/>
        </w:numPr>
        <w:rPr>
          <w:rFonts w:ascii="Arial" w:cs="Arial" w:eastAsia="Arial" w:hAnsi="Arial"/>
          <w:sz w:val="15"/>
          <w:szCs w:val="15"/>
          <w:color w:val="auto"/>
        </w:rPr>
      </w:pPr>
      <w:r>
        <w:rPr>
          <w:rFonts w:ascii="Arial" w:cs="Arial" w:eastAsia="Arial" w:hAnsi="Arial"/>
          <w:sz w:val="15"/>
          <w:szCs w:val="15"/>
          <w:color w:val="auto"/>
        </w:rPr>
        <w:t>participate in the inducement of or otherwise encourage Company employees, clients, or vendors to currently and/or prospectively</w:t>
      </w:r>
    </w:p>
    <w:p>
      <w:pPr>
        <w:spacing w:after="0" w:line="179" w:lineRule="exact"/>
        <w:rPr>
          <w:sz w:val="20"/>
          <w:szCs w:val="20"/>
          <w:color w:val="auto"/>
        </w:rPr>
      </w:pPr>
    </w:p>
    <w:p>
      <w:pPr>
        <w:jc w:val="both"/>
        <w:ind w:left="1166"/>
        <w:spacing w:after="0" w:line="279" w:lineRule="auto"/>
        <w:rPr>
          <w:sz w:val="20"/>
          <w:szCs w:val="20"/>
          <w:color w:val="auto"/>
        </w:rPr>
      </w:pPr>
      <w:r>
        <w:rPr>
          <w:rFonts w:ascii="Arial" w:cs="Arial" w:eastAsia="Arial" w:hAnsi="Arial"/>
          <w:sz w:val="16"/>
          <w:szCs w:val="16"/>
          <w:color w:val="auto"/>
        </w:rPr>
        <w:t>breach, modify, or terminate any agreement or relationship they have or had with Company during any part of the 24 month period preceding the Separation Date.</w:t>
      </w:r>
    </w:p>
    <w:p>
      <w:pPr>
        <w:spacing w:after="0" w:line="151" w:lineRule="exact"/>
        <w:rPr>
          <w:sz w:val="20"/>
          <w:szCs w:val="20"/>
          <w:color w:val="auto"/>
        </w:rPr>
      </w:pPr>
    </w:p>
    <w:p>
      <w:pPr>
        <w:jc w:val="both"/>
        <w:ind w:left="6" w:right="20"/>
        <w:spacing w:after="0" w:line="265" w:lineRule="auto"/>
        <w:rPr>
          <w:sz w:val="20"/>
          <w:szCs w:val="20"/>
          <w:color w:val="auto"/>
        </w:rPr>
      </w:pPr>
      <w:r>
        <w:rPr>
          <w:rFonts w:ascii="Arial" w:cs="Arial" w:eastAsia="Arial" w:hAnsi="Arial"/>
          <w:sz w:val="16"/>
          <w:szCs w:val="16"/>
          <w:color w:val="auto"/>
        </w:rPr>
        <w:t>For purposes of this Agreement, a Competitor shall mean any corporation, person, firm or organization (or division or part thereof) engaged in or about to become engaged in research and development work on, or the production and/or sale of, any product or service anywhere in the world which is directly competitive with a product or service of the Company.</w:t>
      </w:r>
    </w:p>
    <w:p>
      <w:pPr>
        <w:spacing w:after="0" w:line="163" w:lineRule="exact"/>
        <w:rPr>
          <w:sz w:val="20"/>
          <w:szCs w:val="20"/>
          <w:color w:val="auto"/>
        </w:rPr>
      </w:pPr>
    </w:p>
    <w:p>
      <w:pPr>
        <w:jc w:val="both"/>
        <w:ind w:left="586" w:hanging="586"/>
        <w:spacing w:after="0" w:line="276" w:lineRule="auto"/>
        <w:tabs>
          <w:tab w:leader="none" w:pos="586" w:val="left"/>
        </w:tabs>
        <w:numPr>
          <w:ilvl w:val="0"/>
          <w:numId w:val="21"/>
        </w:numPr>
        <w:rPr>
          <w:rFonts w:ascii="Arial" w:cs="Arial" w:eastAsia="Arial" w:hAnsi="Arial"/>
          <w:sz w:val="15"/>
          <w:szCs w:val="15"/>
          <w:color w:val="auto"/>
        </w:rPr>
      </w:pPr>
      <w:r>
        <w:rPr>
          <w:rFonts w:ascii="Arial" w:cs="Arial" w:eastAsia="Arial" w:hAnsi="Arial"/>
          <w:sz w:val="15"/>
          <w:szCs w:val="15"/>
          <w:color w:val="auto"/>
        </w:rPr>
        <w:t>Mr. Klotsche acknowledges and agrees that compliance with this paragraph 9 is necessary to protect the Company, and that a breach of any portion of this paragraph 9 will result in irreparable and continuing damage to the Company for which there will be no adequate remedy at law. In the event of a breach of this paragraph 9, or any part thereof,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paragraph 9, or to enjoin Mr. Klotsche from performing services in breach of paragraph 9(b) during the term of employment and for a period of 12 months following the Separation Date. Mr. Klotsche hereby agrees to submit to the jurisdiction of any Court of competent jurisdiction in any disputes that arise under this Agreement.</w:t>
      </w:r>
    </w:p>
    <w:p>
      <w:pPr>
        <w:spacing w:after="0" w:line="155" w:lineRule="exact"/>
        <w:rPr>
          <w:rFonts w:ascii="Arial" w:cs="Arial" w:eastAsia="Arial" w:hAnsi="Arial"/>
          <w:sz w:val="15"/>
          <w:szCs w:val="15"/>
          <w:color w:val="auto"/>
        </w:rPr>
      </w:pPr>
    </w:p>
    <w:p>
      <w:pPr>
        <w:ind w:left="586" w:right="20" w:hanging="586"/>
        <w:spacing w:after="0" w:line="279" w:lineRule="auto"/>
        <w:tabs>
          <w:tab w:leader="none" w:pos="586" w:val="left"/>
        </w:tabs>
        <w:numPr>
          <w:ilvl w:val="0"/>
          <w:numId w:val="21"/>
        </w:numPr>
        <w:rPr>
          <w:rFonts w:ascii="Arial" w:cs="Arial" w:eastAsia="Arial" w:hAnsi="Arial"/>
          <w:sz w:val="16"/>
          <w:szCs w:val="16"/>
          <w:color w:val="auto"/>
        </w:rPr>
      </w:pPr>
      <w:r>
        <w:rPr>
          <w:rFonts w:ascii="Arial" w:cs="Arial" w:eastAsia="Arial" w:hAnsi="Arial"/>
          <w:sz w:val="16"/>
          <w:szCs w:val="16"/>
          <w:color w:val="auto"/>
        </w:rPr>
        <w:t>Mr. Klotsche further agrees that, in the event of a breach of this paragraph 9, the Company shall also be entitled to recover the value of any amounts previously paid or payable under this Agreement.</w:t>
      </w:r>
    </w:p>
    <w:p>
      <w:pPr>
        <w:spacing w:after="0" w:line="151" w:lineRule="exact"/>
        <w:rPr>
          <w:sz w:val="20"/>
          <w:szCs w:val="20"/>
          <w:color w:val="auto"/>
        </w:rPr>
      </w:pPr>
    </w:p>
    <w:p>
      <w:pPr>
        <w:ind w:left="586" w:right="360" w:hanging="579"/>
        <w:spacing w:after="0" w:line="279" w:lineRule="auto"/>
        <w:tabs>
          <w:tab w:leader="none" w:pos="565" w:val="left"/>
        </w:tabs>
        <w:rPr>
          <w:sz w:val="20"/>
          <w:szCs w:val="20"/>
          <w:color w:val="auto"/>
        </w:rPr>
      </w:pPr>
      <w:r>
        <w:rPr>
          <w:rFonts w:ascii="Arial" w:cs="Arial" w:eastAsia="Arial" w:hAnsi="Arial"/>
          <w:sz w:val="16"/>
          <w:szCs w:val="16"/>
          <w:color w:val="auto"/>
        </w:rPr>
        <w:t>(e)</w:t>
      </w:r>
      <w:r>
        <w:rPr>
          <w:sz w:val="20"/>
          <w:szCs w:val="20"/>
          <w:color w:val="auto"/>
        </w:rPr>
        <w:tab/>
      </w:r>
      <w:r>
        <w:rPr>
          <w:rFonts w:ascii="Arial" w:cs="Arial" w:eastAsia="Arial" w:hAnsi="Arial"/>
          <w:sz w:val="16"/>
          <w:szCs w:val="16"/>
          <w:color w:val="auto"/>
        </w:rPr>
        <w:t>MR. KLOTSCHE HAS READ THIS PARAGRAPH 9 AND AGREES THAT THE CONSIDERATION PROVIDED BY THE COMPANY IS FAIR AND REASONABLE AND FURTHER AGREES THAT GIVEN THE IMPORTANCE TO THE COMPANY OF ITS</w:t>
      </w:r>
    </w:p>
    <w:p>
      <w:pPr>
        <w:sectPr>
          <w:pgSz w:w="11900" w:h="16838" w:orient="portrait"/>
          <w:cols w:equalWidth="0" w:num="1">
            <w:col w:w="10286"/>
          </w:cols>
          <w:pgMar w:left="1394" w:top="537" w:right="219" w:bottom="1440" w:gutter="0" w:footer="0" w:header="0"/>
          <w:type w:val="continuous"/>
        </w:sectPr>
      </w:pPr>
    </w:p>
    <w:bookmarkStart w:id="7" w:name="page8"/>
    <w:bookmarkEnd w:id="7"/>
    <w:p>
      <w:pPr>
        <w:ind w:left="1744" w:right="280"/>
        <w:spacing w:after="0" w:line="326" w:lineRule="auto"/>
        <w:rPr>
          <w:sz w:val="20"/>
          <w:szCs w:val="20"/>
          <w:color w:val="auto"/>
        </w:rPr>
      </w:pPr>
      <w:r>
        <w:rPr>
          <w:rFonts w:ascii="Arial" w:cs="Arial" w:eastAsia="Arial" w:hAnsi="Arial"/>
          <w:sz w:val="16"/>
          <w:szCs w:val="16"/>
          <w:color w:val="auto"/>
        </w:rPr>
        <w:t>CONFIDENTIAL AND PROPRIETARY INFORMATION, THE FOREGOING RESTRICTIONS ON HIS ACTIVITIES ARE LIKEWISE FAIR AND REASONABLE.</w:t>
      </w:r>
    </w:p>
    <w:p>
      <w:pPr>
        <w:spacing w:after="0" w:line="123" w:lineRule="exact"/>
        <w:rPr>
          <w:sz w:val="20"/>
          <w:szCs w:val="20"/>
          <w:color w:val="auto"/>
        </w:rPr>
      </w:pPr>
    </w:p>
    <w:p>
      <w:pPr>
        <w:ind w:left="944" w:hanging="365"/>
        <w:spacing w:after="0"/>
        <w:tabs>
          <w:tab w:leader="none" w:pos="944"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Assignment</w:t>
      </w:r>
    </w:p>
    <w:p>
      <w:pPr>
        <w:spacing w:after="0" w:line="206" w:lineRule="exact"/>
        <w:rPr>
          <w:sz w:val="20"/>
          <w:szCs w:val="20"/>
          <w:color w:val="auto"/>
        </w:rPr>
      </w:pPr>
    </w:p>
    <w:p>
      <w:pPr>
        <w:ind w:left="4" w:right="20" w:firstLine="579"/>
        <w:spacing w:after="0" w:line="279" w:lineRule="auto"/>
        <w:rPr>
          <w:sz w:val="20"/>
          <w:szCs w:val="20"/>
          <w:color w:val="auto"/>
        </w:rPr>
      </w:pPr>
      <w:r>
        <w:rPr>
          <w:rFonts w:ascii="Arial" w:cs="Arial" w:eastAsia="Arial" w:hAnsi="Arial"/>
          <w:sz w:val="16"/>
          <w:szCs w:val="16"/>
          <w:color w:val="auto"/>
        </w:rPr>
        <w:t>If Mr. Klotsche should die while any amounts are still payable to him pursuant to this Agreement, all such amounts, unless otherwise provided herein, shall be paid in accordance with the terms of this Agreement to Mr. Klotsche's devisee, legatee, or other designee, or if there be no such designee, to his estate.</w:t>
      </w:r>
    </w:p>
    <w:p>
      <w:pPr>
        <w:spacing w:after="0" w:line="147" w:lineRule="exact"/>
        <w:rPr>
          <w:sz w:val="20"/>
          <w:szCs w:val="20"/>
          <w:color w:val="auto"/>
        </w:rPr>
      </w:pPr>
    </w:p>
    <w:p>
      <w:pPr>
        <w:ind w:left="924" w:hanging="345"/>
        <w:spacing w:after="0"/>
        <w:tabs>
          <w:tab w:leader="none" w:pos="924"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Section 409A</w:t>
      </w:r>
    </w:p>
    <w:p>
      <w:pPr>
        <w:spacing w:after="0" w:line="206" w:lineRule="exact"/>
        <w:rPr>
          <w:sz w:val="20"/>
          <w:szCs w:val="20"/>
          <w:color w:val="auto"/>
        </w:rPr>
      </w:pPr>
    </w:p>
    <w:p>
      <w:pPr>
        <w:jc w:val="both"/>
        <w:ind w:left="4" w:firstLine="579"/>
        <w:spacing w:after="0" w:line="276" w:lineRule="auto"/>
        <w:rPr>
          <w:sz w:val="20"/>
          <w:szCs w:val="20"/>
          <w:color w:val="auto"/>
        </w:rPr>
      </w:pPr>
      <w:r>
        <w:rPr>
          <w:rFonts w:ascii="Arial" w:cs="Arial" w:eastAsia="Arial" w:hAnsi="Arial"/>
          <w:sz w:val="15"/>
          <w:szCs w:val="15"/>
          <w:color w:val="auto"/>
        </w:rPr>
        <w:t>The intent of the parties is that the payments and benefits under this Agreement comply with or be exempt from Section 409A of the Internal Revenue Code of 1986, as amended, and the regulations and guidance promulgated thereunder (collectively, “Section 409A”) and, accordingly, to the maximum extent permitted, this Agreement shall be interpreted to be in compliance therewith. If Mr. Klotsche or the Company believes, at any time, that any payment pursuant to this Agreement is subject to taxation under Section 409A of the Code, then (i) it shall advise the other and (ii) to the extent such correction is possible to avoid taxation under Section 409A without any material diminution in the value of the payments or benefits to Mr. Klotsche, the Company and Mr. Klotsche shall reasonably cooperate in good faith to take such steps as necessary, including amending (and, as required, consenting to the amendment of) the terms of any plan or program under which such payments are to be made, in the least restrictive manner necessary in order to comply with the provisions of Section 409A and the Section 409A Regulations in order to avoid taxation under Section 409A.</w:t>
      </w:r>
    </w:p>
    <w:p>
      <w:pPr>
        <w:spacing w:after="0" w:line="155" w:lineRule="exact"/>
        <w:rPr>
          <w:sz w:val="20"/>
          <w:szCs w:val="20"/>
          <w:color w:val="auto"/>
        </w:rPr>
      </w:pPr>
    </w:p>
    <w:p>
      <w:pPr>
        <w:ind w:left="584"/>
        <w:spacing w:after="0"/>
        <w:rPr>
          <w:sz w:val="20"/>
          <w:szCs w:val="20"/>
          <w:color w:val="auto"/>
        </w:rPr>
      </w:pPr>
      <w:r>
        <w:rPr>
          <w:rFonts w:ascii="Arial" w:cs="Arial" w:eastAsia="Arial" w:hAnsi="Arial"/>
          <w:sz w:val="14"/>
          <w:szCs w:val="14"/>
          <w:color w:val="auto"/>
        </w:rPr>
        <w:t>Notwithstanding anything contained herein to the contrary, if at Mr. Klotsche’s separation from service, (a) he is a specified employee as defined in Section 409A and</w:t>
      </w:r>
    </w:p>
    <w:p>
      <w:pPr>
        <w:spacing w:after="0" w:line="44" w:lineRule="exact"/>
        <w:rPr>
          <w:sz w:val="20"/>
          <w:szCs w:val="20"/>
          <w:color w:val="auto"/>
        </w:rPr>
      </w:pPr>
    </w:p>
    <w:p>
      <w:pPr>
        <w:ind w:left="4" w:right="20" w:hanging="4"/>
        <w:spacing w:after="0" w:line="297" w:lineRule="auto"/>
        <w:tabs>
          <w:tab w:leader="none" w:pos="237" w:val="left"/>
        </w:tabs>
        <w:numPr>
          <w:ilvl w:val="0"/>
          <w:numId w:val="24"/>
        </w:numPr>
        <w:rPr>
          <w:rFonts w:ascii="Arial" w:cs="Arial" w:eastAsia="Arial" w:hAnsi="Arial"/>
          <w:sz w:val="15"/>
          <w:szCs w:val="15"/>
          <w:color w:val="auto"/>
        </w:rPr>
      </w:pPr>
      <w:r>
        <w:rPr>
          <w:rFonts w:ascii="Arial" w:cs="Arial" w:eastAsia="Arial" w:hAnsi="Arial"/>
          <w:sz w:val="15"/>
          <w:szCs w:val="15"/>
          <w:color w:val="auto"/>
        </w:rPr>
        <w:t>any of the payments or benefits provided hereunder constitute deferred compensation under Section 409A, then, and only to the extent required by such provisions, the date of payment of such payments or benefits otherwise provided shall be delayed for a period of six months following the separation from service.</w:t>
      </w:r>
    </w:p>
    <w:p>
      <w:pPr>
        <w:spacing w:after="0" w:line="136" w:lineRule="exact"/>
        <w:rPr>
          <w:sz w:val="20"/>
          <w:szCs w:val="20"/>
          <w:color w:val="auto"/>
        </w:rPr>
      </w:pPr>
    </w:p>
    <w:p>
      <w:pPr>
        <w:ind w:left="944" w:hanging="365"/>
        <w:spacing w:after="0"/>
        <w:tabs>
          <w:tab w:leader="none" w:pos="944"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w:t>
      </w:r>
    </w:p>
    <w:p>
      <w:pPr>
        <w:spacing w:after="0" w:line="206" w:lineRule="exact"/>
        <w:rPr>
          <w:sz w:val="20"/>
          <w:szCs w:val="20"/>
          <w:color w:val="auto"/>
        </w:rPr>
      </w:pPr>
    </w:p>
    <w:p>
      <w:pPr>
        <w:jc w:val="both"/>
        <w:ind w:left="4" w:right="20" w:firstLine="579"/>
        <w:spacing w:after="0" w:line="283" w:lineRule="auto"/>
        <w:rPr>
          <w:sz w:val="20"/>
          <w:szCs w:val="20"/>
          <w:color w:val="auto"/>
        </w:rPr>
      </w:pPr>
      <w:r>
        <w:rPr>
          <w:rFonts w:ascii="Arial" w:cs="Arial" w:eastAsia="Arial" w:hAnsi="Arial"/>
          <w:sz w:val="15"/>
          <w:szCs w:val="15"/>
          <w:color w:val="auto"/>
        </w:rPr>
        <w:t>This Complete and Permanent Release and Resignation Agreement sets forth the entire agreement between the parties and fully supersedes any and all prior agreements or understandings between Mr. Klotsche and the Company. Mr. Klotsche acknowledges that he is hereby advised to seek legal counsel before signing this Agreement, that he has twenty-one (21) days to consider this Agreement, that upon his acceptance he has seven (7) days to revoke his acceptance, and that this Agreement will not become effective until that seven (7) day period has expired. Mr. Klotsche agrees that he has read, understands and voluntarily accepts its terms.</w:t>
      </w:r>
    </w:p>
    <w:p>
      <w:pPr>
        <w:spacing w:after="0" w:line="200" w:lineRule="exact"/>
        <w:rPr>
          <w:sz w:val="20"/>
          <w:szCs w:val="20"/>
          <w:color w:val="auto"/>
        </w:rPr>
      </w:pPr>
    </w:p>
    <w:p>
      <w:pPr>
        <w:spacing w:after="0" w:line="323"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9"/>
              </w:rPr>
              <w:t>November 20, 2013</w:t>
            </w:r>
          </w:p>
        </w:tc>
        <w:tc>
          <w:tcPr>
            <w:tcW w:w="18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Allan J. Klotsche</w:t>
            </w:r>
          </w:p>
        </w:tc>
      </w:tr>
      <w:tr>
        <w:trPr>
          <w:trHeight w:val="209"/>
        </w:trPr>
        <w:tc>
          <w:tcPr>
            <w:tcW w:w="1420" w:type="dxa"/>
            <w:vAlign w:val="bottom"/>
            <w:gridSpan w:val="2"/>
          </w:tcPr>
          <w:p>
            <w:pPr>
              <w:spacing w:after="0"/>
              <w:rPr>
                <w:sz w:val="20"/>
                <w:szCs w:val="20"/>
                <w:color w:val="auto"/>
              </w:rPr>
            </w:pPr>
            <w:r>
              <w:rPr>
                <w:rFonts w:ascii="Arial" w:cs="Arial" w:eastAsia="Arial" w:hAnsi="Arial"/>
                <w:sz w:val="16"/>
                <w:szCs w:val="16"/>
                <w:color w:val="auto"/>
              </w:rPr>
              <w:t>Date</w:t>
            </w:r>
          </w:p>
        </w:tc>
        <w:tc>
          <w:tcPr>
            <w:tcW w:w="2480" w:type="dxa"/>
            <w:vAlign w:val="bottom"/>
            <w:gridSpan w:val="5"/>
          </w:tcPr>
          <w:p>
            <w:pPr>
              <w:ind w:left="160"/>
              <w:spacing w:after="0"/>
              <w:rPr>
                <w:sz w:val="20"/>
                <w:szCs w:val="20"/>
                <w:color w:val="auto"/>
              </w:rPr>
            </w:pPr>
            <w:r>
              <w:rPr>
                <w:rFonts w:ascii="Arial" w:cs="Arial" w:eastAsia="Arial" w:hAnsi="Arial"/>
                <w:sz w:val="16"/>
                <w:szCs w:val="16"/>
                <w:color w:val="auto"/>
              </w:rPr>
              <w:t>Allan J. Klotsche</w:t>
            </w:r>
          </w:p>
        </w:tc>
      </w:tr>
      <w:tr>
        <w:trPr>
          <w:trHeight w:val="772"/>
        </w:trPr>
        <w:tc>
          <w:tcPr>
            <w:tcW w:w="3900" w:type="dxa"/>
            <w:vAlign w:val="bottom"/>
            <w:gridSpan w:val="7"/>
          </w:tcPr>
          <w:p>
            <w:pPr>
              <w:spacing w:after="0"/>
              <w:rPr>
                <w:sz w:val="20"/>
                <w:szCs w:val="20"/>
                <w:color w:val="auto"/>
              </w:rPr>
            </w:pPr>
            <w:r>
              <w:rPr>
                <w:rFonts w:ascii="Arial" w:cs="Arial" w:eastAsia="Arial" w:hAnsi="Arial"/>
                <w:sz w:val="16"/>
                <w:szCs w:val="16"/>
                <w:color w:val="auto"/>
              </w:rPr>
              <w:t>BRADY CORPORATION</w:t>
            </w:r>
          </w:p>
        </w:tc>
      </w:tr>
      <w:tr>
        <w:trPr>
          <w:trHeight w:val="350"/>
        </w:trPr>
        <w:tc>
          <w:tcPr>
            <w:tcW w:w="1280" w:type="dxa"/>
            <w:vAlign w:val="bottom"/>
          </w:tcPr>
          <w:p>
            <w:pPr>
              <w:spacing w:after="0"/>
              <w:rPr>
                <w:sz w:val="20"/>
                <w:szCs w:val="20"/>
                <w:color w:val="auto"/>
              </w:rPr>
            </w:pPr>
            <w:r>
              <w:rPr>
                <w:rFonts w:ascii="Arial" w:cs="Arial" w:eastAsia="Arial" w:hAnsi="Arial"/>
                <w:sz w:val="16"/>
                <w:szCs w:val="16"/>
                <w:color w:val="auto"/>
                <w:w w:val="89"/>
              </w:rPr>
              <w:t>November 20, 2013</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gridSpan w:val="3"/>
          </w:tcPr>
          <w:p>
            <w:pPr>
              <w:spacing w:after="0"/>
              <w:rPr>
                <w:sz w:val="20"/>
                <w:szCs w:val="20"/>
                <w:color w:val="auto"/>
              </w:rPr>
            </w:pPr>
            <w:r>
              <w:rPr>
                <w:rFonts w:ascii="Arial" w:cs="Arial" w:eastAsia="Arial" w:hAnsi="Arial"/>
                <w:sz w:val="16"/>
                <w:szCs w:val="16"/>
                <w:color w:val="auto"/>
              </w:rPr>
              <w:t>By: /s/ Thomas J. Felmer</w:t>
            </w:r>
          </w:p>
        </w:tc>
      </w:tr>
      <w:tr>
        <w:trPr>
          <w:trHeight w:val="20"/>
        </w:trPr>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1280" w:type="dxa"/>
            <w:vAlign w:val="bottom"/>
          </w:tcPr>
          <w:p>
            <w:pPr>
              <w:spacing w:after="0"/>
              <w:rPr>
                <w:sz w:val="20"/>
                <w:szCs w:val="20"/>
                <w:color w:val="auto"/>
              </w:rPr>
            </w:pPr>
            <w:r>
              <w:rPr>
                <w:rFonts w:ascii="Arial" w:cs="Arial" w:eastAsia="Arial" w:hAnsi="Arial"/>
                <w:sz w:val="16"/>
                <w:szCs w:val="16"/>
                <w:color w:val="auto"/>
              </w:rPr>
              <w:t>Date</w:t>
            </w:r>
          </w:p>
        </w:tc>
        <w:tc>
          <w:tcPr>
            <w:tcW w:w="140" w:type="dxa"/>
            <w:vAlign w:val="bottom"/>
          </w:tcPr>
          <w:p>
            <w:pPr>
              <w:spacing w:after="0"/>
              <w:rPr>
                <w:sz w:val="18"/>
                <w:szCs w:val="18"/>
                <w:color w:val="auto"/>
              </w:rPr>
            </w:pPr>
          </w:p>
        </w:tc>
        <w:tc>
          <w:tcPr>
            <w:tcW w:w="2480" w:type="dxa"/>
            <w:vAlign w:val="bottom"/>
            <w:gridSpan w:val="5"/>
          </w:tcPr>
          <w:p>
            <w:pPr>
              <w:ind w:left="160"/>
              <w:spacing w:after="0"/>
              <w:rPr>
                <w:sz w:val="20"/>
                <w:szCs w:val="20"/>
                <w:color w:val="auto"/>
              </w:rPr>
            </w:pPr>
            <w:r>
              <w:rPr>
                <w:rFonts w:ascii="Arial" w:cs="Arial" w:eastAsia="Arial" w:hAnsi="Arial"/>
                <w:sz w:val="16"/>
                <w:szCs w:val="16"/>
                <w:color w:val="auto"/>
              </w:rPr>
              <w:t>Its Authorized Representative</w:t>
            </w:r>
          </w:p>
        </w:tc>
      </w:tr>
    </w:tbl>
    <w:p>
      <w:pPr>
        <w:sectPr>
          <w:pgSz w:w="11900" w:h="16838" w:orient="portrait"/>
          <w:cols w:equalWidth="0" w:num="1">
            <w:col w:w="11444"/>
          </w:cols>
          <w:pgMar w:left="236" w:top="561" w:right="21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Aaron Pearce 414-438-6895</w:t>
      </w:r>
    </w:p>
    <w:p>
      <w:pPr>
        <w:spacing w:after="0"/>
        <w:rPr>
          <w:sz w:val="20"/>
          <w:szCs w:val="20"/>
          <w:color w:val="auto"/>
        </w:rPr>
      </w:pPr>
      <w:r>
        <w:rPr>
          <w:rFonts w:ascii="Arial" w:cs="Arial" w:eastAsia="Arial" w:hAnsi="Arial"/>
          <w:sz w:val="18"/>
          <w:szCs w:val="18"/>
          <w:color w:val="auto"/>
        </w:rPr>
        <w:t>Media contact: Carole Herbstreit 414-438-6882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Fiscal 2014 First Quarter Results</w:t>
      </w:r>
    </w:p>
    <w:p>
      <w:pPr>
        <w:spacing w:after="0" w:line="245" w:lineRule="exact"/>
        <w:rPr>
          <w:sz w:val="20"/>
          <w:szCs w:val="20"/>
          <w:color w:val="auto"/>
        </w:rPr>
      </w:pPr>
    </w:p>
    <w:p>
      <w:pPr>
        <w:ind w:right="180"/>
        <w:spacing w:after="0" w:line="368" w:lineRule="auto"/>
        <w:rPr>
          <w:sz w:val="20"/>
          <w:szCs w:val="20"/>
          <w:color w:val="auto"/>
        </w:rPr>
      </w:pPr>
      <w:r>
        <w:rPr>
          <w:rFonts w:ascii="Arial" w:cs="Arial" w:eastAsia="Arial" w:hAnsi="Arial"/>
          <w:sz w:val="18"/>
          <w:szCs w:val="18"/>
          <w:color w:val="auto"/>
        </w:rPr>
        <w:t>MILWAUKEE (November 21, 2013)--Brady Corporation (NYSE: BRC) (“Brady” or “Company”), a world leader in identification solutions, today reported its financial results for the fiscal 2014 first quarter ended October 31, 2013.</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October 31, 2013 Financial Results:</w:t>
      </w:r>
    </w:p>
    <w:p>
      <w:pPr>
        <w:spacing w:after="0" w:line="101" w:lineRule="exact"/>
        <w:rPr>
          <w:sz w:val="20"/>
          <w:szCs w:val="20"/>
          <w:color w:val="auto"/>
        </w:rPr>
      </w:pPr>
    </w:p>
    <w:p>
      <w:pPr>
        <w:ind w:right="160" w:firstLine="579"/>
        <w:spacing w:after="0" w:line="349" w:lineRule="auto"/>
        <w:rPr>
          <w:sz w:val="20"/>
          <w:szCs w:val="20"/>
          <w:color w:val="auto"/>
        </w:rPr>
      </w:pPr>
      <w:r>
        <w:rPr>
          <w:rFonts w:ascii="Arial" w:cs="Arial" w:eastAsia="Arial" w:hAnsi="Arial"/>
          <w:sz w:val="18"/>
          <w:szCs w:val="18"/>
          <w:color w:val="auto"/>
        </w:rPr>
        <w:t>Sales from continuing operations for the quarter ended October 31, 2013 were up 13.0 percent to $306.0 million compared to $270.9 million in the first quarter of fiscal 2013. Organic sales were down 2.2 percent, the acquisition of Precision Dynamics Corporation (“PDC”) added 15.6 percent to sales, and the impact of foreign currency translation decreased sales by 0.4 percent. By segment, organic sales were up 3.0 percent in Identification Solutions and down 10.0 percent in Workplace Safety.</w:t>
      </w:r>
    </w:p>
    <w:p>
      <w:pPr>
        <w:spacing w:after="0" w:line="2" w:lineRule="exact"/>
        <w:rPr>
          <w:sz w:val="20"/>
          <w:szCs w:val="20"/>
          <w:color w:val="auto"/>
        </w:rPr>
      </w:pPr>
    </w:p>
    <w:p>
      <w:pPr>
        <w:ind w:right="200" w:firstLine="579"/>
        <w:spacing w:after="0" w:line="349" w:lineRule="auto"/>
        <w:rPr>
          <w:sz w:val="20"/>
          <w:szCs w:val="20"/>
          <w:color w:val="auto"/>
        </w:rPr>
      </w:pPr>
      <w:r>
        <w:rPr>
          <w:rFonts w:ascii="Arial" w:cs="Arial" w:eastAsia="Arial" w:hAnsi="Arial"/>
          <w:sz w:val="18"/>
          <w:szCs w:val="18"/>
          <w:color w:val="auto"/>
        </w:rPr>
        <w:t>Net earnings for the quarter ended October 31, 2013 were $23.9 million compared to $27.2 million in the same quarter last year. Net earnings from continuing operations for the quarter ended October 31, 2013, were $17.4 million compared to $25.8 million in the same quarter last year. Non-GAAP net earnings from continuing operations* for the fiscal first quarter ended October 31, 2013, were $22.1 million compared to $25.8 million in the same quarter last year.</w:t>
      </w:r>
    </w:p>
    <w:p>
      <w:pPr>
        <w:spacing w:after="0" w:line="2" w:lineRule="exact"/>
        <w:rPr>
          <w:sz w:val="20"/>
          <w:szCs w:val="20"/>
          <w:color w:val="auto"/>
        </w:rPr>
      </w:pPr>
    </w:p>
    <w:p>
      <w:pPr>
        <w:jc w:val="both"/>
        <w:ind w:right="80" w:firstLine="579"/>
        <w:spacing w:after="0" w:line="356" w:lineRule="auto"/>
        <w:rPr>
          <w:sz w:val="20"/>
          <w:szCs w:val="20"/>
          <w:color w:val="auto"/>
        </w:rPr>
      </w:pPr>
      <w:r>
        <w:rPr>
          <w:rFonts w:ascii="Arial" w:cs="Arial" w:eastAsia="Arial" w:hAnsi="Arial"/>
          <w:sz w:val="18"/>
          <w:szCs w:val="18"/>
          <w:color w:val="auto"/>
        </w:rPr>
        <w:t>Net earnings per Class A Nonvoting Common Share were $0.46 for the first quarter ended October 31, 2013 compared to $0.53 in the same quarter last year. Earnings from continuing operations per diluted Class A Nonvoting Common Share were $0.33 for the first quarter of fiscal 2014 compared to $0.50 in the same quarter last year. Non-GAAP earnings from continuing operations per diluted Class A Nonvoting Common Share* were $0.42 in the first quarter of fiscal 2014 and $0.50 per share in the first quarter of fiscal 2013.</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Commentary and Guidance:</w:t>
      </w:r>
    </w:p>
    <w:p>
      <w:pPr>
        <w:spacing w:after="0" w:line="101" w:lineRule="exact"/>
        <w:rPr>
          <w:sz w:val="20"/>
          <w:szCs w:val="20"/>
          <w:color w:val="auto"/>
        </w:rPr>
      </w:pPr>
    </w:p>
    <w:p>
      <w:pPr>
        <w:ind w:right="140" w:firstLine="579"/>
        <w:spacing w:after="0" w:line="437" w:lineRule="auto"/>
        <w:rPr>
          <w:sz w:val="20"/>
          <w:szCs w:val="20"/>
          <w:color w:val="auto"/>
        </w:rPr>
      </w:pPr>
      <w:r>
        <w:rPr>
          <w:rFonts w:ascii="Arial" w:cs="Arial" w:eastAsia="Arial" w:hAnsi="Arial"/>
          <w:sz w:val="15"/>
          <w:szCs w:val="15"/>
          <w:color w:val="auto"/>
        </w:rPr>
        <w:t>“We completed the reorganization of our company to focus on two business platforms, Identification Solutions and Workplace Safety that will provide long-term growth for Brady. Although total sales increased 13.0 percent in our first quarter, our Workplace Safety business experienced an organic sales decline of 10.0 percent. In the fourth quarter of last year, we accelerated our investment in our Workplace Safety business to drive organic sales growth and we will be investing another $14 million in fiscal 2014 as we improve our e-commerce capabilities, expand our product offerings and enhance our pricing capabilities. We are starting to see positive signs from this accelerated investment and expect to return to organic sales growth in the second half of the year,” said</w:t>
      </w:r>
    </w:p>
    <w:p>
      <w:pPr>
        <w:sectPr>
          <w:pgSz w:w="11900" w:h="16838" w:orient="portrait"/>
          <w:cols w:equalWidth="0" w:num="1">
            <w:col w:w="11440"/>
          </w:cols>
          <w:pgMar w:left="240" w:top="734" w:right="219" w:bottom="1440" w:gutter="0" w:footer="0" w:header="0"/>
        </w:sectPr>
      </w:pPr>
    </w:p>
    <w:bookmarkStart w:id="9" w:name="page10"/>
    <w:bookmarkEnd w:id="9"/>
    <w:p>
      <w:pPr>
        <w:ind w:right="100"/>
        <w:spacing w:after="0" w:line="370" w:lineRule="auto"/>
        <w:rPr>
          <w:sz w:val="20"/>
          <w:szCs w:val="20"/>
          <w:color w:val="auto"/>
        </w:rPr>
      </w:pPr>
      <w:r>
        <w:rPr>
          <w:rFonts w:ascii="Arial" w:cs="Arial" w:eastAsia="Arial" w:hAnsi="Arial"/>
          <w:sz w:val="17"/>
          <w:szCs w:val="17"/>
          <w:color w:val="auto"/>
        </w:rPr>
        <w:t>Brady’s Chief Financial Officer and Interim President and Chief Executive Officer, Thomas J. Felmer. “Our Identification Solutions business remains strong as we see improvements in our Asian and European results and continue to see growth opportunities driven by our new product pipeline and increased focus on industries such as healthcare; food and beverage; chemical, oil and gas; and aerospace and mass transit.”</w:t>
      </w:r>
    </w:p>
    <w:p>
      <w:pPr>
        <w:spacing w:after="0" w:line="1" w:lineRule="exact"/>
        <w:rPr>
          <w:sz w:val="20"/>
          <w:szCs w:val="20"/>
          <w:color w:val="auto"/>
        </w:rPr>
      </w:pPr>
    </w:p>
    <w:p>
      <w:pPr>
        <w:ind w:right="20" w:firstLine="579"/>
        <w:spacing w:after="0" w:line="377" w:lineRule="auto"/>
        <w:rPr>
          <w:sz w:val="20"/>
          <w:szCs w:val="20"/>
          <w:color w:val="auto"/>
        </w:rPr>
      </w:pPr>
      <w:r>
        <w:rPr>
          <w:rFonts w:ascii="Arial" w:cs="Arial" w:eastAsia="Arial" w:hAnsi="Arial"/>
          <w:sz w:val="17"/>
          <w:szCs w:val="17"/>
          <w:color w:val="auto"/>
        </w:rPr>
        <w:t>The Company anticipates organic sales from continuing operations in fiscal 2014 to range from a slight contraction to low single-digit growth, with organic sales down in the first half of the year and returning to growth in the second half of fiscal 2014. Guidance for earnings from continuing operations per diluted Class A Nonvoting Common Share remains unchanged at $1.80 to $2.00, exclusive of restructuring charges. This guidance is based on current exchange rates, a full-year income tax rate in the mid-to-upper 20 percent range, depreciation and amortization of approximately $45 to $50 million, and approximately $30 million of restructuring charges in fiscal 2014, the timing of which is subject to change as we execute our restructuring plan. Our guidance also includes capital expenditures of approximately $40 million in fiscal 2014.</w:t>
      </w:r>
    </w:p>
    <w:p>
      <w:pPr>
        <w:spacing w:after="0" w:line="26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A webcast regarding Brady’s fiscal 2014 first quarter financial results will be available at </w:t>
      </w:r>
      <w:r>
        <w:rPr>
          <w:rFonts w:ascii="Arial" w:cs="Arial" w:eastAsia="Arial" w:hAnsi="Arial"/>
          <w:sz w:val="15"/>
          <w:szCs w:val="15"/>
          <w:u w:val="single" w:color="auto"/>
          <w:color w:val="0000FF"/>
        </w:rPr>
        <w:t>www.bradycorp.com</w:t>
      </w:r>
      <w:r>
        <w:rPr>
          <w:rFonts w:ascii="Arial" w:cs="Arial" w:eastAsia="Arial" w:hAnsi="Arial"/>
          <w:sz w:val="15"/>
          <w:szCs w:val="15"/>
          <w:color w:val="auto"/>
        </w:rPr>
        <w:t xml:space="preserve"> beginning at 9:30 a.m. Central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today.</w:t>
      </w:r>
    </w:p>
    <w:p>
      <w:pPr>
        <w:spacing w:after="0" w:line="396" w:lineRule="exact"/>
        <w:rPr>
          <w:sz w:val="20"/>
          <w:szCs w:val="20"/>
          <w:color w:val="auto"/>
        </w:rPr>
      </w:pPr>
    </w:p>
    <w:p>
      <w:pPr>
        <w:ind w:firstLine="579"/>
        <w:spacing w:after="0" w:line="433" w:lineRule="auto"/>
        <w:rPr>
          <w:sz w:val="20"/>
          <w:szCs w:val="20"/>
          <w:color w:val="auto"/>
        </w:rPr>
      </w:pPr>
      <w:r>
        <w:rPr>
          <w:rFonts w:ascii="Arial" w:cs="Arial" w:eastAsia="Arial" w:hAnsi="Arial"/>
          <w:sz w:val="15"/>
          <w:szCs w:val="15"/>
          <w:color w:val="auto"/>
        </w:rPr>
        <w:t xml:space="preserve">Brady Corporation is an international manufacturer and marketer of complete solutions that identify and protect premises, products and people. Brady’s products help customers increase safety, security, productivity and performance and include high-performance labels, signs, safety devices, printing systems and software, and precision die-cut materials. Founded in 1914, the company has a diverse customer base in electronics, telecommunications, manufacturing, electrical, construction, education, medical and a variety of other industries. Brady is headquartered in Milwaukee, Wisconsin and as of July 31, 2013, employed approximately 7,400 people in its worldwide businesses. Brady’s fiscal 2013 sales were approximately $1.15 billion. Brady stock trades on the New York Stock Exchange under the symbol BRC. More information is available on the Internet at </w:t>
      </w:r>
      <w:r>
        <w:rPr>
          <w:rFonts w:ascii="Arial" w:cs="Arial" w:eastAsia="Arial" w:hAnsi="Arial"/>
          <w:sz w:val="15"/>
          <w:szCs w:val="15"/>
          <w:u w:val="single" w:color="auto"/>
          <w:color w:val="0000FF"/>
        </w:rPr>
        <w:t>www.bradycorp.com.</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See accompanying notes for non-GAAP measures.</w:t>
      </w:r>
    </w:p>
    <w:p>
      <w:pPr>
        <w:sectPr>
          <w:pgSz w:w="11900" w:h="16838" w:orient="portrait"/>
          <w:cols w:equalWidth="0" w:num="1">
            <w:col w:w="11360"/>
          </w:cols>
          <w:pgMar w:left="240" w:top="583" w:right="2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63" w:lineRule="exact"/>
        <w:rPr>
          <w:sz w:val="20"/>
          <w:szCs w:val="20"/>
          <w:color w:val="auto"/>
        </w:rPr>
      </w:pPr>
    </w:p>
    <w:p>
      <w:pPr>
        <w:spacing w:after="0" w:line="292" w:lineRule="auto"/>
        <w:rPr>
          <w:sz w:val="20"/>
          <w:szCs w:val="20"/>
          <w:color w:val="auto"/>
        </w:rPr>
      </w:pPr>
      <w:r>
        <w:rPr>
          <w:rFonts w:ascii="Arial" w:cs="Arial" w:eastAsia="Arial" w:hAnsi="Arial"/>
          <w:sz w:val="14"/>
          <w:szCs w:val="14"/>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Implementation of the Workplace Safety strategy; the length or severity of the current worldwide economic downturn or timing or strength of a subsequent recovery; future financial performance of major markets Brady serves, which include, without limitation, telecommunications, hard disk drive, manufacturing, electrical, construction, laboratory, education, governmental, public utility, computer, healthcare and transportation; future competition; changes in the supply of, or price for, parts and components; increased price pressure from suppliers and customers; Brady's ability to retain significant contracts and customers; fluctuations in currency rates versus the U.S. dollar; risks associated with international operations; difficulties associated with exports; risks associated with obtaining governmental approvals and maintaining regulatory compliance; Brady's ability to develop and successfully market new products; risks associated with identifying, completing, and integrating acquisitions; risks associated with divestitures and businesses held for sale; risks associated with restructuring plans; environmental, health and safety compliance costs and liabilities; risk associated with loss of key talent; risk associated with product liability claims; technology changes and potential security violations to the Company's information technology systems; Brady's ability to maintain compliance with its debt covenants; increase in our level of debt; potential write-offs of Brady's substantial intangible assets; unforeseen tax consequences; risk, associated with our ownership structure;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2013.</w:t>
      </w:r>
    </w:p>
    <w:p>
      <w:pPr>
        <w:spacing w:after="0" w:line="150"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420"/>
          </w:cols>
          <w:pgMar w:left="240" w:top="583" w:right="23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CONSOLIDATED STATEMENTS OF EARNINGS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(Unaudited)</w:t>
            </w:r>
          </w:p>
        </w:tc>
        <w:tc>
          <w:tcPr>
            <w:tcW w:w="800" w:type="dxa"/>
            <w:vAlign w:val="bottom"/>
          </w:tcPr>
          <w:p>
            <w:pPr>
              <w:spacing w:after="0"/>
              <w:rPr>
                <w:sz w:val="15"/>
                <w:szCs w:val="15"/>
                <w:color w:val="auto"/>
              </w:rPr>
            </w:pPr>
          </w:p>
        </w:tc>
      </w:tr>
      <w:tr>
        <w:trPr>
          <w:trHeight w:val="30"/>
        </w:trPr>
        <w:tc>
          <w:tcPr>
            <w:tcW w:w="6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r>
      <w:tr>
        <w:trPr>
          <w:trHeight w:val="191"/>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4"/>
          </w:tcPr>
          <w:p>
            <w:pPr>
              <w:jc w:val="right"/>
              <w:ind w:right="188"/>
              <w:spacing w:after="0"/>
              <w:rPr>
                <w:sz w:val="20"/>
                <w:szCs w:val="20"/>
                <w:color w:val="auto"/>
              </w:rPr>
            </w:pPr>
            <w:r>
              <w:rPr>
                <w:rFonts w:ascii="Arial" w:cs="Arial" w:eastAsia="Arial" w:hAnsi="Arial"/>
                <w:sz w:val="14"/>
                <w:szCs w:val="14"/>
                <w:color w:val="auto"/>
                <w:w w:val="95"/>
              </w:rPr>
              <w:t>Three months ended October 31,</w:t>
            </w:r>
          </w:p>
        </w:tc>
      </w:tr>
      <w:tr>
        <w:trPr>
          <w:trHeight w:val="241"/>
        </w:trPr>
        <w:tc>
          <w:tcPr>
            <w:tcW w:w="6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36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ind w:right="368"/>
              <w:spacing w:after="0"/>
              <w:rPr>
                <w:sz w:val="20"/>
                <w:szCs w:val="20"/>
                <w:color w:val="auto"/>
              </w:rPr>
            </w:pPr>
            <w:r>
              <w:rPr>
                <w:rFonts w:ascii="Arial" w:cs="Arial" w:eastAsia="Arial" w:hAnsi="Arial"/>
                <w:sz w:val="14"/>
                <w:szCs w:val="14"/>
                <w:color w:val="auto"/>
              </w:rPr>
              <w:t>2012</w:t>
            </w:r>
          </w:p>
        </w:tc>
      </w:tr>
      <w:tr>
        <w:trPr>
          <w:trHeight w:val="30"/>
        </w:trPr>
        <w:tc>
          <w:tcPr>
            <w:tcW w:w="6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1"/>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305,974</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270,866</w:t>
            </w: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Cost of products sold</w:t>
            </w:r>
          </w:p>
        </w:tc>
        <w:tc>
          <w:tcPr>
            <w:tcW w:w="2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149,029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121,342</w:t>
            </w:r>
          </w:p>
        </w:tc>
      </w:tr>
      <w:tr>
        <w:trPr>
          <w:trHeight w:val="30"/>
        </w:trPr>
        <w:tc>
          <w:tcPr>
            <w:tcW w:w="6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Gross margin</w:t>
            </w: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156,945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149,524</w:t>
            </w: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Research and development</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8,587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7,887</w:t>
            </w: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Selling, general and administrative</w:t>
            </w:r>
          </w:p>
        </w:tc>
        <w:tc>
          <w:tcPr>
            <w:tcW w:w="2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112,687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99,009</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Restructuring charges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6,840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1"/>
        </w:trPr>
        <w:tc>
          <w:tcPr>
            <w:tcW w:w="624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128,114</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106,896</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1"/>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2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28,831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42,628</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1"/>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Other income and (expense):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Investment and other income</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762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397</w:t>
            </w: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(4,163)</w:t>
            </w:r>
          </w:p>
        </w:tc>
      </w:tr>
      <w:tr>
        <w:trPr>
          <w:trHeight w:val="30"/>
        </w:trPr>
        <w:tc>
          <w:tcPr>
            <w:tcW w:w="6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3"/>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Earnings from continuing operations before income taxes</w:t>
            </w:r>
          </w:p>
        </w:tc>
        <w:tc>
          <w:tcPr>
            <w:tcW w:w="2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25,872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38,862</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1"/>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2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8,449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13,077</w:t>
            </w:r>
          </w:p>
        </w:tc>
      </w:tr>
      <w:tr>
        <w:trPr>
          <w:trHeight w:val="30"/>
        </w:trPr>
        <w:tc>
          <w:tcPr>
            <w:tcW w:w="6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3"/>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Earnings from continuing operations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17,423</w:t>
            </w:r>
          </w:p>
        </w:tc>
        <w:tc>
          <w:tcPr>
            <w:tcW w:w="100" w:type="dxa"/>
            <w:vAlign w:val="bottom"/>
          </w:tcPr>
          <w:p>
            <w:pPr>
              <w:spacing w:after="0"/>
              <w:rPr>
                <w:sz w:val="18"/>
                <w:szCs w:val="18"/>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25,785</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1"/>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Earnings from discontinued operations, net of income taxes</w:t>
            </w:r>
          </w:p>
        </w:tc>
        <w:tc>
          <w:tcPr>
            <w:tcW w:w="2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6,505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1,403</w:t>
            </w:r>
          </w:p>
        </w:tc>
      </w:tr>
      <w:tr>
        <w:trPr>
          <w:trHeight w:val="30"/>
        </w:trPr>
        <w:tc>
          <w:tcPr>
            <w:tcW w:w="6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3"/>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61"/>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earnings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23,928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27,188</w:t>
            </w:r>
          </w:p>
        </w:tc>
      </w:tr>
      <w:tr>
        <w:trPr>
          <w:trHeight w:val="225"/>
        </w:trPr>
        <w:tc>
          <w:tcPr>
            <w:tcW w:w="6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Earnings from continuing operations per Class A Nonvoting Commons Share: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0.50</w:t>
            </w: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0.33</w:t>
            </w:r>
          </w:p>
        </w:tc>
        <w:tc>
          <w:tcPr>
            <w:tcW w:w="100" w:type="dxa"/>
            <w:vAlign w:val="bottom"/>
          </w:tcPr>
          <w:p>
            <w:pPr>
              <w:spacing w:after="0"/>
              <w:rPr>
                <w:sz w:val="18"/>
                <w:szCs w:val="18"/>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0.50</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1"/>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Earnings from continuing operations per Class B Voting Common Share: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0.49</w:t>
            </w: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0.32</w:t>
            </w:r>
          </w:p>
        </w:tc>
        <w:tc>
          <w:tcPr>
            <w:tcW w:w="100" w:type="dxa"/>
            <w:vAlign w:val="bottom"/>
          </w:tcPr>
          <w:p>
            <w:pPr>
              <w:spacing w:after="0"/>
              <w:rPr>
                <w:sz w:val="18"/>
                <w:szCs w:val="18"/>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0.49</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1"/>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Earnings from discontinued operations per Class A Nonvoting Common Share: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0.13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0.03</w:t>
            </w: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0.13</w:t>
            </w:r>
          </w:p>
        </w:tc>
        <w:tc>
          <w:tcPr>
            <w:tcW w:w="100" w:type="dxa"/>
            <w:vAlign w:val="bottom"/>
          </w:tcPr>
          <w:p>
            <w:pPr>
              <w:spacing w:after="0"/>
              <w:rPr>
                <w:sz w:val="18"/>
                <w:szCs w:val="18"/>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0.03</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1"/>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Earnings from discontinued operations per Class B Voting Common Share: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0.12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0.03</w:t>
            </w: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0.12</w:t>
            </w:r>
          </w:p>
        </w:tc>
        <w:tc>
          <w:tcPr>
            <w:tcW w:w="100" w:type="dxa"/>
            <w:vAlign w:val="bottom"/>
          </w:tcPr>
          <w:p>
            <w:pPr>
              <w:spacing w:after="0"/>
              <w:rPr>
                <w:sz w:val="18"/>
                <w:szCs w:val="18"/>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0.02</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93"/>
        </w:trPr>
        <w:tc>
          <w:tcPr>
            <w:tcW w:w="6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Net Earnings per Class A Nonvoting Common Share: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0.53</w:t>
            </w: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0.46</w:t>
            </w:r>
          </w:p>
        </w:tc>
        <w:tc>
          <w:tcPr>
            <w:tcW w:w="100" w:type="dxa"/>
            <w:vAlign w:val="bottom"/>
          </w:tcPr>
          <w:p>
            <w:pPr>
              <w:spacing w:after="0"/>
              <w:rPr>
                <w:sz w:val="18"/>
                <w:szCs w:val="18"/>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0.53</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Dividends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0.195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0.19</w:t>
            </w:r>
          </w:p>
        </w:tc>
      </w:tr>
      <w:tr>
        <w:trPr>
          <w:trHeight w:val="193"/>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21"/>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 per Class B Voting Common Share:</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0.44</w:t>
            </w:r>
          </w:p>
        </w:tc>
        <w:tc>
          <w:tcPr>
            <w:tcW w:w="100" w:type="dxa"/>
            <w:vAlign w:val="bottom"/>
          </w:tcPr>
          <w:p>
            <w:pPr>
              <w:spacing w:after="0"/>
              <w:rPr>
                <w:sz w:val="18"/>
                <w:szCs w:val="18"/>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0.52</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0.51</w:t>
            </w: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Dividends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0.178</w:t>
            </w:r>
          </w:p>
        </w:tc>
        <w:tc>
          <w:tcPr>
            <w:tcW w:w="100" w:type="dxa"/>
            <w:vAlign w:val="bottom"/>
          </w:tcPr>
          <w:p>
            <w:pPr>
              <w:spacing w:after="0"/>
              <w:rPr>
                <w:sz w:val="18"/>
                <w:szCs w:val="18"/>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0.173</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93"/>
        </w:trPr>
        <w:tc>
          <w:tcPr>
            <w:tcW w:w="6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 (in thousands):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52,071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51,039</w:t>
            </w: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52,419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51,312</w:t>
            </w:r>
          </w:p>
        </w:tc>
      </w:tr>
    </w:tbl>
    <w:p>
      <w:pPr>
        <w:sectPr>
          <w:pgSz w:w="11900" w:h="16838" w:orient="portrait"/>
          <w:cols w:equalWidth="0" w:num="1">
            <w:col w:w="10219"/>
          </w:cols>
          <w:pgMar w:left="240" w:top="537" w:right="1440"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20" w:type="dxa"/>
            <w:vAlign w:val="bottom"/>
            <w:gridSpan w:val="4"/>
          </w:tcPr>
          <w:p>
            <w:pPr>
              <w:jc w:val="right"/>
              <w:ind w:right="788"/>
              <w:spacing w:after="0"/>
              <w:rPr>
                <w:sz w:val="20"/>
                <w:szCs w:val="20"/>
                <w:color w:val="auto"/>
              </w:rPr>
            </w:pPr>
            <w:r>
              <w:rPr>
                <w:rFonts w:ascii="Arial" w:cs="Arial" w:eastAsia="Arial" w:hAnsi="Arial"/>
                <w:sz w:val="14"/>
                <w:szCs w:val="14"/>
                <w:color w:val="auto"/>
              </w:rPr>
              <w:t>(Unaudited)</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color w:val="auto"/>
              </w:rPr>
              <w:t>October 31, 2013</w:t>
            </w:r>
          </w:p>
        </w:tc>
        <w:tc>
          <w:tcPr>
            <w:tcW w:w="140" w:type="dxa"/>
            <w:vAlign w:val="bottom"/>
          </w:tcPr>
          <w:p>
            <w:pPr>
              <w:spacing w:after="0"/>
              <w:rPr>
                <w:sz w:val="17"/>
                <w:szCs w:val="17"/>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w w:val="96"/>
              </w:rPr>
              <w:t>July 31, 2013</w:t>
            </w:r>
          </w:p>
        </w:tc>
        <w:tc>
          <w:tcPr>
            <w:tcW w:w="0" w:type="dxa"/>
            <w:vAlign w:val="bottom"/>
          </w:tcPr>
          <w:p>
            <w:pPr>
              <w:spacing w:after="0"/>
              <w:rPr>
                <w:sz w:val="1"/>
                <w:szCs w:val="1"/>
                <w:color w:val="auto"/>
              </w:rPr>
            </w:pPr>
          </w:p>
        </w:tc>
      </w:tr>
      <w:tr>
        <w:trPr>
          <w:trHeight w:val="30"/>
        </w:trPr>
        <w:tc>
          <w:tcPr>
            <w:tcW w:w="13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3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6"/>
              </w:rPr>
              <w:t>ASSETS</w:t>
            </w:r>
          </w:p>
        </w:tc>
        <w:tc>
          <w:tcPr>
            <w:tcW w:w="2840" w:type="dxa"/>
            <w:vAlign w:val="bottom"/>
            <w:tcBorders>
              <w:bottom w:val="single" w:sz="8" w:color="CCEEFF"/>
            </w:tcBorders>
            <w:gridSpan w:val="2"/>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40" w:type="dxa"/>
            <w:vAlign w:val="bottom"/>
            <w:gridSpan w:val="5"/>
          </w:tcPr>
          <w:p>
            <w:pPr>
              <w:ind w:left="20"/>
              <w:spacing w:after="0"/>
              <w:rPr>
                <w:sz w:val="20"/>
                <w:szCs w:val="20"/>
                <w:color w:val="auto"/>
              </w:rPr>
            </w:pPr>
            <w:r>
              <w:rPr>
                <w:rFonts w:ascii="Arial" w:cs="Arial" w:eastAsia="Arial" w:hAnsi="Arial"/>
                <w:sz w:val="14"/>
                <w:szCs w:val="14"/>
                <w:b w:val="1"/>
                <w:bCs w:val="1"/>
                <w:color w:val="auto"/>
              </w:rPr>
              <w:t>Current assets:</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81,869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91,058</w:t>
            </w:r>
          </w:p>
        </w:tc>
        <w:tc>
          <w:tcPr>
            <w:tcW w:w="0" w:type="dxa"/>
            <w:vAlign w:val="bottom"/>
          </w:tcPr>
          <w:p>
            <w:pPr>
              <w:spacing w:after="0"/>
              <w:rPr>
                <w:sz w:val="1"/>
                <w:szCs w:val="1"/>
                <w:color w:val="auto"/>
              </w:rPr>
            </w:pPr>
          </w:p>
        </w:tc>
      </w:tr>
      <w:tr>
        <w:trPr>
          <w:trHeight w:val="211"/>
        </w:trPr>
        <w:tc>
          <w:tcPr>
            <w:tcW w:w="6240" w:type="dxa"/>
            <w:vAlign w:val="bottom"/>
            <w:gridSpan w:val="5"/>
          </w:tcPr>
          <w:p>
            <w:pPr>
              <w:ind w:left="240"/>
              <w:spacing w:after="0"/>
              <w:rPr>
                <w:sz w:val="20"/>
                <w:szCs w:val="20"/>
                <w:color w:val="auto"/>
              </w:rPr>
            </w:pPr>
            <w:r>
              <w:rPr>
                <w:rFonts w:ascii="Arial" w:cs="Arial" w:eastAsia="Arial" w:hAnsi="Arial"/>
                <w:sz w:val="14"/>
                <w:szCs w:val="14"/>
                <w:color w:val="auto"/>
              </w:rPr>
              <w:t>Accounts receivable—net</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184,099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169,261</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4"/>
                <w:szCs w:val="14"/>
                <w:color w:val="auto"/>
              </w:rPr>
              <w:t>Inventories: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240" w:type="dxa"/>
            <w:vAlign w:val="bottom"/>
            <w:gridSpan w:val="5"/>
          </w:tcPr>
          <w:p>
            <w:pPr>
              <w:ind w:left="440"/>
              <w:spacing w:after="0"/>
              <w:rPr>
                <w:sz w:val="20"/>
                <w:szCs w:val="20"/>
                <w:color w:val="auto"/>
              </w:rPr>
            </w:pPr>
            <w:r>
              <w:rPr>
                <w:rFonts w:ascii="Arial" w:cs="Arial" w:eastAsia="Arial" w:hAnsi="Arial"/>
                <w:sz w:val="14"/>
                <w:szCs w:val="14"/>
                <w:color w:val="auto"/>
              </w:rPr>
              <w:t>Finished products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69,085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64,544</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440"/>
              <w:spacing w:after="0"/>
              <w:rPr>
                <w:sz w:val="20"/>
                <w:szCs w:val="20"/>
                <w:color w:val="auto"/>
              </w:rPr>
            </w:pPr>
            <w:r>
              <w:rPr>
                <w:rFonts w:ascii="Arial" w:cs="Arial" w:eastAsia="Arial" w:hAnsi="Arial"/>
                <w:sz w:val="14"/>
                <w:szCs w:val="14"/>
                <w:color w:val="auto"/>
              </w:rPr>
              <w:t>Work-in-process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17,757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14,776</w:t>
            </w:r>
          </w:p>
        </w:tc>
        <w:tc>
          <w:tcPr>
            <w:tcW w:w="0" w:type="dxa"/>
            <w:vAlign w:val="bottom"/>
          </w:tcPr>
          <w:p>
            <w:pPr>
              <w:spacing w:after="0"/>
              <w:rPr>
                <w:sz w:val="1"/>
                <w:szCs w:val="1"/>
                <w:color w:val="auto"/>
              </w:rPr>
            </w:pPr>
          </w:p>
        </w:tc>
      </w:tr>
      <w:tr>
        <w:trPr>
          <w:trHeight w:val="211"/>
        </w:trPr>
        <w:tc>
          <w:tcPr>
            <w:tcW w:w="6240" w:type="dxa"/>
            <w:vAlign w:val="bottom"/>
            <w:gridSpan w:val="5"/>
          </w:tcPr>
          <w:p>
            <w:pPr>
              <w:ind w:left="440"/>
              <w:spacing w:after="0"/>
              <w:rPr>
                <w:sz w:val="20"/>
                <w:szCs w:val="20"/>
                <w:color w:val="auto"/>
              </w:rPr>
            </w:pPr>
            <w:r>
              <w:rPr>
                <w:rFonts w:ascii="Arial" w:cs="Arial" w:eastAsia="Arial" w:hAnsi="Arial"/>
                <w:sz w:val="14"/>
                <w:szCs w:val="14"/>
                <w:color w:val="auto"/>
              </w:rPr>
              <w:t>Raw materials and supplies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18,102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15,387</w:t>
            </w:r>
          </w:p>
        </w:tc>
        <w:tc>
          <w:tcPr>
            <w:tcW w:w="0" w:type="dxa"/>
            <w:vAlign w:val="bottom"/>
          </w:tcPr>
          <w:p>
            <w:pPr>
              <w:spacing w:after="0"/>
              <w:rPr>
                <w:sz w:val="1"/>
                <w:szCs w:val="1"/>
                <w:color w:val="auto"/>
              </w:rPr>
            </w:pPr>
          </w:p>
        </w:tc>
      </w:tr>
      <w:tr>
        <w:trPr>
          <w:trHeight w:val="30"/>
        </w:trPr>
        <w:tc>
          <w:tcPr>
            <w:tcW w:w="13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240" w:type="dxa"/>
            <w:vAlign w:val="bottom"/>
            <w:tcBorders>
              <w:bottom w:val="single" w:sz="8" w:color="CCEEFF"/>
            </w:tcBorders>
            <w:gridSpan w:val="5"/>
            <w:shd w:val="clear" w:color="auto" w:fill="CCEEFF"/>
          </w:tcPr>
          <w:p>
            <w:pPr>
              <w:ind w:left="440"/>
              <w:spacing w:after="0"/>
              <w:rPr>
                <w:sz w:val="20"/>
                <w:szCs w:val="20"/>
                <w:color w:val="auto"/>
              </w:rPr>
            </w:pPr>
            <w:r>
              <w:rPr>
                <w:rFonts w:ascii="Arial" w:cs="Arial" w:eastAsia="Arial" w:hAnsi="Arial"/>
                <w:sz w:val="14"/>
                <w:szCs w:val="14"/>
                <w:color w:val="auto"/>
              </w:rPr>
              <w:t>Total inventories</w:t>
            </w:r>
          </w:p>
        </w:tc>
        <w:tc>
          <w:tcPr>
            <w:tcW w:w="3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104,944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94,707</w:t>
            </w:r>
          </w:p>
        </w:tc>
        <w:tc>
          <w:tcPr>
            <w:tcW w:w="0" w:type="dxa"/>
            <w:vAlign w:val="bottom"/>
          </w:tcPr>
          <w:p>
            <w:pPr>
              <w:spacing w:after="0"/>
              <w:rPr>
                <w:sz w:val="1"/>
                <w:szCs w:val="1"/>
                <w:color w:val="auto"/>
              </w:rPr>
            </w:pPr>
          </w:p>
        </w:tc>
      </w:tr>
      <w:tr>
        <w:trPr>
          <w:trHeight w:val="211"/>
        </w:trPr>
        <w:tc>
          <w:tcPr>
            <w:tcW w:w="6240" w:type="dxa"/>
            <w:vAlign w:val="bottom"/>
            <w:gridSpan w:val="5"/>
          </w:tcPr>
          <w:p>
            <w:pPr>
              <w:ind w:left="240"/>
              <w:spacing w:after="0"/>
              <w:rPr>
                <w:sz w:val="20"/>
                <w:szCs w:val="20"/>
                <w:color w:val="auto"/>
              </w:rPr>
            </w:pPr>
            <w:r>
              <w:rPr>
                <w:rFonts w:ascii="Arial" w:cs="Arial" w:eastAsia="Arial" w:hAnsi="Arial"/>
                <w:sz w:val="14"/>
                <w:szCs w:val="14"/>
                <w:color w:val="auto"/>
              </w:rPr>
              <w:t>Assets held for sale</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132,616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119,864</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62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46,671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37,600</w:t>
            </w:r>
          </w:p>
        </w:tc>
        <w:tc>
          <w:tcPr>
            <w:tcW w:w="0" w:type="dxa"/>
            <w:vAlign w:val="bottom"/>
          </w:tcPr>
          <w:p>
            <w:pPr>
              <w:spacing w:after="0"/>
              <w:rPr>
                <w:sz w:val="1"/>
                <w:szCs w:val="1"/>
                <w:color w:val="auto"/>
              </w:rPr>
            </w:pPr>
          </w:p>
        </w:tc>
      </w:tr>
      <w:tr>
        <w:trPr>
          <w:trHeight w:val="191"/>
        </w:trPr>
        <w:tc>
          <w:tcPr>
            <w:tcW w:w="6240" w:type="dxa"/>
            <w:vAlign w:val="bottom"/>
            <w:gridSpan w:val="5"/>
          </w:tcPr>
          <w:p>
            <w:pPr>
              <w:ind w:left="440"/>
              <w:spacing w:after="0"/>
              <w:rPr>
                <w:sz w:val="20"/>
                <w:szCs w:val="20"/>
                <w:color w:val="auto"/>
              </w:rPr>
            </w:pPr>
            <w:r>
              <w:rPr>
                <w:rFonts w:ascii="Arial" w:cs="Arial" w:eastAsia="Arial" w:hAnsi="Arial"/>
                <w:sz w:val="14"/>
                <w:szCs w:val="14"/>
                <w:b w:val="1"/>
                <w:bCs w:val="1"/>
                <w:color w:val="auto"/>
              </w:rPr>
              <w:t>Total current assets</w:t>
            </w:r>
          </w:p>
        </w:tc>
        <w:tc>
          <w:tcPr>
            <w:tcW w:w="3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550,199</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512,490</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Other assets: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240" w:type="dxa"/>
            <w:vAlign w:val="bottom"/>
            <w:gridSpan w:val="5"/>
          </w:tcPr>
          <w:p>
            <w:pPr>
              <w:ind w:left="240"/>
              <w:spacing w:after="0"/>
              <w:rPr>
                <w:sz w:val="20"/>
                <w:szCs w:val="20"/>
                <w:color w:val="auto"/>
              </w:rPr>
            </w:pPr>
            <w:r>
              <w:rPr>
                <w:rFonts w:ascii="Arial" w:cs="Arial" w:eastAsia="Arial" w:hAnsi="Arial"/>
                <w:sz w:val="14"/>
                <w:szCs w:val="14"/>
                <w:color w:val="auto"/>
              </w:rPr>
              <w:t>Goodwill</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624,165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617,236</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4"/>
                <w:szCs w:val="14"/>
                <w:color w:val="auto"/>
              </w:rPr>
              <w:t>Other intangible assets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152,812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156,851</w:t>
            </w:r>
          </w:p>
        </w:tc>
        <w:tc>
          <w:tcPr>
            <w:tcW w:w="0" w:type="dxa"/>
            <w:vAlign w:val="bottom"/>
          </w:tcPr>
          <w:p>
            <w:pPr>
              <w:spacing w:after="0"/>
              <w:rPr>
                <w:sz w:val="1"/>
                <w:szCs w:val="1"/>
                <w:color w:val="auto"/>
              </w:rPr>
            </w:pPr>
          </w:p>
        </w:tc>
      </w:tr>
      <w:tr>
        <w:trPr>
          <w:trHeight w:val="211"/>
        </w:trPr>
        <w:tc>
          <w:tcPr>
            <w:tcW w:w="6240" w:type="dxa"/>
            <w:vAlign w:val="bottom"/>
            <w:gridSpan w:val="5"/>
          </w:tcPr>
          <w:p>
            <w:pPr>
              <w:ind w:left="240"/>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10,469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8,623</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21,821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21,325</w:t>
            </w:r>
          </w:p>
        </w:tc>
        <w:tc>
          <w:tcPr>
            <w:tcW w:w="0" w:type="dxa"/>
            <w:vAlign w:val="bottom"/>
          </w:tcPr>
          <w:p>
            <w:pPr>
              <w:spacing w:after="0"/>
              <w:rPr>
                <w:sz w:val="1"/>
                <w:szCs w:val="1"/>
                <w:color w:val="auto"/>
              </w:rPr>
            </w:pPr>
          </w:p>
        </w:tc>
      </w:tr>
      <w:tr>
        <w:trPr>
          <w:trHeight w:val="211"/>
        </w:trPr>
        <w:tc>
          <w:tcPr>
            <w:tcW w:w="6240" w:type="dxa"/>
            <w:vAlign w:val="bottom"/>
            <w:gridSpan w:val="5"/>
          </w:tcPr>
          <w:p>
            <w:pPr>
              <w:ind w:left="20"/>
              <w:spacing w:after="0"/>
              <w:rPr>
                <w:sz w:val="20"/>
                <w:szCs w:val="20"/>
                <w:color w:val="auto"/>
              </w:rPr>
            </w:pPr>
            <w:r>
              <w:rPr>
                <w:rFonts w:ascii="Arial" w:cs="Arial" w:eastAsia="Arial" w:hAnsi="Arial"/>
                <w:sz w:val="14"/>
                <w:szCs w:val="14"/>
                <w:b w:val="1"/>
                <w:bCs w:val="1"/>
                <w:color w:val="auto"/>
              </w:rPr>
              <w:t>Property, plant and equipment:</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4"/>
                <w:szCs w:val="14"/>
                <w:color w:val="auto"/>
              </w:rPr>
              <w:t>Cost:</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240" w:type="dxa"/>
            <w:vAlign w:val="bottom"/>
            <w:gridSpan w:val="5"/>
          </w:tcPr>
          <w:p>
            <w:pPr>
              <w:ind w:left="440"/>
              <w:spacing w:after="0"/>
              <w:rPr>
                <w:sz w:val="20"/>
                <w:szCs w:val="20"/>
                <w:color w:val="auto"/>
              </w:rPr>
            </w:pPr>
            <w:r>
              <w:rPr>
                <w:rFonts w:ascii="Arial" w:cs="Arial" w:eastAsia="Arial" w:hAnsi="Arial"/>
                <w:sz w:val="14"/>
                <w:szCs w:val="14"/>
                <w:color w:val="auto"/>
              </w:rPr>
              <w:t>Land</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7,978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7,861</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440"/>
              <w:spacing w:after="0"/>
              <w:rPr>
                <w:sz w:val="20"/>
                <w:szCs w:val="20"/>
                <w:color w:val="auto"/>
              </w:rPr>
            </w:pPr>
            <w:r>
              <w:rPr>
                <w:rFonts w:ascii="Arial" w:cs="Arial" w:eastAsia="Arial" w:hAnsi="Arial"/>
                <w:sz w:val="14"/>
                <w:szCs w:val="14"/>
                <w:color w:val="auto"/>
              </w:rPr>
              <w:t>Buildings and improvements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94,545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91,471</w:t>
            </w:r>
          </w:p>
        </w:tc>
        <w:tc>
          <w:tcPr>
            <w:tcW w:w="0" w:type="dxa"/>
            <w:vAlign w:val="bottom"/>
          </w:tcPr>
          <w:p>
            <w:pPr>
              <w:spacing w:after="0"/>
              <w:rPr>
                <w:sz w:val="1"/>
                <w:szCs w:val="1"/>
                <w:color w:val="auto"/>
              </w:rPr>
            </w:pPr>
          </w:p>
        </w:tc>
      </w:tr>
      <w:tr>
        <w:trPr>
          <w:trHeight w:val="211"/>
        </w:trPr>
        <w:tc>
          <w:tcPr>
            <w:tcW w:w="6240" w:type="dxa"/>
            <w:vAlign w:val="bottom"/>
            <w:gridSpan w:val="5"/>
          </w:tcPr>
          <w:p>
            <w:pPr>
              <w:ind w:left="440"/>
              <w:spacing w:after="0"/>
              <w:rPr>
                <w:sz w:val="20"/>
                <w:szCs w:val="20"/>
                <w:color w:val="auto"/>
              </w:rPr>
            </w:pPr>
            <w:r>
              <w:rPr>
                <w:rFonts w:ascii="Arial" w:cs="Arial" w:eastAsia="Arial" w:hAnsi="Arial"/>
                <w:sz w:val="14"/>
                <w:szCs w:val="14"/>
                <w:color w:val="auto"/>
              </w:rPr>
              <w:t>Machinery and equipment</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270,371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266,787</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6240" w:type="dxa"/>
            <w:vAlign w:val="bottom"/>
            <w:tcBorders>
              <w:bottom w:val="single" w:sz="8" w:color="CCEEFF"/>
            </w:tcBorders>
            <w:gridSpan w:val="5"/>
            <w:shd w:val="clear" w:color="auto" w:fill="CCEEFF"/>
          </w:tcPr>
          <w:p>
            <w:pPr>
              <w:ind w:left="440"/>
              <w:spacing w:after="0"/>
              <w:rPr>
                <w:sz w:val="20"/>
                <w:szCs w:val="20"/>
                <w:color w:val="auto"/>
              </w:rPr>
            </w:pPr>
            <w:r>
              <w:rPr>
                <w:rFonts w:ascii="Arial" w:cs="Arial" w:eastAsia="Arial" w:hAnsi="Arial"/>
                <w:sz w:val="14"/>
                <w:szCs w:val="14"/>
                <w:color w:val="auto"/>
              </w:rPr>
              <w:t>Construction in progress</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15,112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11,842</w:t>
            </w:r>
          </w:p>
        </w:tc>
        <w:tc>
          <w:tcPr>
            <w:tcW w:w="0" w:type="dxa"/>
            <w:vAlign w:val="bottom"/>
          </w:tcPr>
          <w:p>
            <w:pPr>
              <w:spacing w:after="0"/>
              <w:rPr>
                <w:sz w:val="1"/>
                <w:szCs w:val="1"/>
                <w:color w:val="auto"/>
              </w:rPr>
            </w:pPr>
          </w:p>
        </w:tc>
      </w:tr>
      <w:tr>
        <w:trPr>
          <w:trHeight w:val="191"/>
        </w:trPr>
        <w:tc>
          <w:tcPr>
            <w:tcW w:w="1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388,006</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377,961</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62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4"/>
                <w:szCs w:val="14"/>
                <w:color w:val="auto"/>
              </w:rPr>
              <w:t>Less accumulated depreciation</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263,112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255,803</w:t>
            </w:r>
          </w:p>
        </w:tc>
        <w:tc>
          <w:tcPr>
            <w:tcW w:w="0" w:type="dxa"/>
            <w:vAlign w:val="bottom"/>
          </w:tcPr>
          <w:p>
            <w:pPr>
              <w:spacing w:after="0"/>
              <w:rPr>
                <w:sz w:val="1"/>
                <w:szCs w:val="1"/>
                <w:color w:val="auto"/>
              </w:rPr>
            </w:pPr>
          </w:p>
        </w:tc>
      </w:tr>
      <w:tr>
        <w:trPr>
          <w:trHeight w:val="191"/>
        </w:trPr>
        <w:tc>
          <w:tcPr>
            <w:tcW w:w="6240" w:type="dxa"/>
            <w:vAlign w:val="bottom"/>
            <w:gridSpan w:val="5"/>
          </w:tcPr>
          <w:p>
            <w:pPr>
              <w:ind w:left="20"/>
              <w:spacing w:after="0"/>
              <w:rPr>
                <w:sz w:val="20"/>
                <w:szCs w:val="20"/>
                <w:color w:val="auto"/>
              </w:rPr>
            </w:pPr>
            <w:r>
              <w:rPr>
                <w:rFonts w:ascii="Arial" w:cs="Arial" w:eastAsia="Arial" w:hAnsi="Arial"/>
                <w:sz w:val="14"/>
                <w:szCs w:val="14"/>
                <w:b w:val="1"/>
                <w:bCs w:val="1"/>
                <w:color w:val="auto"/>
              </w:rPr>
              <w:t>Property, plant and equipment—net</w:t>
            </w:r>
          </w:p>
        </w:tc>
        <w:tc>
          <w:tcPr>
            <w:tcW w:w="3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124,894</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122,158</w:t>
            </w:r>
          </w:p>
        </w:tc>
        <w:tc>
          <w:tcPr>
            <w:tcW w:w="0" w:type="dxa"/>
            <w:vAlign w:val="bottom"/>
          </w:tcPr>
          <w:p>
            <w:pPr>
              <w:spacing w:after="0"/>
              <w:rPr>
                <w:sz w:val="1"/>
                <w:szCs w:val="1"/>
                <w:color w:val="auto"/>
              </w:rPr>
            </w:pPr>
          </w:p>
        </w:tc>
      </w:tr>
      <w:tr>
        <w:trPr>
          <w:trHeight w:val="30"/>
        </w:trPr>
        <w:tc>
          <w:tcPr>
            <w:tcW w:w="13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2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1,484,360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1,438,683</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900" w:type="dxa"/>
            <w:vAlign w:val="bottom"/>
            <w:gridSpan w:val="4"/>
            <w:vMerge w:val="restart"/>
          </w:tcPr>
          <w:p>
            <w:pPr>
              <w:jc w:val="center"/>
              <w:ind w:right="1340"/>
              <w:spacing w:after="0"/>
              <w:rPr>
                <w:sz w:val="20"/>
                <w:szCs w:val="20"/>
                <w:color w:val="auto"/>
              </w:rPr>
            </w:pPr>
            <w:r>
              <w:rPr>
                <w:rFonts w:ascii="Arial" w:cs="Arial" w:eastAsia="Arial" w:hAnsi="Arial"/>
                <w:sz w:val="14"/>
                <w:szCs w:val="14"/>
                <w:b w:val="1"/>
                <w:bCs w:val="1"/>
                <w:color w:val="auto"/>
              </w:rPr>
              <w:t>LIABILITIES AND STOCKHOLDERS’ INVESTMENT</w:t>
            </w: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340" w:type="dxa"/>
            <w:vAlign w:val="bottom"/>
          </w:tcPr>
          <w:p>
            <w:pPr>
              <w:spacing w:after="0"/>
              <w:rPr>
                <w:sz w:val="14"/>
                <w:szCs w:val="14"/>
                <w:color w:val="auto"/>
              </w:rPr>
            </w:pPr>
          </w:p>
        </w:tc>
        <w:tc>
          <w:tcPr>
            <w:tcW w:w="4900" w:type="dxa"/>
            <w:vAlign w:val="bottom"/>
            <w:gridSpan w:val="4"/>
            <w:vMerge w:val="continue"/>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340" w:type="dxa"/>
            <w:vAlign w:val="bottom"/>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1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240" w:type="dxa"/>
            <w:vAlign w:val="bottom"/>
            <w:gridSpan w:val="5"/>
          </w:tcPr>
          <w:p>
            <w:pPr>
              <w:ind w:left="240"/>
              <w:spacing w:after="0"/>
              <w:rPr>
                <w:sz w:val="20"/>
                <w:szCs w:val="20"/>
                <w:color w:val="auto"/>
              </w:rPr>
            </w:pPr>
            <w:r>
              <w:rPr>
                <w:rFonts w:ascii="Arial" w:cs="Arial" w:eastAsia="Arial" w:hAnsi="Arial"/>
                <w:sz w:val="14"/>
                <w:szCs w:val="14"/>
                <w:color w:val="auto"/>
              </w:rPr>
              <w:t>Notes payable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26,442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50,613</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4"/>
                <w:szCs w:val="14"/>
                <w:color w:val="auto"/>
              </w:rPr>
              <w:t>Accounts payable</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92,044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82,519</w:t>
            </w:r>
          </w:p>
        </w:tc>
        <w:tc>
          <w:tcPr>
            <w:tcW w:w="0" w:type="dxa"/>
            <w:vAlign w:val="bottom"/>
          </w:tcPr>
          <w:p>
            <w:pPr>
              <w:spacing w:after="0"/>
              <w:rPr>
                <w:sz w:val="1"/>
                <w:szCs w:val="1"/>
                <w:color w:val="auto"/>
              </w:rPr>
            </w:pPr>
          </w:p>
        </w:tc>
      </w:tr>
      <w:tr>
        <w:trPr>
          <w:trHeight w:val="211"/>
        </w:trPr>
        <w:tc>
          <w:tcPr>
            <w:tcW w:w="6240" w:type="dxa"/>
            <w:vAlign w:val="bottom"/>
            <w:gridSpan w:val="5"/>
          </w:tcPr>
          <w:p>
            <w:pPr>
              <w:ind w:left="240"/>
              <w:spacing w:after="0"/>
              <w:rPr>
                <w:sz w:val="20"/>
                <w:szCs w:val="20"/>
                <w:color w:val="auto"/>
              </w:rPr>
            </w:pPr>
            <w:r>
              <w:rPr>
                <w:rFonts w:ascii="Arial" w:cs="Arial" w:eastAsia="Arial" w:hAnsi="Arial"/>
                <w:sz w:val="14"/>
                <w:szCs w:val="14"/>
                <w:color w:val="auto"/>
              </w:rPr>
              <w:t>Wages and amounts withheld from employees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47,968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42,413</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4"/>
                <w:szCs w:val="14"/>
                <w:color w:val="auto"/>
              </w:rPr>
              <w:t>Liabilities held for sale</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43,976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34,583</w:t>
            </w:r>
          </w:p>
        </w:tc>
        <w:tc>
          <w:tcPr>
            <w:tcW w:w="0" w:type="dxa"/>
            <w:vAlign w:val="bottom"/>
          </w:tcPr>
          <w:p>
            <w:pPr>
              <w:spacing w:after="0"/>
              <w:rPr>
                <w:sz w:val="1"/>
                <w:szCs w:val="1"/>
                <w:color w:val="auto"/>
              </w:rPr>
            </w:pPr>
          </w:p>
        </w:tc>
      </w:tr>
      <w:tr>
        <w:trPr>
          <w:trHeight w:val="211"/>
        </w:trPr>
        <w:tc>
          <w:tcPr>
            <w:tcW w:w="6240" w:type="dxa"/>
            <w:vAlign w:val="bottom"/>
            <w:gridSpan w:val="5"/>
          </w:tcPr>
          <w:p>
            <w:pPr>
              <w:ind w:left="240"/>
              <w:spacing w:after="0"/>
              <w:rPr>
                <w:sz w:val="20"/>
                <w:szCs w:val="20"/>
                <w:color w:val="auto"/>
              </w:rPr>
            </w:pPr>
            <w:r>
              <w:rPr>
                <w:rFonts w:ascii="Arial" w:cs="Arial" w:eastAsia="Arial" w:hAnsi="Arial"/>
                <w:sz w:val="14"/>
                <w:szCs w:val="14"/>
                <w:color w:val="auto"/>
              </w:rPr>
              <w:t>Taxes, other than income taxes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8,968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8,243</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4"/>
                <w:szCs w:val="14"/>
                <w:color w:val="auto"/>
              </w:rPr>
              <w:t>Accrued income taxes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8,996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7,056</w:t>
            </w:r>
          </w:p>
        </w:tc>
        <w:tc>
          <w:tcPr>
            <w:tcW w:w="0" w:type="dxa"/>
            <w:vAlign w:val="bottom"/>
          </w:tcPr>
          <w:p>
            <w:pPr>
              <w:spacing w:after="0"/>
              <w:rPr>
                <w:sz w:val="1"/>
                <w:szCs w:val="1"/>
                <w:color w:val="auto"/>
              </w:rPr>
            </w:pPr>
          </w:p>
        </w:tc>
      </w:tr>
      <w:tr>
        <w:trPr>
          <w:trHeight w:val="211"/>
        </w:trPr>
        <w:tc>
          <w:tcPr>
            <w:tcW w:w="6240" w:type="dxa"/>
            <w:vAlign w:val="bottom"/>
            <w:gridSpan w:val="5"/>
          </w:tcPr>
          <w:p>
            <w:pPr>
              <w:ind w:left="240"/>
              <w:spacing w:after="0"/>
              <w:rPr>
                <w:sz w:val="20"/>
                <w:szCs w:val="20"/>
                <w:color w:val="auto"/>
              </w:rPr>
            </w:pPr>
            <w:r>
              <w:rPr>
                <w:rFonts w:ascii="Arial" w:cs="Arial" w:eastAsia="Arial" w:hAnsi="Arial"/>
                <w:sz w:val="14"/>
                <w:szCs w:val="14"/>
                <w:color w:val="auto"/>
              </w:rPr>
              <w:t>Other current liabilities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39,531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36,806</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62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4"/>
                <w:szCs w:val="14"/>
                <w:color w:val="auto"/>
              </w:rPr>
              <w:t>Current maturities on long-term debt</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61,264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61,264</w:t>
            </w:r>
          </w:p>
        </w:tc>
        <w:tc>
          <w:tcPr>
            <w:tcW w:w="0" w:type="dxa"/>
            <w:vAlign w:val="bottom"/>
          </w:tcPr>
          <w:p>
            <w:pPr>
              <w:spacing w:after="0"/>
              <w:rPr>
                <w:sz w:val="1"/>
                <w:szCs w:val="1"/>
                <w:color w:val="auto"/>
              </w:rPr>
            </w:pPr>
          </w:p>
        </w:tc>
      </w:tr>
      <w:tr>
        <w:trPr>
          <w:trHeight w:val="191"/>
        </w:trPr>
        <w:tc>
          <w:tcPr>
            <w:tcW w:w="6240" w:type="dxa"/>
            <w:vAlign w:val="bottom"/>
            <w:gridSpan w:val="5"/>
          </w:tcPr>
          <w:p>
            <w:pPr>
              <w:ind w:left="440"/>
              <w:spacing w:after="0"/>
              <w:rPr>
                <w:sz w:val="20"/>
                <w:szCs w:val="20"/>
                <w:color w:val="auto"/>
              </w:rPr>
            </w:pPr>
            <w:r>
              <w:rPr>
                <w:rFonts w:ascii="Arial" w:cs="Arial" w:eastAsia="Arial" w:hAnsi="Arial"/>
                <w:sz w:val="14"/>
                <w:szCs w:val="14"/>
                <w:b w:val="1"/>
                <w:bCs w:val="1"/>
                <w:color w:val="auto"/>
              </w:rPr>
              <w:t>Total current liabilities</w:t>
            </w:r>
          </w:p>
        </w:tc>
        <w:tc>
          <w:tcPr>
            <w:tcW w:w="3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329,189</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323,497</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Long-term obligations, less current maturities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204,413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201,150</w:t>
            </w:r>
          </w:p>
        </w:tc>
        <w:tc>
          <w:tcPr>
            <w:tcW w:w="0" w:type="dxa"/>
            <w:vAlign w:val="bottom"/>
          </w:tcPr>
          <w:p>
            <w:pPr>
              <w:spacing w:after="0"/>
              <w:rPr>
                <w:sz w:val="1"/>
                <w:szCs w:val="1"/>
                <w:color w:val="auto"/>
              </w:rPr>
            </w:pPr>
          </w:p>
        </w:tc>
      </w:tr>
      <w:tr>
        <w:trPr>
          <w:trHeight w:val="211"/>
        </w:trPr>
        <w:tc>
          <w:tcPr>
            <w:tcW w:w="6240" w:type="dxa"/>
            <w:vAlign w:val="bottom"/>
            <w:gridSpan w:val="5"/>
          </w:tcPr>
          <w:p>
            <w:pPr>
              <w:ind w:left="20"/>
              <w:spacing w:after="0"/>
              <w:rPr>
                <w:sz w:val="20"/>
                <w:szCs w:val="20"/>
                <w:color w:val="auto"/>
              </w:rPr>
            </w:pPr>
            <w:r>
              <w:rPr>
                <w:rFonts w:ascii="Arial" w:cs="Arial" w:eastAsia="Arial" w:hAnsi="Arial"/>
                <w:sz w:val="14"/>
                <w:szCs w:val="14"/>
                <w:b w:val="1"/>
                <w:bCs w:val="1"/>
                <w:color w:val="auto"/>
              </w:rPr>
              <w:t>Other liabilities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84,784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83,239</w:t>
            </w:r>
          </w:p>
        </w:tc>
        <w:tc>
          <w:tcPr>
            <w:tcW w:w="0" w:type="dxa"/>
            <w:vAlign w:val="bottom"/>
          </w:tcPr>
          <w:p>
            <w:pPr>
              <w:spacing w:after="0"/>
              <w:rPr>
                <w:sz w:val="1"/>
                <w:szCs w:val="1"/>
                <w:color w:val="auto"/>
              </w:rPr>
            </w:pPr>
          </w:p>
        </w:tc>
      </w:tr>
      <w:tr>
        <w:trPr>
          <w:trHeight w:val="30"/>
        </w:trPr>
        <w:tc>
          <w:tcPr>
            <w:tcW w:w="13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240" w:type="dxa"/>
            <w:vAlign w:val="bottom"/>
            <w:tcBorders>
              <w:bottom w:val="single" w:sz="8" w:color="CCEEFF"/>
            </w:tcBorders>
            <w:gridSpan w:val="5"/>
            <w:shd w:val="clear" w:color="auto" w:fill="CCEEFF"/>
          </w:tcPr>
          <w:p>
            <w:pPr>
              <w:ind w:left="440"/>
              <w:spacing w:after="0"/>
              <w:rPr>
                <w:sz w:val="20"/>
                <w:szCs w:val="20"/>
                <w:color w:val="auto"/>
              </w:rPr>
            </w:pPr>
            <w:r>
              <w:rPr>
                <w:rFonts w:ascii="Arial" w:cs="Arial" w:eastAsia="Arial" w:hAnsi="Arial"/>
                <w:sz w:val="14"/>
                <w:szCs w:val="14"/>
                <w:b w:val="1"/>
                <w:bCs w:val="1"/>
                <w:color w:val="auto"/>
              </w:rPr>
              <w:t>Total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618,386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607,886</w:t>
            </w:r>
          </w:p>
        </w:tc>
        <w:tc>
          <w:tcPr>
            <w:tcW w:w="0" w:type="dxa"/>
            <w:vAlign w:val="bottom"/>
          </w:tcPr>
          <w:p>
            <w:pPr>
              <w:spacing w:after="0"/>
              <w:rPr>
                <w:sz w:val="1"/>
                <w:szCs w:val="1"/>
                <w:color w:val="auto"/>
              </w:rPr>
            </w:pPr>
          </w:p>
        </w:tc>
      </w:tr>
      <w:tr>
        <w:trPr>
          <w:trHeight w:val="211"/>
        </w:trPr>
        <w:tc>
          <w:tcPr>
            <w:tcW w:w="6240" w:type="dxa"/>
            <w:vAlign w:val="bottom"/>
            <w:gridSpan w:val="5"/>
          </w:tcPr>
          <w:p>
            <w:pPr>
              <w:ind w:left="20"/>
              <w:spacing w:after="0"/>
              <w:rPr>
                <w:sz w:val="20"/>
                <w:szCs w:val="20"/>
                <w:color w:val="auto"/>
              </w:rPr>
            </w:pPr>
            <w:r>
              <w:rPr>
                <w:rFonts w:ascii="Arial" w:cs="Arial" w:eastAsia="Arial" w:hAnsi="Arial"/>
                <w:sz w:val="14"/>
                <w:szCs w:val="14"/>
                <w:b w:val="1"/>
                <w:bCs w:val="1"/>
                <w:color w:val="auto"/>
              </w:rPr>
              <w:t>Stockholders’ investment:</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4"/>
                <w:szCs w:val="14"/>
                <w:color w:val="auto"/>
              </w:rPr>
              <w:t>Common stock:</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240" w:type="dxa"/>
            <w:vAlign w:val="bottom"/>
            <w:gridSpan w:val="5"/>
          </w:tcPr>
          <w:p>
            <w:pPr>
              <w:ind w:left="440"/>
              <w:spacing w:after="0"/>
              <w:rPr>
                <w:sz w:val="20"/>
                <w:szCs w:val="20"/>
                <w:color w:val="auto"/>
              </w:rPr>
            </w:pPr>
            <w:r>
              <w:rPr>
                <w:rFonts w:ascii="Arial" w:cs="Arial" w:eastAsia="Arial" w:hAnsi="Arial"/>
                <w:sz w:val="14"/>
                <w:szCs w:val="14"/>
                <w:color w:val="auto"/>
                <w:w w:val="97"/>
              </w:rPr>
              <w:t>Class A nonvoting common stock—Issued 51,261,487 and 51,261,487 shares, respectively and</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240" w:type="dxa"/>
            <w:vAlign w:val="bottom"/>
            <w:gridSpan w:val="5"/>
          </w:tcPr>
          <w:p>
            <w:pPr>
              <w:ind w:left="440"/>
              <w:spacing w:after="0"/>
              <w:rPr>
                <w:sz w:val="20"/>
                <w:szCs w:val="20"/>
                <w:color w:val="auto"/>
              </w:rPr>
            </w:pPr>
            <w:r>
              <w:rPr>
                <w:rFonts w:ascii="Arial" w:cs="Arial" w:eastAsia="Arial" w:hAnsi="Arial"/>
                <w:sz w:val="14"/>
                <w:szCs w:val="14"/>
                <w:color w:val="auto"/>
              </w:rPr>
              <w:t>outstanding 48,594,617 and 48,408,544 shares, respectively</w:t>
            </w:r>
          </w:p>
        </w:tc>
        <w:tc>
          <w:tcPr>
            <w:tcW w:w="32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440"/>
              <w:spacing w:after="0"/>
              <w:rPr>
                <w:sz w:val="20"/>
                <w:szCs w:val="20"/>
                <w:color w:val="auto"/>
              </w:rPr>
            </w:pPr>
            <w:r>
              <w:rPr>
                <w:rFonts w:ascii="Arial" w:cs="Arial" w:eastAsia="Arial" w:hAnsi="Arial"/>
                <w:sz w:val="14"/>
                <w:szCs w:val="14"/>
                <w:color w:val="auto"/>
              </w:rPr>
              <w:t>Class B voting common stock—Issued and outstanding, 3,538,628 shares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11"/>
        </w:trPr>
        <w:tc>
          <w:tcPr>
            <w:tcW w:w="6240" w:type="dxa"/>
            <w:vAlign w:val="bottom"/>
            <w:gridSpan w:val="5"/>
          </w:tcPr>
          <w:p>
            <w:pPr>
              <w:ind w:left="240"/>
              <w:spacing w:after="0"/>
              <w:rPr>
                <w:sz w:val="20"/>
                <w:szCs w:val="20"/>
                <w:color w:val="auto"/>
              </w:rPr>
            </w:pPr>
            <w:r>
              <w:rPr>
                <w:rFonts w:ascii="Arial" w:cs="Arial" w:eastAsia="Arial" w:hAnsi="Arial"/>
                <w:sz w:val="14"/>
                <w:szCs w:val="14"/>
                <w:color w:val="auto"/>
              </w:rPr>
              <w:t>Additional paid-in capital</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308,835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306,191</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4"/>
                <w:szCs w:val="14"/>
                <w:color w:val="auto"/>
              </w:rPr>
              <w:t>Earnings retained in the business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552,291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538,512</w:t>
            </w:r>
          </w:p>
        </w:tc>
        <w:tc>
          <w:tcPr>
            <w:tcW w:w="0" w:type="dxa"/>
            <w:vAlign w:val="bottom"/>
          </w:tcPr>
          <w:p>
            <w:pPr>
              <w:spacing w:after="0"/>
              <w:rPr>
                <w:sz w:val="1"/>
                <w:szCs w:val="1"/>
                <w:color w:val="auto"/>
              </w:rPr>
            </w:pPr>
          </w:p>
        </w:tc>
      </w:tr>
      <w:tr>
        <w:trPr>
          <w:trHeight w:val="211"/>
        </w:trPr>
        <w:tc>
          <w:tcPr>
            <w:tcW w:w="6240" w:type="dxa"/>
            <w:vAlign w:val="bottom"/>
            <w:gridSpan w:val="5"/>
          </w:tcPr>
          <w:p>
            <w:pPr>
              <w:ind w:left="240"/>
              <w:spacing w:after="0"/>
              <w:rPr>
                <w:sz w:val="20"/>
                <w:szCs w:val="20"/>
                <w:color w:val="auto"/>
              </w:rPr>
            </w:pPr>
            <w:r>
              <w:rPr>
                <w:rFonts w:ascii="Arial" w:cs="Arial" w:eastAsia="Arial" w:hAnsi="Arial"/>
                <w:sz w:val="14"/>
                <w:szCs w:val="14"/>
                <w:color w:val="auto"/>
              </w:rPr>
              <w:t>Treasury stock—2,435,203 and 2,626,276 shares, respectively of Class A nonvoting</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(65,255)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(69,797)</w:t>
            </w:r>
          </w:p>
        </w:tc>
        <w:tc>
          <w:tcPr>
            <w:tcW w:w="0" w:type="dxa"/>
            <w:vAlign w:val="bottom"/>
          </w:tcPr>
          <w:p>
            <w:pPr>
              <w:spacing w:after="0"/>
              <w:rPr>
                <w:sz w:val="1"/>
                <w:szCs w:val="1"/>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4"/>
                <w:szCs w:val="14"/>
                <w:color w:val="auto"/>
              </w:rPr>
              <w:t>Accumulated other comprehensive income</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70,132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56,063</w:t>
            </w:r>
          </w:p>
        </w:tc>
        <w:tc>
          <w:tcPr>
            <w:tcW w:w="0" w:type="dxa"/>
            <w:vAlign w:val="bottom"/>
          </w:tcPr>
          <w:p>
            <w:pPr>
              <w:spacing w:after="0"/>
              <w:rPr>
                <w:sz w:val="1"/>
                <w:szCs w:val="1"/>
                <w:color w:val="auto"/>
              </w:rPr>
            </w:pPr>
          </w:p>
        </w:tc>
      </w:tr>
      <w:tr>
        <w:trPr>
          <w:trHeight w:val="211"/>
        </w:trPr>
        <w:tc>
          <w:tcPr>
            <w:tcW w:w="6240" w:type="dxa"/>
            <w:vAlign w:val="bottom"/>
            <w:gridSpan w:val="5"/>
          </w:tcPr>
          <w:p>
            <w:pPr>
              <w:ind w:left="240"/>
              <w:spacing w:after="0"/>
              <w:rPr>
                <w:sz w:val="20"/>
                <w:szCs w:val="20"/>
                <w:color w:val="auto"/>
              </w:rPr>
            </w:pPr>
            <w:r>
              <w:rPr>
                <w:rFonts w:ascii="Arial" w:cs="Arial" w:eastAsia="Arial" w:hAnsi="Arial"/>
                <w:sz w:val="14"/>
                <w:szCs w:val="14"/>
                <w:color w:val="auto"/>
              </w:rPr>
              <w:t>Other</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30"/>
        </w:trPr>
        <w:tc>
          <w:tcPr>
            <w:tcW w:w="13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240" w:type="dxa"/>
            <w:vAlign w:val="bottom"/>
            <w:tcBorders>
              <w:bottom w:val="single" w:sz="8" w:color="CCEEFF"/>
            </w:tcBorders>
            <w:gridSpan w:val="5"/>
            <w:shd w:val="clear" w:color="auto" w:fill="CCEEFF"/>
          </w:tcPr>
          <w:p>
            <w:pPr>
              <w:ind w:left="440"/>
              <w:spacing w:after="0"/>
              <w:rPr>
                <w:sz w:val="20"/>
                <w:szCs w:val="20"/>
                <w:color w:val="auto"/>
              </w:rPr>
            </w:pPr>
            <w:r>
              <w:rPr>
                <w:rFonts w:ascii="Arial" w:cs="Arial" w:eastAsia="Arial" w:hAnsi="Arial"/>
                <w:sz w:val="14"/>
                <w:szCs w:val="14"/>
                <w:b w:val="1"/>
                <w:bCs w:val="1"/>
                <w:color w:val="auto"/>
              </w:rPr>
              <w:t>Total stockholders’ investment</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865,974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830,797</w:t>
            </w:r>
          </w:p>
        </w:tc>
        <w:tc>
          <w:tcPr>
            <w:tcW w:w="0" w:type="dxa"/>
            <w:vAlign w:val="bottom"/>
          </w:tcPr>
          <w:p>
            <w:pPr>
              <w:spacing w:after="0"/>
              <w:rPr>
                <w:sz w:val="1"/>
                <w:szCs w:val="1"/>
                <w:color w:val="auto"/>
              </w:rPr>
            </w:pPr>
          </w:p>
        </w:tc>
      </w:tr>
      <w:tr>
        <w:trPr>
          <w:trHeight w:val="213"/>
        </w:trPr>
        <w:tc>
          <w:tcPr>
            <w:tcW w:w="6240" w:type="dxa"/>
            <w:vAlign w:val="bottom"/>
            <w:gridSpan w:val="5"/>
          </w:tcPr>
          <w:p>
            <w:pPr>
              <w:ind w:left="2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1,484,360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1,438,683</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color w:val="auto"/>
              </w:rPr>
              <w:t>(Unaudited)</w:t>
            </w:r>
          </w:p>
        </w:tc>
        <w:tc>
          <w:tcPr>
            <w:tcW w:w="720" w:type="dxa"/>
            <w:vAlign w:val="bottom"/>
          </w:tcPr>
          <w:p>
            <w:pPr>
              <w:spacing w:after="0"/>
              <w:rPr>
                <w:sz w:val="15"/>
                <w:szCs w:val="15"/>
                <w:color w:val="auto"/>
              </w:rPr>
            </w:pPr>
          </w:p>
        </w:tc>
      </w:tr>
      <w:tr>
        <w:trPr>
          <w:trHeight w:val="30"/>
        </w:trPr>
        <w:tc>
          <w:tcPr>
            <w:tcW w:w="6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r>
      <w:tr>
        <w:trPr>
          <w:trHeight w:val="191"/>
        </w:trPr>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gridSpan w:val="4"/>
          </w:tcPr>
          <w:p>
            <w:pPr>
              <w:jc w:val="right"/>
              <w:ind w:right="88"/>
              <w:spacing w:after="0"/>
              <w:rPr>
                <w:sz w:val="20"/>
                <w:szCs w:val="20"/>
                <w:color w:val="auto"/>
              </w:rPr>
            </w:pPr>
            <w:r>
              <w:rPr>
                <w:rFonts w:ascii="Arial" w:cs="Arial" w:eastAsia="Arial" w:hAnsi="Arial"/>
                <w:sz w:val="14"/>
                <w:szCs w:val="14"/>
                <w:color w:val="auto"/>
                <w:w w:val="93"/>
              </w:rPr>
              <w:t>Three months ended October 31,</w:t>
            </w:r>
          </w:p>
        </w:tc>
      </w:tr>
      <w:tr>
        <w:trPr>
          <w:trHeight w:val="241"/>
        </w:trPr>
        <w:tc>
          <w:tcPr>
            <w:tcW w:w="6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328"/>
              <w:spacing w:after="0"/>
              <w:rPr>
                <w:sz w:val="20"/>
                <w:szCs w:val="20"/>
                <w:color w:val="auto"/>
              </w:rPr>
            </w:pPr>
            <w:r>
              <w:rPr>
                <w:rFonts w:ascii="Arial" w:cs="Arial" w:eastAsia="Arial" w:hAnsi="Arial"/>
                <w:sz w:val="14"/>
                <w:szCs w:val="14"/>
                <w:color w:val="auto"/>
              </w:rPr>
              <w:t>2013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ind w:right="328"/>
              <w:spacing w:after="0"/>
              <w:rPr>
                <w:sz w:val="20"/>
                <w:szCs w:val="20"/>
                <w:color w:val="auto"/>
              </w:rPr>
            </w:pPr>
            <w:r>
              <w:rPr>
                <w:rFonts w:ascii="Arial" w:cs="Arial" w:eastAsia="Arial" w:hAnsi="Arial"/>
                <w:sz w:val="14"/>
                <w:szCs w:val="14"/>
                <w:color w:val="auto"/>
                <w:w w:val="96"/>
              </w:rPr>
              <w:t>2012</w:t>
            </w:r>
          </w:p>
        </w:tc>
      </w:tr>
      <w:tr>
        <w:trPr>
          <w:trHeight w:val="30"/>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r>
      <w:tr>
        <w:trPr>
          <w:trHeight w:val="211"/>
        </w:trPr>
        <w:tc>
          <w:tcPr>
            <w:tcW w:w="6440" w:type="dxa"/>
            <w:vAlign w:val="bottom"/>
          </w:tcPr>
          <w:p>
            <w:pPr>
              <w:ind w:left="20"/>
              <w:spacing w:after="0"/>
              <w:rPr>
                <w:sz w:val="20"/>
                <w:szCs w:val="20"/>
                <w:color w:val="auto"/>
              </w:rPr>
            </w:pPr>
            <w:r>
              <w:rPr>
                <w:rFonts w:ascii="Arial" w:cs="Arial" w:eastAsia="Arial" w:hAnsi="Arial"/>
                <w:sz w:val="14"/>
                <w:szCs w:val="14"/>
                <w:color w:val="auto"/>
              </w:rPr>
              <w:t>Net earnings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23,928</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27,188</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10,878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10,675</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Non-cash portion of stock-based compensation expense</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2,600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4,399</w:t>
            </w:r>
          </w:p>
        </w:tc>
      </w:tr>
      <w:tr>
        <w:trPr>
          <w:trHeight w:val="211"/>
        </w:trPr>
        <w:tc>
          <w:tcPr>
            <w:tcW w:w="6440" w:type="dxa"/>
            <w:vAlign w:val="bottom"/>
          </w:tcPr>
          <w:p>
            <w:pPr>
              <w:ind w:left="240"/>
              <w:spacing w:after="0"/>
              <w:rPr>
                <w:sz w:val="20"/>
                <w:szCs w:val="20"/>
                <w:color w:val="auto"/>
              </w:rPr>
            </w:pPr>
            <w:r>
              <w:rPr>
                <w:rFonts w:ascii="Arial" w:cs="Arial" w:eastAsia="Arial" w:hAnsi="Arial"/>
                <w:sz w:val="14"/>
                <w:szCs w:val="14"/>
                <w:color w:val="auto"/>
              </w:rPr>
              <w:t>Loss (gain) on sales of businesses</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3,138</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Deferred income taxes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w:t>
            </w:r>
          </w:p>
        </w:tc>
      </w:tr>
      <w:tr>
        <w:trPr>
          <w:trHeight w:val="211"/>
        </w:trPr>
        <w:tc>
          <w:tcPr>
            <w:tcW w:w="644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 (net of effects of business acquisitions/divestitures):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Accounts receivable</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(18,551)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(18,426)</w:t>
            </w:r>
          </w:p>
        </w:tc>
      </w:tr>
      <w:tr>
        <w:trPr>
          <w:trHeight w:val="211"/>
        </w:trPr>
        <w:tc>
          <w:tcPr>
            <w:tcW w:w="6440" w:type="dxa"/>
            <w:vAlign w:val="bottom"/>
          </w:tcPr>
          <w:p>
            <w:pPr>
              <w:ind w:left="240"/>
              <w:spacing w:after="0"/>
              <w:rPr>
                <w:sz w:val="20"/>
                <w:szCs w:val="20"/>
                <w:color w:val="auto"/>
              </w:rPr>
            </w:pPr>
            <w:r>
              <w:rPr>
                <w:rFonts w:ascii="Arial" w:cs="Arial" w:eastAsia="Arial" w:hAnsi="Arial"/>
                <w:sz w:val="14"/>
                <w:szCs w:val="14"/>
                <w:color w:val="auto"/>
              </w:rPr>
              <w:t>Inventories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(12,461)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(8,141)</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Prepaid expenses and other assets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(5,372)</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(2,710)</w:t>
            </w:r>
          </w:p>
        </w:tc>
      </w:tr>
      <w:tr>
        <w:trPr>
          <w:trHeight w:val="211"/>
        </w:trPr>
        <w:tc>
          <w:tcPr>
            <w:tcW w:w="6440" w:type="dxa"/>
            <w:vAlign w:val="bottom"/>
          </w:tcPr>
          <w:p>
            <w:pPr>
              <w:ind w:left="240"/>
              <w:spacing w:after="0"/>
              <w:rPr>
                <w:sz w:val="20"/>
                <w:szCs w:val="20"/>
                <w:color w:val="auto"/>
              </w:rPr>
            </w:pPr>
            <w:r>
              <w:rPr>
                <w:rFonts w:ascii="Arial" w:cs="Arial" w:eastAsia="Arial" w:hAnsi="Arial"/>
                <w:sz w:val="14"/>
                <w:szCs w:val="14"/>
                <w:color w:val="auto"/>
              </w:rPr>
              <w:t>Accounts payable and accrued liabilities</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25,903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6,752</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1"/>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1,089</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(2,548)</w:t>
            </w:r>
          </w:p>
        </w:tc>
      </w:tr>
      <w:tr>
        <w:trPr>
          <w:trHeight w:val="191"/>
        </w:trPr>
        <w:tc>
          <w:tcPr>
            <w:tcW w:w="6440" w:type="dxa"/>
            <w:vAlign w:val="bottom"/>
          </w:tcPr>
          <w:p>
            <w:pPr>
              <w:ind w:left="440"/>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25,593</w:t>
            </w: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20,218</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3"/>
        </w:trPr>
        <w:tc>
          <w:tcPr>
            <w:tcW w:w="6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11"/>
        </w:trPr>
        <w:tc>
          <w:tcPr>
            <w:tcW w:w="644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Purchases of property, plant and equipment</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(9,086)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(6,177)</w:t>
            </w:r>
          </w:p>
        </w:tc>
      </w:tr>
      <w:tr>
        <w:trPr>
          <w:trHeight w:val="211"/>
        </w:trPr>
        <w:tc>
          <w:tcPr>
            <w:tcW w:w="6440" w:type="dxa"/>
            <w:vAlign w:val="bottom"/>
          </w:tcPr>
          <w:p>
            <w:pPr>
              <w:ind w:left="240"/>
              <w:spacing w:after="0"/>
              <w:rPr>
                <w:sz w:val="20"/>
                <w:szCs w:val="20"/>
                <w:color w:val="auto"/>
              </w:rPr>
            </w:pPr>
            <w:r>
              <w:rPr>
                <w:rFonts w:ascii="Arial" w:cs="Arial" w:eastAsia="Arial" w:hAnsi="Arial"/>
                <w:sz w:val="14"/>
                <w:szCs w:val="14"/>
                <w:color w:val="auto"/>
              </w:rPr>
              <w:t>Sales of businesses, net of cash retained</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10,178</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1"/>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191"/>
        </w:trPr>
        <w:tc>
          <w:tcPr>
            <w:tcW w:w="6440" w:type="dxa"/>
            <w:vAlign w:val="bottom"/>
          </w:tcPr>
          <w:p>
            <w:pPr>
              <w:ind w:left="440"/>
              <w:spacing w:after="0"/>
              <w:rPr>
                <w:sz w:val="20"/>
                <w:szCs w:val="20"/>
                <w:color w:val="auto"/>
              </w:rPr>
            </w:pPr>
            <w:r>
              <w:rPr>
                <w:rFonts w:ascii="Arial" w:cs="Arial" w:eastAsia="Arial" w:hAnsi="Arial"/>
                <w:sz w:val="14"/>
                <w:szCs w:val="14"/>
                <w:color w:val="auto"/>
              </w:rPr>
              <w:t>Net cash (used in) provided by investing activities</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(9,156)</w:t>
            </w: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3,931</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3"/>
        </w:trPr>
        <w:tc>
          <w:tcPr>
            <w:tcW w:w="6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11"/>
        </w:trPr>
        <w:tc>
          <w:tcPr>
            <w:tcW w:w="6440" w:type="dxa"/>
            <w:vAlign w:val="bottom"/>
          </w:tcPr>
          <w:p>
            <w:pPr>
              <w:ind w:left="20"/>
              <w:spacing w:after="0"/>
              <w:rPr>
                <w:sz w:val="20"/>
                <w:szCs w:val="20"/>
                <w:color w:val="auto"/>
              </w:rPr>
            </w:pPr>
            <w:r>
              <w:rPr>
                <w:rFonts w:ascii="Arial" w:cs="Arial" w:eastAsia="Arial" w:hAnsi="Arial"/>
                <w:sz w:val="14"/>
                <w:szCs w:val="14"/>
                <w:color w:val="auto"/>
              </w:rPr>
              <w:t>Financing Activities: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Payment of dividends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(10,149)</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(9,705)</w:t>
            </w:r>
          </w:p>
        </w:tc>
      </w:tr>
      <w:tr>
        <w:trPr>
          <w:trHeight w:val="211"/>
        </w:trPr>
        <w:tc>
          <w:tcPr>
            <w:tcW w:w="6440" w:type="dxa"/>
            <w:vAlign w:val="bottom"/>
          </w:tcPr>
          <w:p>
            <w:pPr>
              <w:ind w:left="240"/>
              <w:spacing w:after="0"/>
              <w:rPr>
                <w:sz w:val="20"/>
                <w:szCs w:val="20"/>
                <w:color w:val="auto"/>
              </w:rPr>
            </w:pPr>
            <w:r>
              <w:rPr>
                <w:rFonts w:ascii="Arial" w:cs="Arial" w:eastAsia="Arial" w:hAnsi="Arial"/>
                <w:sz w:val="14"/>
                <w:szCs w:val="14"/>
                <w:color w:val="auto"/>
              </w:rPr>
              <w:t>Proceeds from issuance of common stock</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5,209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1,684</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Purchase of treasury stock</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(5,121)</w:t>
            </w:r>
          </w:p>
        </w:tc>
      </w:tr>
      <w:tr>
        <w:trPr>
          <w:trHeight w:val="211"/>
        </w:trPr>
        <w:tc>
          <w:tcPr>
            <w:tcW w:w="6440" w:type="dxa"/>
            <w:vAlign w:val="bottom"/>
          </w:tcPr>
          <w:p>
            <w:pPr>
              <w:ind w:left="240"/>
              <w:spacing w:after="0"/>
              <w:rPr>
                <w:sz w:val="20"/>
                <w:szCs w:val="20"/>
                <w:color w:val="auto"/>
              </w:rPr>
            </w:pPr>
            <w:r>
              <w:rPr>
                <w:rFonts w:ascii="Arial" w:cs="Arial" w:eastAsia="Arial" w:hAnsi="Arial"/>
                <w:sz w:val="14"/>
                <w:szCs w:val="14"/>
                <w:color w:val="auto"/>
              </w:rPr>
              <w:t>Repayment of borrowing on notes payable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1"/>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Income tax on the exercise of stock options and deferred comp distributions, and other</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401</w:t>
            </w:r>
          </w:p>
        </w:tc>
      </w:tr>
      <w:tr>
        <w:trPr>
          <w:trHeight w:val="191"/>
        </w:trPr>
        <w:tc>
          <w:tcPr>
            <w:tcW w:w="6440" w:type="dxa"/>
            <w:vAlign w:val="bottom"/>
          </w:tcPr>
          <w:p>
            <w:pPr>
              <w:ind w:left="440"/>
              <w:spacing w:after="0"/>
              <w:rPr>
                <w:sz w:val="20"/>
                <w:szCs w:val="20"/>
                <w:color w:val="auto"/>
              </w:rPr>
            </w:pPr>
            <w:r>
              <w:rPr>
                <w:rFonts w:ascii="Arial" w:cs="Arial" w:eastAsia="Arial" w:hAnsi="Arial"/>
                <w:sz w:val="14"/>
                <w:szCs w:val="14"/>
                <w:color w:val="auto"/>
              </w:rPr>
              <w:t>Net cash used in financing activities</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(29,659)</w:t>
            </w: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(12,741)</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3"/>
        </w:trPr>
        <w:tc>
          <w:tcPr>
            <w:tcW w:w="6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11"/>
        </w:trPr>
        <w:tc>
          <w:tcPr>
            <w:tcW w:w="6440" w:type="dxa"/>
            <w:vAlign w:val="bottom"/>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4,033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4,001</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3"/>
        </w:trPr>
        <w:tc>
          <w:tcPr>
            <w:tcW w:w="6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11"/>
        </w:trPr>
        <w:tc>
          <w:tcPr>
            <w:tcW w:w="6440" w:type="dxa"/>
            <w:vAlign w:val="bottom"/>
          </w:tcPr>
          <w:p>
            <w:pPr>
              <w:ind w:left="20"/>
              <w:spacing w:after="0"/>
              <w:rPr>
                <w:sz w:val="20"/>
                <w:szCs w:val="20"/>
                <w:color w:val="auto"/>
              </w:rPr>
            </w:pPr>
            <w:r>
              <w:rPr>
                <w:rFonts w:ascii="Arial" w:cs="Arial" w:eastAsia="Arial" w:hAnsi="Arial"/>
                <w:sz w:val="14"/>
                <w:szCs w:val="14"/>
                <w:color w:val="auto"/>
              </w:rPr>
              <w:t>Net (decrease) increase in cash and cash equivalents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(9,189)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15,409</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91,058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305,900</w:t>
            </w:r>
          </w:p>
        </w:tc>
      </w:tr>
      <w:tr>
        <w:trPr>
          <w:trHeight w:val="245"/>
        </w:trPr>
        <w:tc>
          <w:tcPr>
            <w:tcW w:w="64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81,869</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321,309</w:t>
            </w:r>
          </w:p>
        </w:tc>
      </w:tr>
      <w:tr>
        <w:trPr>
          <w:trHeight w:val="20"/>
        </w:trPr>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7"/>
        </w:trPr>
        <w:tc>
          <w:tcPr>
            <w:tcW w:w="6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21"/>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Supplemental disclosures: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tcPr>
          <w:p>
            <w:pPr>
              <w:spacing w:after="0"/>
              <w:rPr>
                <w:sz w:val="20"/>
                <w:szCs w:val="20"/>
                <w:color w:val="auto"/>
              </w:rPr>
            </w:pPr>
            <w:r>
              <w:rPr>
                <w:rFonts w:ascii="Arial" w:cs="Arial" w:eastAsia="Arial" w:hAnsi="Arial"/>
                <w:sz w:val="14"/>
                <w:szCs w:val="14"/>
                <w:color w:val="auto"/>
              </w:rPr>
              <w:t>Cash paid during the period for:</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Interest, net of capitalized interest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4,151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4,953</w:t>
            </w:r>
          </w:p>
        </w:tc>
      </w:tr>
      <w:tr>
        <w:trPr>
          <w:trHeight w:val="211"/>
        </w:trPr>
        <w:tc>
          <w:tcPr>
            <w:tcW w:w="6440" w:type="dxa"/>
            <w:vAlign w:val="bottom"/>
          </w:tcPr>
          <w:p>
            <w:pPr>
              <w:ind w:left="340"/>
              <w:spacing w:after="0"/>
              <w:rPr>
                <w:sz w:val="20"/>
                <w:szCs w:val="20"/>
                <w:color w:val="auto"/>
              </w:rPr>
            </w:pPr>
            <w:r>
              <w:rPr>
                <w:rFonts w:ascii="Arial" w:cs="Arial" w:eastAsia="Arial" w:hAnsi="Arial"/>
                <w:sz w:val="14"/>
                <w:szCs w:val="14"/>
                <w:color w:val="auto"/>
              </w:rPr>
              <w:t>Income taxes, net of refunds</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10,006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12,199</w:t>
            </w:r>
          </w:p>
        </w:tc>
      </w:tr>
    </w:tbl>
    <w:p>
      <w:pPr>
        <w:sectPr>
          <w:pgSz w:w="11900" w:h="16838" w:orient="portrait"/>
          <w:cols w:equalWidth="0" w:num="1">
            <w:col w:w="10219"/>
          </w:cols>
          <w:pgMar w:left="240" w:top="537" w:right="1440"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INFORMATION</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4"/>
          </w:tcPr>
          <w:p>
            <w:pPr>
              <w:ind w:left="20"/>
              <w:spacing w:after="0"/>
              <w:rPr>
                <w:sz w:val="20"/>
                <w:szCs w:val="20"/>
                <w:color w:val="auto"/>
              </w:rPr>
            </w:pPr>
            <w:r>
              <w:rPr>
                <w:rFonts w:ascii="Arial" w:cs="Arial" w:eastAsia="Arial" w:hAnsi="Arial"/>
                <w:sz w:val="14"/>
                <w:szCs w:val="14"/>
                <w:color w:val="auto"/>
                <w:w w:val="97"/>
              </w:rPr>
              <w:t>Three months ended October 31,</w:t>
            </w:r>
          </w:p>
        </w:tc>
      </w:tr>
      <w:tr>
        <w:trPr>
          <w:trHeight w:val="30"/>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30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ind w:left="140"/>
              <w:spacing w:after="0"/>
              <w:rPr>
                <w:sz w:val="20"/>
                <w:szCs w:val="20"/>
                <w:color w:val="auto"/>
              </w:rPr>
            </w:pPr>
            <w:r>
              <w:rPr>
                <w:rFonts w:ascii="Arial" w:cs="Arial" w:eastAsia="Arial" w:hAnsi="Arial"/>
                <w:sz w:val="14"/>
                <w:szCs w:val="14"/>
                <w:color w:val="auto"/>
              </w:rPr>
              <w:t>2012</w:t>
            </w:r>
          </w:p>
        </w:tc>
      </w:tr>
      <w:tr>
        <w:trPr>
          <w:trHeight w:val="30"/>
        </w:trPr>
        <w:tc>
          <w:tcPr>
            <w:tcW w:w="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SALES TO EXTERNAL CUSTOMERS</w:t>
            </w:r>
          </w:p>
        </w:tc>
        <w:tc>
          <w:tcPr>
            <w:tcW w:w="39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6460" w:type="dxa"/>
            <w:vAlign w:val="bottom"/>
            <w:gridSpan w:val="2"/>
          </w:tcPr>
          <w:p>
            <w:pPr>
              <w:ind w:left="140"/>
              <w:spacing w:after="0"/>
              <w:rPr>
                <w:sz w:val="20"/>
                <w:szCs w:val="20"/>
                <w:color w:val="auto"/>
              </w:rPr>
            </w:pPr>
            <w:r>
              <w:rPr>
                <w:rFonts w:ascii="Arial" w:cs="Arial" w:eastAsia="Arial" w:hAnsi="Arial"/>
                <w:sz w:val="14"/>
                <w:szCs w:val="14"/>
                <w:color w:val="auto"/>
              </w:rPr>
              <w:t>ID Solutions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207,990</w:t>
            </w:r>
          </w:p>
        </w:tc>
        <w:tc>
          <w:tcPr>
            <w:tcW w:w="10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Pr>
          <w:p>
            <w:pPr>
              <w:ind w:left="140"/>
              <w:spacing w:after="0"/>
              <w:rPr>
                <w:sz w:val="20"/>
                <w:szCs w:val="20"/>
                <w:color w:val="auto"/>
              </w:rPr>
            </w:pPr>
            <w:r>
              <w:rPr>
                <w:rFonts w:ascii="Arial" w:cs="Arial" w:eastAsia="Arial" w:hAnsi="Arial"/>
                <w:sz w:val="14"/>
                <w:szCs w:val="14"/>
                <w:color w:val="auto"/>
              </w:rPr>
              <w:t>161,244</w:t>
            </w:r>
          </w:p>
        </w:tc>
      </w:tr>
      <w:tr>
        <w:trPr>
          <w:trHeight w:val="30"/>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6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Workplace Safety</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97,984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109,622</w:t>
            </w:r>
          </w:p>
        </w:tc>
      </w:tr>
      <w:tr>
        <w:trPr>
          <w:trHeight w:val="253"/>
        </w:trPr>
        <w:tc>
          <w:tcPr>
            <w:tcW w:w="20" w:type="dxa"/>
            <w:vAlign w:val="bottom"/>
            <w:tcBorders>
              <w:bottom w:val="single" w:sz="8" w:color="CCEEFF"/>
            </w:tcBorders>
          </w:tcPr>
          <w:p>
            <w:pPr>
              <w:spacing w:after="0"/>
              <w:rPr>
                <w:sz w:val="22"/>
                <w:szCs w:val="22"/>
                <w:color w:val="auto"/>
              </w:rPr>
            </w:pPr>
          </w:p>
        </w:tc>
        <w:tc>
          <w:tcPr>
            <w:tcW w:w="6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Total Company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305,974</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color w:val="auto"/>
              </w:rPr>
              <w:t>270,866</w:t>
            </w:r>
          </w:p>
        </w:tc>
      </w:tr>
      <w:tr>
        <w:trPr>
          <w:trHeight w:val="213"/>
        </w:trPr>
        <w:tc>
          <w:tcPr>
            <w:tcW w:w="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bl>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gridSpan w:val="5"/>
          </w:tcPr>
          <w:p>
            <w:pPr>
              <w:ind w:left="20"/>
              <w:spacing w:after="0"/>
              <w:rPr>
                <w:sz w:val="20"/>
                <w:szCs w:val="20"/>
                <w:color w:val="auto"/>
              </w:rPr>
            </w:pPr>
            <w:r>
              <w:rPr>
                <w:rFonts w:ascii="Arial" w:cs="Arial" w:eastAsia="Arial" w:hAnsi="Arial"/>
                <w:sz w:val="14"/>
                <w:szCs w:val="14"/>
                <w:b w:val="1"/>
                <w:bCs w:val="1"/>
                <w:color w:val="auto"/>
              </w:rPr>
              <w:t>SALES INFORMATION</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0"/>
        </w:trPr>
        <w:tc>
          <w:tcPr>
            <w:tcW w:w="20" w:type="dxa"/>
            <w:vAlign w:val="bottom"/>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420" w:type="dxa"/>
            <w:vAlign w:val="bottom"/>
          </w:tcPr>
          <w:p>
            <w:pPr>
              <w:spacing w:after="0"/>
              <w:rPr>
                <w:sz w:val="3"/>
                <w:szCs w:val="3"/>
                <w:color w:val="auto"/>
              </w:rPr>
            </w:pPr>
          </w:p>
        </w:tc>
        <w:tc>
          <w:tcPr>
            <w:tcW w:w="3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09"/>
        </w:trPr>
        <w:tc>
          <w:tcPr>
            <w:tcW w:w="64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ID Solutions</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460" w:type="dxa"/>
            <w:vAlign w:val="bottom"/>
            <w:gridSpan w:val="4"/>
          </w:tcPr>
          <w:p>
            <w:pPr>
              <w:ind w:left="140"/>
              <w:spacing w:after="0"/>
              <w:rPr>
                <w:sz w:val="20"/>
                <w:szCs w:val="20"/>
                <w:color w:val="auto"/>
              </w:rPr>
            </w:pPr>
            <w:r>
              <w:rPr>
                <w:rFonts w:ascii="Arial" w:cs="Arial" w:eastAsia="Arial" w:hAnsi="Arial"/>
                <w:sz w:val="14"/>
                <w:szCs w:val="14"/>
                <w:color w:val="auto"/>
              </w:rPr>
              <w:t>Organic</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0.4 %</w:t>
            </w:r>
          </w:p>
        </w:tc>
      </w:tr>
      <w:tr>
        <w:trPr>
          <w:trHeight w:val="30"/>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20" w:type="dxa"/>
            <w:vAlign w:val="bottom"/>
            <w:tcBorders>
              <w:bottom w:val="single" w:sz="8" w:color="CCEEFF"/>
            </w:tcBorders>
            <w:shd w:val="clear" w:color="auto" w:fill="CCEEFF"/>
          </w:tcPr>
          <w:p>
            <w:pPr>
              <w:spacing w:after="0"/>
              <w:rPr>
                <w:sz w:val="19"/>
                <w:szCs w:val="19"/>
                <w:color w:val="auto"/>
              </w:rPr>
            </w:pPr>
          </w:p>
        </w:tc>
        <w:tc>
          <w:tcPr>
            <w:tcW w:w="64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4"/>
                <w:szCs w:val="14"/>
                <w:color w:val="auto"/>
              </w:rPr>
              <w:t>Currency</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211"/>
        </w:trPr>
        <w:tc>
          <w:tcPr>
            <w:tcW w:w="20" w:type="dxa"/>
            <w:vAlign w:val="bottom"/>
          </w:tcPr>
          <w:p>
            <w:pPr>
              <w:spacing w:after="0"/>
              <w:rPr>
                <w:sz w:val="18"/>
                <w:szCs w:val="18"/>
                <w:color w:val="auto"/>
              </w:rPr>
            </w:pPr>
          </w:p>
        </w:tc>
        <w:tc>
          <w:tcPr>
            <w:tcW w:w="6460" w:type="dxa"/>
            <w:vAlign w:val="bottom"/>
            <w:gridSpan w:val="4"/>
          </w:tcPr>
          <w:p>
            <w:pPr>
              <w:ind w:left="140"/>
              <w:spacing w:after="0"/>
              <w:rPr>
                <w:sz w:val="20"/>
                <w:szCs w:val="20"/>
                <w:color w:val="auto"/>
              </w:rPr>
            </w:pPr>
            <w:r>
              <w:rPr>
                <w:rFonts w:ascii="Arial" w:cs="Arial" w:eastAsia="Arial" w:hAnsi="Arial"/>
                <w:sz w:val="14"/>
                <w:szCs w:val="14"/>
                <w:color w:val="auto"/>
              </w:rPr>
              <w:t>Acquisitions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26.2 %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0.4 %</w:t>
            </w:r>
          </w:p>
        </w:tc>
      </w:tr>
      <w:tr>
        <w:trPr>
          <w:trHeight w:val="30"/>
        </w:trPr>
        <w:tc>
          <w:tcPr>
            <w:tcW w:w="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3"/>
        </w:trPr>
        <w:tc>
          <w:tcPr>
            <w:tcW w:w="20" w:type="dxa"/>
            <w:vAlign w:val="bottom"/>
            <w:tcBorders>
              <w:bottom w:val="single" w:sz="8" w:color="CCEEFF"/>
            </w:tcBorders>
            <w:shd w:val="clear" w:color="auto" w:fill="CCEEFF"/>
          </w:tcPr>
          <w:p>
            <w:pPr>
              <w:spacing w:after="0"/>
              <w:rPr>
                <w:sz w:val="18"/>
                <w:szCs w:val="18"/>
                <w:color w:val="auto"/>
              </w:rPr>
            </w:pPr>
          </w:p>
        </w:tc>
        <w:tc>
          <w:tcPr>
            <w:tcW w:w="64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29.0 %</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9"/>
        </w:trPr>
        <w:tc>
          <w:tcPr>
            <w:tcW w:w="64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Workplace Safety</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460" w:type="dxa"/>
            <w:vAlign w:val="bottom"/>
            <w:gridSpan w:val="4"/>
          </w:tcPr>
          <w:p>
            <w:pPr>
              <w:ind w:left="140"/>
              <w:spacing w:after="0"/>
              <w:rPr>
                <w:sz w:val="20"/>
                <w:szCs w:val="20"/>
                <w:color w:val="auto"/>
              </w:rPr>
            </w:pPr>
            <w:r>
              <w:rPr>
                <w:rFonts w:ascii="Arial" w:cs="Arial" w:eastAsia="Arial" w:hAnsi="Arial"/>
                <w:sz w:val="14"/>
                <w:szCs w:val="14"/>
                <w:color w:val="auto"/>
              </w:rPr>
              <w:t>Organic</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30"/>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20" w:type="dxa"/>
            <w:vAlign w:val="bottom"/>
            <w:tcBorders>
              <w:bottom w:val="single" w:sz="8" w:color="CCEEFF"/>
            </w:tcBorders>
            <w:shd w:val="clear" w:color="auto" w:fill="CCEEFF"/>
          </w:tcPr>
          <w:p>
            <w:pPr>
              <w:spacing w:after="0"/>
              <w:rPr>
                <w:sz w:val="19"/>
                <w:szCs w:val="19"/>
                <w:color w:val="auto"/>
              </w:rPr>
            </w:pPr>
          </w:p>
        </w:tc>
        <w:tc>
          <w:tcPr>
            <w:tcW w:w="64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4"/>
                <w:szCs w:val="14"/>
                <w:color w:val="auto"/>
              </w:rPr>
              <w:t>Currency</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211"/>
        </w:trPr>
        <w:tc>
          <w:tcPr>
            <w:tcW w:w="20" w:type="dxa"/>
            <w:vAlign w:val="bottom"/>
          </w:tcPr>
          <w:p>
            <w:pPr>
              <w:spacing w:after="0"/>
              <w:rPr>
                <w:sz w:val="18"/>
                <w:szCs w:val="18"/>
                <w:color w:val="auto"/>
              </w:rPr>
            </w:pPr>
          </w:p>
        </w:tc>
        <w:tc>
          <w:tcPr>
            <w:tcW w:w="6460" w:type="dxa"/>
            <w:vAlign w:val="bottom"/>
            <w:gridSpan w:val="4"/>
          </w:tcPr>
          <w:p>
            <w:pPr>
              <w:ind w:left="140"/>
              <w:spacing w:after="0"/>
              <w:rPr>
                <w:sz w:val="20"/>
                <w:szCs w:val="20"/>
                <w:color w:val="auto"/>
              </w:rPr>
            </w:pPr>
            <w:r>
              <w:rPr>
                <w:rFonts w:ascii="Arial" w:cs="Arial" w:eastAsia="Arial" w:hAnsi="Arial"/>
                <w:sz w:val="14"/>
                <w:szCs w:val="14"/>
                <w:color w:val="auto"/>
              </w:rPr>
              <w:t>Acquisitions</w:t>
            </w:r>
          </w:p>
        </w:tc>
        <w:tc>
          <w:tcPr>
            <w:tcW w:w="1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5.8 %</w:t>
            </w:r>
          </w:p>
        </w:tc>
      </w:tr>
      <w:tr>
        <w:trPr>
          <w:trHeight w:val="30"/>
        </w:trPr>
        <w:tc>
          <w:tcPr>
            <w:tcW w:w="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3"/>
        </w:trPr>
        <w:tc>
          <w:tcPr>
            <w:tcW w:w="20" w:type="dxa"/>
            <w:vAlign w:val="bottom"/>
            <w:tcBorders>
              <w:bottom w:val="single" w:sz="8" w:color="CCEEFF"/>
            </w:tcBorders>
            <w:shd w:val="clear" w:color="auto" w:fill="CCEEFF"/>
          </w:tcPr>
          <w:p>
            <w:pPr>
              <w:spacing w:after="0"/>
              <w:rPr>
                <w:sz w:val="18"/>
                <w:szCs w:val="18"/>
                <w:color w:val="auto"/>
              </w:rPr>
            </w:pPr>
          </w:p>
        </w:tc>
        <w:tc>
          <w:tcPr>
            <w:tcW w:w="64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0.2 %</w:t>
            </w: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9"/>
        </w:trPr>
        <w:tc>
          <w:tcPr>
            <w:tcW w:w="64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Total Company</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460" w:type="dxa"/>
            <w:vAlign w:val="bottom"/>
            <w:gridSpan w:val="4"/>
          </w:tcPr>
          <w:p>
            <w:pPr>
              <w:ind w:left="140"/>
              <w:spacing w:after="0"/>
              <w:rPr>
                <w:sz w:val="20"/>
                <w:szCs w:val="20"/>
                <w:color w:val="auto"/>
              </w:rPr>
            </w:pPr>
            <w:r>
              <w:rPr>
                <w:rFonts w:ascii="Arial" w:cs="Arial" w:eastAsia="Arial" w:hAnsi="Arial"/>
                <w:sz w:val="14"/>
                <w:szCs w:val="14"/>
                <w:color w:val="auto"/>
              </w:rPr>
              <w:t>Organic</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30"/>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20" w:type="dxa"/>
            <w:vAlign w:val="bottom"/>
            <w:tcBorders>
              <w:bottom w:val="single" w:sz="8" w:color="CCEEFF"/>
            </w:tcBorders>
            <w:shd w:val="clear" w:color="auto" w:fill="CCEEFF"/>
          </w:tcPr>
          <w:p>
            <w:pPr>
              <w:spacing w:after="0"/>
              <w:rPr>
                <w:sz w:val="19"/>
                <w:szCs w:val="19"/>
                <w:color w:val="auto"/>
              </w:rPr>
            </w:pPr>
          </w:p>
        </w:tc>
        <w:tc>
          <w:tcPr>
            <w:tcW w:w="64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4"/>
                <w:szCs w:val="14"/>
                <w:color w:val="auto"/>
              </w:rPr>
              <w:t>Currency</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211"/>
        </w:trPr>
        <w:tc>
          <w:tcPr>
            <w:tcW w:w="20" w:type="dxa"/>
            <w:vAlign w:val="bottom"/>
          </w:tcPr>
          <w:p>
            <w:pPr>
              <w:spacing w:after="0"/>
              <w:rPr>
                <w:sz w:val="18"/>
                <w:szCs w:val="18"/>
                <w:color w:val="auto"/>
              </w:rPr>
            </w:pPr>
          </w:p>
        </w:tc>
        <w:tc>
          <w:tcPr>
            <w:tcW w:w="6460" w:type="dxa"/>
            <w:vAlign w:val="bottom"/>
            <w:gridSpan w:val="4"/>
          </w:tcPr>
          <w:p>
            <w:pPr>
              <w:ind w:left="140"/>
              <w:spacing w:after="0"/>
              <w:rPr>
                <w:sz w:val="20"/>
                <w:szCs w:val="20"/>
                <w:color w:val="auto"/>
              </w:rPr>
            </w:pPr>
            <w:r>
              <w:rPr>
                <w:rFonts w:ascii="Arial" w:cs="Arial" w:eastAsia="Arial" w:hAnsi="Arial"/>
                <w:sz w:val="14"/>
                <w:szCs w:val="14"/>
                <w:color w:val="auto"/>
              </w:rPr>
              <w:t>Acquisitions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15.6 %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2.6 %</w:t>
            </w:r>
          </w:p>
        </w:tc>
      </w:tr>
      <w:tr>
        <w:trPr>
          <w:trHeight w:val="30"/>
        </w:trPr>
        <w:tc>
          <w:tcPr>
            <w:tcW w:w="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3"/>
        </w:trPr>
        <w:tc>
          <w:tcPr>
            <w:tcW w:w="20" w:type="dxa"/>
            <w:vAlign w:val="bottom"/>
            <w:tcBorders>
              <w:bottom w:val="single" w:sz="8" w:color="CCEEFF"/>
            </w:tcBorders>
            <w:shd w:val="clear" w:color="auto" w:fill="CCEEFF"/>
          </w:tcPr>
          <w:p>
            <w:pPr>
              <w:spacing w:after="0"/>
              <w:rPr>
                <w:sz w:val="18"/>
                <w:szCs w:val="18"/>
                <w:color w:val="auto"/>
              </w:rPr>
            </w:pPr>
          </w:p>
        </w:tc>
        <w:tc>
          <w:tcPr>
            <w:tcW w:w="64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13.0 %</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9"/>
        </w:trPr>
        <w:tc>
          <w:tcPr>
            <w:tcW w:w="20" w:type="dxa"/>
            <w:vAlign w:val="bottom"/>
            <w:shd w:val="clear" w:color="auto" w:fill="CCEEFF"/>
          </w:tcPr>
          <w:p>
            <w:pPr>
              <w:spacing w:after="0"/>
              <w:rPr>
                <w:sz w:val="18"/>
                <w:szCs w:val="18"/>
                <w:color w:val="auto"/>
              </w:rPr>
            </w:pPr>
          </w:p>
        </w:tc>
        <w:tc>
          <w:tcPr>
            <w:tcW w:w="646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SEGMENT PROFIT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1"/>
        </w:trPr>
        <w:tc>
          <w:tcPr>
            <w:tcW w:w="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ID Solutions</w:t>
            </w:r>
          </w:p>
        </w:tc>
        <w:tc>
          <w:tcPr>
            <w:tcW w:w="5160" w:type="dxa"/>
            <w:vAlign w:val="bottom"/>
            <w:tcBorders>
              <w:top w:val="single" w:sz="8" w:color="CCEEFF"/>
            </w:tcBorders>
            <w:gridSpan w:val="3"/>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CCEEFF"/>
            </w:tcBorders>
          </w:tcPr>
          <w:p>
            <w:pPr>
              <w:jc w:val="right"/>
              <w:ind w:right="128"/>
              <w:spacing w:after="0"/>
              <w:rPr>
                <w:sz w:val="20"/>
                <w:szCs w:val="20"/>
                <w:color w:val="auto"/>
              </w:rPr>
            </w:pPr>
            <w:r>
              <w:rPr>
                <w:rFonts w:ascii="Arial" w:cs="Arial" w:eastAsia="Arial" w:hAnsi="Arial"/>
                <w:sz w:val="14"/>
                <w:szCs w:val="14"/>
                <w:color w:val="auto"/>
              </w:rPr>
              <w:t>50,110</w:t>
            </w: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CCEEFF"/>
            </w:tcBorders>
          </w:tcPr>
          <w:p>
            <w:pPr>
              <w:jc w:val="right"/>
              <w:ind w:right="128"/>
              <w:spacing w:after="0"/>
              <w:rPr>
                <w:sz w:val="20"/>
                <w:szCs w:val="20"/>
                <w:color w:val="auto"/>
              </w:rPr>
            </w:pPr>
            <w:r>
              <w:rPr>
                <w:rFonts w:ascii="Arial" w:cs="Arial" w:eastAsia="Arial" w:hAnsi="Arial"/>
                <w:sz w:val="14"/>
                <w:szCs w:val="14"/>
                <w:color w:val="auto"/>
              </w:rPr>
              <w:t>43,973</w:t>
            </w:r>
          </w:p>
        </w:tc>
      </w:tr>
      <w:tr>
        <w:trPr>
          <w:trHeight w:val="30"/>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64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4"/>
                <w:szCs w:val="14"/>
                <w:color w:val="auto"/>
              </w:rPr>
              <w:t>Workplace Safety</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18,374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27,829</w:t>
            </w:r>
          </w:p>
        </w:tc>
      </w:tr>
      <w:tr>
        <w:trPr>
          <w:trHeight w:val="253"/>
        </w:trPr>
        <w:tc>
          <w:tcPr>
            <w:tcW w:w="20" w:type="dxa"/>
            <w:vAlign w:val="bottom"/>
            <w:tcBorders>
              <w:bottom w:val="single" w:sz="8" w:color="CCEEFF"/>
            </w:tcBorders>
          </w:tcPr>
          <w:p>
            <w:pPr>
              <w:spacing w:after="0"/>
              <w:rPr>
                <w:sz w:val="22"/>
                <w:szCs w:val="22"/>
                <w:color w:val="auto"/>
              </w:rPr>
            </w:pPr>
          </w:p>
        </w:tc>
        <w:tc>
          <w:tcPr>
            <w:tcW w:w="6460" w:type="dxa"/>
            <w:vAlign w:val="bottom"/>
            <w:tcBorders>
              <w:bottom w:val="single" w:sz="8" w:color="CCEEFF"/>
            </w:tcBorders>
            <w:gridSpan w:val="4"/>
          </w:tcPr>
          <w:p>
            <w:pPr>
              <w:ind w:left="140"/>
              <w:spacing w:after="0"/>
              <w:rPr>
                <w:sz w:val="20"/>
                <w:szCs w:val="20"/>
                <w:color w:val="auto"/>
              </w:rPr>
            </w:pPr>
            <w:r>
              <w:rPr>
                <w:rFonts w:ascii="Arial" w:cs="Arial" w:eastAsia="Arial" w:hAnsi="Arial"/>
                <w:sz w:val="14"/>
                <w:szCs w:val="14"/>
                <w:color w:val="auto"/>
              </w:rPr>
              <w:t>Total Company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68,484</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71,802</w:t>
            </w:r>
          </w:p>
        </w:tc>
      </w:tr>
      <w:tr>
        <w:trPr>
          <w:trHeight w:val="213"/>
        </w:trPr>
        <w:tc>
          <w:tcPr>
            <w:tcW w:w="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169"/>
        </w:trPr>
        <w:tc>
          <w:tcPr>
            <w:tcW w:w="6480" w:type="dxa"/>
            <w:vAlign w:val="bottom"/>
            <w:gridSpan w:val="5"/>
          </w:tcPr>
          <w:p>
            <w:pPr>
              <w:ind w:left="20"/>
              <w:spacing w:after="0"/>
              <w:rPr>
                <w:sz w:val="20"/>
                <w:szCs w:val="20"/>
                <w:color w:val="auto"/>
              </w:rPr>
            </w:pPr>
            <w:r>
              <w:rPr>
                <w:rFonts w:ascii="Arial" w:cs="Arial" w:eastAsia="Arial" w:hAnsi="Arial"/>
                <w:sz w:val="14"/>
                <w:szCs w:val="14"/>
                <w:b w:val="1"/>
                <w:bCs w:val="1"/>
                <w:color w:val="auto"/>
              </w:rPr>
              <w:t>SEGMENT PROFIT AS PERCENT OF SALES</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0"/>
        </w:trPr>
        <w:tc>
          <w:tcPr>
            <w:tcW w:w="20" w:type="dxa"/>
            <w:vAlign w:val="bottom"/>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3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21"/>
        </w:trPr>
        <w:tc>
          <w:tcPr>
            <w:tcW w:w="20" w:type="dxa"/>
            <w:vAlign w:val="bottom"/>
            <w:tcBorders>
              <w:bottom w:val="single" w:sz="8" w:color="CCEEFF"/>
            </w:tcBorders>
            <w:shd w:val="clear" w:color="auto" w:fill="CCEEFF"/>
          </w:tcPr>
          <w:p>
            <w:pPr>
              <w:spacing w:after="0"/>
              <w:rPr>
                <w:sz w:val="19"/>
                <w:szCs w:val="19"/>
                <w:color w:val="auto"/>
              </w:rPr>
            </w:pPr>
          </w:p>
        </w:tc>
        <w:tc>
          <w:tcPr>
            <w:tcW w:w="64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4"/>
                <w:szCs w:val="14"/>
                <w:color w:val="auto"/>
              </w:rPr>
              <w:t>ID Solutions</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24.1 %</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27.3 %</w:t>
            </w:r>
          </w:p>
        </w:tc>
      </w:tr>
      <w:tr>
        <w:trPr>
          <w:trHeight w:val="211"/>
        </w:trPr>
        <w:tc>
          <w:tcPr>
            <w:tcW w:w="20" w:type="dxa"/>
            <w:vAlign w:val="bottom"/>
          </w:tcPr>
          <w:p>
            <w:pPr>
              <w:spacing w:after="0"/>
              <w:rPr>
                <w:sz w:val="18"/>
                <w:szCs w:val="18"/>
                <w:color w:val="auto"/>
              </w:rPr>
            </w:pPr>
          </w:p>
        </w:tc>
        <w:tc>
          <w:tcPr>
            <w:tcW w:w="6460" w:type="dxa"/>
            <w:vAlign w:val="bottom"/>
            <w:gridSpan w:val="4"/>
          </w:tcPr>
          <w:p>
            <w:pPr>
              <w:ind w:left="140"/>
              <w:spacing w:after="0"/>
              <w:rPr>
                <w:sz w:val="20"/>
                <w:szCs w:val="20"/>
                <w:color w:val="auto"/>
              </w:rPr>
            </w:pPr>
            <w:r>
              <w:rPr>
                <w:rFonts w:ascii="Arial" w:cs="Arial" w:eastAsia="Arial" w:hAnsi="Arial"/>
                <w:sz w:val="14"/>
                <w:szCs w:val="14"/>
                <w:color w:val="auto"/>
              </w:rPr>
              <w:t>Workplace Safety</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18.8 %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25.4 %</w:t>
            </w:r>
          </w:p>
        </w:tc>
      </w:tr>
      <w:tr>
        <w:trPr>
          <w:trHeight w:val="30"/>
        </w:trPr>
        <w:tc>
          <w:tcPr>
            <w:tcW w:w="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3"/>
        </w:trPr>
        <w:tc>
          <w:tcPr>
            <w:tcW w:w="20" w:type="dxa"/>
            <w:vAlign w:val="bottom"/>
            <w:tcBorders>
              <w:bottom w:val="single" w:sz="8" w:color="CCEEFF"/>
            </w:tcBorders>
            <w:shd w:val="clear" w:color="auto" w:fill="CCEEFF"/>
          </w:tcPr>
          <w:p>
            <w:pPr>
              <w:spacing w:after="0"/>
              <w:rPr>
                <w:sz w:val="18"/>
                <w:szCs w:val="18"/>
                <w:color w:val="auto"/>
              </w:rPr>
            </w:pPr>
          </w:p>
        </w:tc>
        <w:tc>
          <w:tcPr>
            <w:tcW w:w="64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4"/>
                <w:szCs w:val="14"/>
                <w:color w:val="auto"/>
              </w:rPr>
              <w:t>Total Company</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22.4 %</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26.5 %</w:t>
            </w: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r>
      <w:tr>
        <w:trPr>
          <w:trHeight w:val="497"/>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4"/>
          </w:tcPr>
          <w:p>
            <w:pPr>
              <w:jc w:val="right"/>
              <w:ind w:right="68"/>
              <w:spacing w:after="0"/>
              <w:rPr>
                <w:sz w:val="20"/>
                <w:szCs w:val="20"/>
                <w:color w:val="auto"/>
              </w:rPr>
            </w:pPr>
            <w:r>
              <w:rPr>
                <w:rFonts w:ascii="Arial" w:cs="Arial" w:eastAsia="Arial" w:hAnsi="Arial"/>
                <w:sz w:val="14"/>
                <w:szCs w:val="14"/>
                <w:color w:val="auto"/>
                <w:w w:val="92"/>
              </w:rPr>
              <w:t>Three months ended October 31,</w:t>
            </w:r>
          </w:p>
        </w:tc>
      </w:tr>
      <w:tr>
        <w:trPr>
          <w:trHeight w:val="30"/>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3"/>
        </w:trPr>
        <w:tc>
          <w:tcPr>
            <w:tcW w:w="6480" w:type="dxa"/>
            <w:vAlign w:val="bottom"/>
            <w:gridSpan w:val="5"/>
          </w:tcPr>
          <w:p>
            <w:pPr>
              <w:ind w:left="20"/>
              <w:spacing w:after="0"/>
              <w:rPr>
                <w:sz w:val="20"/>
                <w:szCs w:val="20"/>
                <w:color w:val="auto"/>
              </w:rPr>
            </w:pPr>
            <w:r>
              <w:rPr>
                <w:rFonts w:ascii="Arial" w:cs="Arial" w:eastAsia="Arial" w:hAnsi="Arial"/>
                <w:sz w:val="14"/>
                <w:szCs w:val="14"/>
                <w:color w:val="auto"/>
              </w:rPr>
              <w:t>(Dollars in Thousands)</w:t>
            </w:r>
          </w:p>
        </w:tc>
        <w:tc>
          <w:tcPr>
            <w:tcW w:w="140" w:type="dxa"/>
            <w:vAlign w:val="bottom"/>
          </w:tcPr>
          <w:p>
            <w:pPr>
              <w:spacing w:after="0"/>
              <w:rPr>
                <w:sz w:val="17"/>
                <w:szCs w:val="17"/>
                <w:color w:val="auto"/>
              </w:rPr>
            </w:pPr>
          </w:p>
        </w:tc>
        <w:tc>
          <w:tcPr>
            <w:tcW w:w="920" w:type="dxa"/>
            <w:vAlign w:val="bottom"/>
          </w:tcPr>
          <w:p>
            <w:pPr>
              <w:jc w:val="right"/>
              <w:ind w:right="30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2012</w:t>
            </w:r>
          </w:p>
        </w:tc>
      </w:tr>
      <w:tr>
        <w:trPr>
          <w:trHeight w:val="30"/>
        </w:trPr>
        <w:tc>
          <w:tcPr>
            <w:tcW w:w="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1"/>
        </w:trPr>
        <w:tc>
          <w:tcPr>
            <w:tcW w:w="64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color w:val="auto"/>
              </w:rPr>
              <w:t>Total segment profit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68,484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71,802</w:t>
            </w:r>
          </w:p>
        </w:tc>
      </w:tr>
      <w:tr>
        <w:trPr>
          <w:trHeight w:val="211"/>
        </w:trPr>
        <w:tc>
          <w:tcPr>
            <w:tcW w:w="6480" w:type="dxa"/>
            <w:vAlign w:val="bottom"/>
            <w:gridSpan w:val="5"/>
          </w:tcPr>
          <w:p>
            <w:pPr>
              <w:ind w:left="20"/>
              <w:spacing w:after="0"/>
              <w:rPr>
                <w:sz w:val="20"/>
                <w:szCs w:val="20"/>
                <w:color w:val="auto"/>
              </w:rPr>
            </w:pPr>
            <w:r>
              <w:rPr>
                <w:rFonts w:ascii="Arial" w:cs="Arial" w:eastAsia="Arial" w:hAnsi="Arial"/>
                <w:sz w:val="14"/>
                <w:szCs w:val="14"/>
                <w:color w:val="auto"/>
              </w:rPr>
              <w:t>Unallocated Amounts: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0"/>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20" w:type="dxa"/>
            <w:vAlign w:val="bottom"/>
            <w:tcBorders>
              <w:bottom w:val="single" w:sz="8" w:color="CCEEFF"/>
            </w:tcBorders>
            <w:shd w:val="clear" w:color="auto" w:fill="CCEEFF"/>
          </w:tcPr>
          <w:p>
            <w:pPr>
              <w:spacing w:after="0"/>
              <w:rPr>
                <w:sz w:val="19"/>
                <w:szCs w:val="19"/>
                <w:color w:val="auto"/>
              </w:rPr>
            </w:pPr>
          </w:p>
        </w:tc>
        <w:tc>
          <w:tcPr>
            <w:tcW w:w="64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4"/>
                <w:szCs w:val="14"/>
                <w:color w:val="auto"/>
              </w:rPr>
              <w:t>Administrative costs</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(32,813)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(29,174)</w:t>
            </w:r>
          </w:p>
        </w:tc>
      </w:tr>
      <w:tr>
        <w:trPr>
          <w:trHeight w:val="211"/>
        </w:trPr>
        <w:tc>
          <w:tcPr>
            <w:tcW w:w="20" w:type="dxa"/>
            <w:vAlign w:val="bottom"/>
          </w:tcPr>
          <w:p>
            <w:pPr>
              <w:spacing w:after="0"/>
              <w:rPr>
                <w:sz w:val="18"/>
                <w:szCs w:val="18"/>
                <w:color w:val="auto"/>
              </w:rPr>
            </w:pPr>
          </w:p>
        </w:tc>
        <w:tc>
          <w:tcPr>
            <w:tcW w:w="6460" w:type="dxa"/>
            <w:vAlign w:val="bottom"/>
            <w:gridSpan w:val="4"/>
          </w:tcPr>
          <w:p>
            <w:pPr>
              <w:ind w:left="140"/>
              <w:spacing w:after="0"/>
              <w:rPr>
                <w:sz w:val="20"/>
                <w:szCs w:val="20"/>
                <w:color w:val="auto"/>
              </w:rPr>
            </w:pPr>
            <w:r>
              <w:rPr>
                <w:rFonts w:ascii="Arial" w:cs="Arial" w:eastAsia="Arial" w:hAnsi="Arial"/>
                <w:sz w:val="14"/>
                <w:szCs w:val="14"/>
                <w:color w:val="auto"/>
              </w:rPr>
              <w:t>Restructuring charges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(6,840)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0"/>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20" w:type="dxa"/>
            <w:vAlign w:val="bottom"/>
            <w:tcBorders>
              <w:bottom w:val="single" w:sz="8" w:color="CCEEFF"/>
            </w:tcBorders>
            <w:shd w:val="clear" w:color="auto" w:fill="CCEEFF"/>
          </w:tcPr>
          <w:p>
            <w:pPr>
              <w:spacing w:after="0"/>
              <w:rPr>
                <w:sz w:val="19"/>
                <w:szCs w:val="19"/>
                <w:color w:val="auto"/>
              </w:rPr>
            </w:pPr>
          </w:p>
        </w:tc>
        <w:tc>
          <w:tcPr>
            <w:tcW w:w="64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4"/>
                <w:szCs w:val="14"/>
                <w:color w:val="auto"/>
              </w:rPr>
              <w:t>Investment and other income</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762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397</w:t>
            </w:r>
          </w:p>
        </w:tc>
      </w:tr>
      <w:tr>
        <w:trPr>
          <w:trHeight w:val="211"/>
        </w:trPr>
        <w:tc>
          <w:tcPr>
            <w:tcW w:w="20" w:type="dxa"/>
            <w:vAlign w:val="bottom"/>
          </w:tcPr>
          <w:p>
            <w:pPr>
              <w:spacing w:after="0"/>
              <w:rPr>
                <w:sz w:val="18"/>
                <w:szCs w:val="18"/>
                <w:color w:val="auto"/>
              </w:rPr>
            </w:pPr>
          </w:p>
        </w:tc>
        <w:tc>
          <w:tcPr>
            <w:tcW w:w="6460" w:type="dxa"/>
            <w:vAlign w:val="bottom"/>
            <w:gridSpan w:val="4"/>
          </w:tcPr>
          <w:p>
            <w:pPr>
              <w:ind w:left="140"/>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(4,163)</w:t>
            </w:r>
          </w:p>
        </w:tc>
      </w:tr>
      <w:tr>
        <w:trPr>
          <w:trHeight w:val="30"/>
        </w:trPr>
        <w:tc>
          <w:tcPr>
            <w:tcW w:w="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3"/>
        </w:trPr>
        <w:tc>
          <w:tcPr>
            <w:tcW w:w="64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color w:val="auto"/>
              </w:rPr>
              <w:t>Earnings from continuing operations before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25,872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38,862</w:t>
            </w: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color w:val="auto"/>
        </w:rPr>
        <w:t>NON-GAAP MEASURES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 Except Per Share Amounts)</w:t>
      </w:r>
    </w:p>
    <w:p>
      <w:pPr>
        <w:spacing w:after="0" w:line="309" w:lineRule="exact"/>
        <w:rPr>
          <w:sz w:val="20"/>
          <w:szCs w:val="20"/>
          <w:color w:val="auto"/>
        </w:rPr>
      </w:pPr>
    </w:p>
    <w:p>
      <w:pPr>
        <w:ind w:left="60" w:right="1719"/>
        <w:spacing w:after="0" w:line="302" w:lineRule="auto"/>
        <w:rPr>
          <w:sz w:val="20"/>
          <w:szCs w:val="20"/>
          <w:color w:val="auto"/>
        </w:rPr>
      </w:pPr>
      <w:r>
        <w:rPr>
          <w:rFonts w:ascii="Arial" w:cs="Arial" w:eastAsia="Arial" w:hAnsi="Arial"/>
          <w:sz w:val="14"/>
          <w:szCs w:val="14"/>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EBITDA from Continuing Operations</w:t>
      </w:r>
    </w:p>
    <w:p>
      <w:pPr>
        <w:spacing w:after="0" w:line="72" w:lineRule="exact"/>
        <w:rPr>
          <w:sz w:val="20"/>
          <w:szCs w:val="20"/>
          <w:color w:val="auto"/>
        </w:rPr>
      </w:pPr>
    </w:p>
    <w:p>
      <w:pPr>
        <w:jc w:val="both"/>
        <w:ind w:left="60" w:right="1559"/>
        <w:spacing w:after="0" w:line="298" w:lineRule="auto"/>
        <w:rPr>
          <w:sz w:val="20"/>
          <w:szCs w:val="20"/>
          <w:color w:val="auto"/>
        </w:rPr>
      </w:pPr>
      <w:r>
        <w:rPr>
          <w:rFonts w:ascii="Arial" w:cs="Arial" w:eastAsia="Arial" w:hAnsi="Arial"/>
          <w:sz w:val="13"/>
          <w:szCs w:val="13"/>
          <w:color w:val="auto"/>
        </w:rPr>
        <w:t>Brady is presenting EBITDA from Continuing Operations because it is used by many of our investors and lenders, and is presented as a convenience to them. EBITDA from Continuing Operations represents earnings (loss) from continuing operations before interest expense, income taxes, depreciation, amortization and impairment charges. EBITDA from Continuing Operations is not a calculation based on generally accepted accounting principles ("GAAP"). The amounts included in the EBITDA from Continuing Operations calculation, however, are derived from amounts included in the Consolidated Financial Statements and supporting footnote disclosures. EBITDA from Continuing Operations should not be considered as an alternative to net earnings or operating income as an indicator of the Company's operating performance, or as an alternative to net cash provided by operating activities as a measure of liquidity. The EBITDA from Continuing Operations measure presented may not always be comparable to similarly titled measures reported by other companies due to differences in the components of the calculation.</w:t>
      </w: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color w:val="auto"/>
              </w:rPr>
              <w:t>Fiscal 2014</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30"/>
        </w:trPr>
        <w:tc>
          <w:tcPr>
            <w:tcW w:w="4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420"/>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color w:val="auto"/>
              </w:rPr>
              <w:t>Q1</w:t>
            </w:r>
          </w:p>
        </w:tc>
        <w:tc>
          <w:tcPr>
            <w:tcW w:w="140" w:type="dxa"/>
            <w:vAlign w:val="bottom"/>
          </w:tcPr>
          <w:p>
            <w:pPr>
              <w:spacing w:after="0"/>
              <w:rPr>
                <w:sz w:val="24"/>
                <w:szCs w:val="24"/>
                <w:color w:val="auto"/>
              </w:rPr>
            </w:pPr>
          </w:p>
        </w:tc>
        <w:tc>
          <w:tcPr>
            <w:tcW w:w="660" w:type="dxa"/>
            <w:vAlign w:val="bottom"/>
            <w:gridSpan w:val="2"/>
          </w:tcPr>
          <w:p>
            <w:pPr>
              <w:ind w:left="120"/>
              <w:spacing w:after="0"/>
              <w:rPr>
                <w:sz w:val="20"/>
                <w:szCs w:val="20"/>
                <w:color w:val="auto"/>
              </w:rPr>
            </w:pPr>
            <w:r>
              <w:rPr>
                <w:rFonts w:ascii="Arial" w:cs="Arial" w:eastAsia="Arial" w:hAnsi="Arial"/>
                <w:sz w:val="14"/>
                <w:szCs w:val="14"/>
                <w:color w:val="auto"/>
              </w:rPr>
              <w:t>Q2</w:t>
            </w:r>
          </w:p>
        </w:tc>
        <w:tc>
          <w:tcPr>
            <w:tcW w:w="180" w:type="dxa"/>
            <w:vAlign w:val="bottom"/>
          </w:tcPr>
          <w:p>
            <w:pPr>
              <w:spacing w:after="0"/>
              <w:rPr>
                <w:sz w:val="24"/>
                <w:szCs w:val="24"/>
                <w:color w:val="auto"/>
              </w:rPr>
            </w:pPr>
          </w:p>
        </w:tc>
        <w:tc>
          <w:tcPr>
            <w:tcW w:w="600" w:type="dxa"/>
            <w:vAlign w:val="bottom"/>
            <w:gridSpan w:val="2"/>
          </w:tcPr>
          <w:p>
            <w:pPr>
              <w:ind w:left="80"/>
              <w:spacing w:after="0"/>
              <w:rPr>
                <w:sz w:val="20"/>
                <w:szCs w:val="20"/>
                <w:color w:val="auto"/>
              </w:rPr>
            </w:pPr>
            <w:r>
              <w:rPr>
                <w:rFonts w:ascii="Arial" w:cs="Arial" w:eastAsia="Arial" w:hAnsi="Arial"/>
                <w:sz w:val="14"/>
                <w:szCs w:val="14"/>
                <w:color w:val="auto"/>
              </w:rPr>
              <w:t>Q3</w:t>
            </w:r>
          </w:p>
        </w:tc>
        <w:tc>
          <w:tcPr>
            <w:tcW w:w="120" w:type="dxa"/>
            <w:vAlign w:val="bottom"/>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4"/>
                <w:szCs w:val="14"/>
                <w:color w:val="auto"/>
              </w:rPr>
              <w:t>Q4</w:t>
            </w:r>
          </w:p>
        </w:tc>
        <w:tc>
          <w:tcPr>
            <w:tcW w:w="120" w:type="dxa"/>
            <w:vAlign w:val="bottom"/>
          </w:tcPr>
          <w:p>
            <w:pPr>
              <w:spacing w:after="0"/>
              <w:rPr>
                <w:sz w:val="24"/>
                <w:szCs w:val="24"/>
                <w:color w:val="auto"/>
              </w:rPr>
            </w:pPr>
          </w:p>
        </w:tc>
        <w:tc>
          <w:tcPr>
            <w:tcW w:w="600" w:type="dxa"/>
            <w:vAlign w:val="bottom"/>
          </w:tcPr>
          <w:p>
            <w:pPr>
              <w:jc w:val="right"/>
              <w:ind w:right="128"/>
              <w:spacing w:after="0"/>
              <w:rPr>
                <w:sz w:val="20"/>
                <w:szCs w:val="20"/>
                <w:color w:val="auto"/>
              </w:rPr>
            </w:pPr>
            <w:r>
              <w:rPr>
                <w:rFonts w:ascii="Arial" w:cs="Arial" w:eastAsia="Arial" w:hAnsi="Arial"/>
                <w:sz w:val="14"/>
                <w:szCs w:val="14"/>
                <w:color w:val="auto"/>
              </w:rPr>
              <w:t>Total</w:t>
            </w:r>
          </w:p>
        </w:tc>
      </w:tr>
      <w:tr>
        <w:trPr>
          <w:trHeight w:val="30"/>
        </w:trPr>
        <w:tc>
          <w:tcPr>
            <w:tcW w:w="4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3"/>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EBITDA from Continuing Operations:</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r>
      <w:tr>
        <w:trPr>
          <w:trHeight w:val="211"/>
        </w:trPr>
        <w:tc>
          <w:tcPr>
            <w:tcW w:w="4740" w:type="dxa"/>
            <w:vAlign w:val="bottom"/>
          </w:tcPr>
          <w:p>
            <w:pPr>
              <w:ind w:left="540"/>
              <w:spacing w:after="0"/>
              <w:rPr>
                <w:sz w:val="20"/>
                <w:szCs w:val="20"/>
                <w:color w:val="auto"/>
              </w:rPr>
            </w:pPr>
            <w:r>
              <w:rPr>
                <w:rFonts w:ascii="Arial" w:cs="Arial" w:eastAsia="Arial" w:hAnsi="Arial"/>
                <w:sz w:val="14"/>
                <w:szCs w:val="14"/>
                <w:color w:val="auto"/>
              </w:rPr>
              <w:t>Earnings from continuing operations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17,423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17,423</w:t>
            </w:r>
          </w:p>
        </w:tc>
      </w:tr>
      <w:tr>
        <w:trPr>
          <w:trHeight w:val="30"/>
        </w:trPr>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1"/>
        </w:trPr>
        <w:tc>
          <w:tcPr>
            <w:tcW w:w="47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Interest expense</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3,721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3,721</w:t>
            </w:r>
          </w:p>
        </w:tc>
      </w:tr>
      <w:tr>
        <w:trPr>
          <w:trHeight w:val="211"/>
        </w:trPr>
        <w:tc>
          <w:tcPr>
            <w:tcW w:w="4740" w:type="dxa"/>
            <w:vAlign w:val="bottom"/>
          </w:tcPr>
          <w:p>
            <w:pPr>
              <w:ind w:left="780"/>
              <w:spacing w:after="0"/>
              <w:rPr>
                <w:sz w:val="20"/>
                <w:szCs w:val="20"/>
                <w:color w:val="auto"/>
              </w:rPr>
            </w:pPr>
            <w:r>
              <w:rPr>
                <w:rFonts w:ascii="Arial" w:cs="Arial" w:eastAsia="Arial" w:hAnsi="Arial"/>
                <w:sz w:val="14"/>
                <w:szCs w:val="14"/>
                <w:color w:val="auto"/>
              </w:rPr>
              <w:t>Income taxes</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8,449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8,449</w:t>
            </w:r>
          </w:p>
        </w:tc>
      </w:tr>
      <w:tr>
        <w:trPr>
          <w:trHeight w:val="30"/>
        </w:trPr>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1"/>
        </w:trPr>
        <w:tc>
          <w:tcPr>
            <w:tcW w:w="47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10,878</w:t>
            </w:r>
          </w:p>
        </w:tc>
      </w:tr>
      <w:tr>
        <w:trPr>
          <w:trHeight w:val="225"/>
        </w:trPr>
        <w:tc>
          <w:tcPr>
            <w:tcW w:w="4740" w:type="dxa"/>
            <w:vAlign w:val="bottom"/>
          </w:tcPr>
          <w:p>
            <w:pPr>
              <w:ind w:left="540"/>
              <w:spacing w:after="0"/>
              <w:rPr>
                <w:sz w:val="20"/>
                <w:szCs w:val="20"/>
                <w:color w:val="auto"/>
              </w:rPr>
            </w:pPr>
            <w:r>
              <w:rPr>
                <w:rFonts w:ascii="Arial" w:cs="Arial" w:eastAsia="Arial" w:hAnsi="Arial"/>
                <w:sz w:val="14"/>
                <w:szCs w:val="14"/>
                <w:color w:val="auto"/>
              </w:rPr>
              <w:t>EBITDA from Continuing Operations (non-GAAP measure)</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40,471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40,471</w:t>
            </w: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629"/>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color w:val="auto"/>
              </w:rPr>
              <w:t>Fiscal 2013</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
        </w:trPr>
        <w:tc>
          <w:tcPr>
            <w:tcW w:w="4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420"/>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color w:val="auto"/>
              </w:rPr>
              <w:t>Q1</w:t>
            </w:r>
          </w:p>
        </w:tc>
        <w:tc>
          <w:tcPr>
            <w:tcW w:w="140" w:type="dxa"/>
            <w:vAlign w:val="bottom"/>
          </w:tcPr>
          <w:p>
            <w:pPr>
              <w:spacing w:after="0"/>
              <w:rPr>
                <w:sz w:val="24"/>
                <w:szCs w:val="24"/>
                <w:color w:val="auto"/>
              </w:rPr>
            </w:pPr>
          </w:p>
        </w:tc>
        <w:tc>
          <w:tcPr>
            <w:tcW w:w="660" w:type="dxa"/>
            <w:vAlign w:val="bottom"/>
            <w:gridSpan w:val="2"/>
          </w:tcPr>
          <w:p>
            <w:pPr>
              <w:ind w:left="120"/>
              <w:spacing w:after="0"/>
              <w:rPr>
                <w:sz w:val="20"/>
                <w:szCs w:val="20"/>
                <w:color w:val="auto"/>
              </w:rPr>
            </w:pPr>
            <w:r>
              <w:rPr>
                <w:rFonts w:ascii="Arial" w:cs="Arial" w:eastAsia="Arial" w:hAnsi="Arial"/>
                <w:sz w:val="14"/>
                <w:szCs w:val="14"/>
                <w:color w:val="auto"/>
              </w:rPr>
              <w:t>Q2</w:t>
            </w:r>
          </w:p>
        </w:tc>
        <w:tc>
          <w:tcPr>
            <w:tcW w:w="180" w:type="dxa"/>
            <w:vAlign w:val="bottom"/>
          </w:tcPr>
          <w:p>
            <w:pPr>
              <w:spacing w:after="0"/>
              <w:rPr>
                <w:sz w:val="24"/>
                <w:szCs w:val="24"/>
                <w:color w:val="auto"/>
              </w:rPr>
            </w:pPr>
          </w:p>
        </w:tc>
        <w:tc>
          <w:tcPr>
            <w:tcW w:w="600" w:type="dxa"/>
            <w:vAlign w:val="bottom"/>
            <w:gridSpan w:val="2"/>
          </w:tcPr>
          <w:p>
            <w:pPr>
              <w:ind w:left="80"/>
              <w:spacing w:after="0"/>
              <w:rPr>
                <w:sz w:val="20"/>
                <w:szCs w:val="20"/>
                <w:color w:val="auto"/>
              </w:rPr>
            </w:pPr>
            <w:r>
              <w:rPr>
                <w:rFonts w:ascii="Arial" w:cs="Arial" w:eastAsia="Arial" w:hAnsi="Arial"/>
                <w:sz w:val="14"/>
                <w:szCs w:val="14"/>
                <w:color w:val="auto"/>
              </w:rPr>
              <w:t>Q3</w:t>
            </w:r>
          </w:p>
        </w:tc>
        <w:tc>
          <w:tcPr>
            <w:tcW w:w="120" w:type="dxa"/>
            <w:vAlign w:val="bottom"/>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4"/>
                <w:szCs w:val="14"/>
                <w:color w:val="auto"/>
              </w:rPr>
              <w:t>Q4</w:t>
            </w:r>
          </w:p>
        </w:tc>
        <w:tc>
          <w:tcPr>
            <w:tcW w:w="120" w:type="dxa"/>
            <w:vAlign w:val="bottom"/>
          </w:tcPr>
          <w:p>
            <w:pPr>
              <w:spacing w:after="0"/>
              <w:rPr>
                <w:sz w:val="24"/>
                <w:szCs w:val="24"/>
                <w:color w:val="auto"/>
              </w:rPr>
            </w:pPr>
          </w:p>
        </w:tc>
        <w:tc>
          <w:tcPr>
            <w:tcW w:w="600" w:type="dxa"/>
            <w:vAlign w:val="bottom"/>
          </w:tcPr>
          <w:p>
            <w:pPr>
              <w:jc w:val="right"/>
              <w:ind w:right="128"/>
              <w:spacing w:after="0"/>
              <w:rPr>
                <w:sz w:val="20"/>
                <w:szCs w:val="20"/>
                <w:color w:val="auto"/>
              </w:rPr>
            </w:pPr>
            <w:r>
              <w:rPr>
                <w:rFonts w:ascii="Arial" w:cs="Arial" w:eastAsia="Arial" w:hAnsi="Arial"/>
                <w:sz w:val="14"/>
                <w:szCs w:val="14"/>
                <w:color w:val="auto"/>
              </w:rPr>
              <w:t>Total</w:t>
            </w:r>
          </w:p>
        </w:tc>
      </w:tr>
      <w:tr>
        <w:trPr>
          <w:trHeight w:val="30"/>
        </w:trPr>
        <w:tc>
          <w:tcPr>
            <w:tcW w:w="4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3"/>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EBITDA from Continuing Operations:</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r>
      <w:tr>
        <w:trPr>
          <w:trHeight w:val="211"/>
        </w:trPr>
        <w:tc>
          <w:tcPr>
            <w:tcW w:w="4740" w:type="dxa"/>
            <w:vAlign w:val="bottom"/>
          </w:tcPr>
          <w:p>
            <w:pPr>
              <w:ind w:left="540"/>
              <w:spacing w:after="0"/>
              <w:rPr>
                <w:sz w:val="20"/>
                <w:szCs w:val="20"/>
                <w:color w:val="auto"/>
              </w:rPr>
            </w:pPr>
            <w:r>
              <w:rPr>
                <w:rFonts w:ascii="Arial" w:cs="Arial" w:eastAsia="Arial" w:hAnsi="Arial"/>
                <w:sz w:val="14"/>
                <w:szCs w:val="14"/>
                <w:color w:val="auto"/>
              </w:rPr>
              <w:t>Earnings (loss) from continuing operations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25,785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9"/>
              </w:rPr>
              <w:t>(11,365)</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20,998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(176,234)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(140,816)</w:t>
            </w:r>
          </w:p>
        </w:tc>
      </w:tr>
      <w:tr>
        <w:trPr>
          <w:trHeight w:val="30"/>
        </w:trPr>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1"/>
        </w:trPr>
        <w:tc>
          <w:tcPr>
            <w:tcW w:w="47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Interest expense</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4,406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4,186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3,886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16,641</w:t>
            </w:r>
          </w:p>
        </w:tc>
      </w:tr>
      <w:tr>
        <w:trPr>
          <w:trHeight w:val="211"/>
        </w:trPr>
        <w:tc>
          <w:tcPr>
            <w:tcW w:w="4740" w:type="dxa"/>
            <w:vAlign w:val="bottom"/>
          </w:tcPr>
          <w:p>
            <w:pPr>
              <w:ind w:left="780"/>
              <w:spacing w:after="0"/>
              <w:rPr>
                <w:sz w:val="20"/>
                <w:szCs w:val="20"/>
                <w:color w:val="auto"/>
              </w:rPr>
            </w:pPr>
            <w:r>
              <w:rPr>
                <w:rFonts w:ascii="Arial" w:cs="Arial" w:eastAsia="Arial" w:hAnsi="Arial"/>
                <w:sz w:val="14"/>
                <w:szCs w:val="14"/>
                <w:color w:val="auto"/>
              </w:rPr>
              <w:t>Income taxes</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13,077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28,823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6,065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(5,895)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42,070</w:t>
            </w:r>
          </w:p>
        </w:tc>
      </w:tr>
      <w:tr>
        <w:trPr>
          <w:trHeight w:val="30"/>
        </w:trPr>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1"/>
        </w:trPr>
        <w:tc>
          <w:tcPr>
            <w:tcW w:w="47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7,684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8,490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11,065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12,688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39,927</w:t>
            </w:r>
          </w:p>
        </w:tc>
      </w:tr>
      <w:tr>
        <w:trPr>
          <w:trHeight w:val="211"/>
        </w:trPr>
        <w:tc>
          <w:tcPr>
            <w:tcW w:w="4740" w:type="dxa"/>
            <w:vAlign w:val="bottom"/>
          </w:tcPr>
          <w:p>
            <w:pPr>
              <w:ind w:left="780"/>
              <w:spacing w:after="0"/>
              <w:rPr>
                <w:sz w:val="20"/>
                <w:szCs w:val="20"/>
                <w:color w:val="auto"/>
              </w:rPr>
            </w:pPr>
            <w:r>
              <w:rPr>
                <w:rFonts w:ascii="Arial" w:cs="Arial" w:eastAsia="Arial" w:hAnsi="Arial"/>
                <w:sz w:val="14"/>
                <w:szCs w:val="14"/>
                <w:color w:val="auto"/>
              </w:rPr>
              <w:t>Intangible asset write-down in restructuring charges</w:t>
            </w:r>
          </w:p>
        </w:tc>
        <w:tc>
          <w:tcPr>
            <w:tcW w:w="1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3,207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3,207</w:t>
            </w:r>
          </w:p>
        </w:tc>
      </w:tr>
      <w:tr>
        <w:trPr>
          <w:trHeight w:val="30"/>
        </w:trPr>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1"/>
        </w:trPr>
        <w:tc>
          <w:tcPr>
            <w:tcW w:w="47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Impairment charges</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204,448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8"/>
              </w:rPr>
              <w:t>204,448</w:t>
            </w:r>
          </w:p>
        </w:tc>
      </w:tr>
      <w:tr>
        <w:trPr>
          <w:trHeight w:val="213"/>
        </w:trPr>
        <w:tc>
          <w:tcPr>
            <w:tcW w:w="4740" w:type="dxa"/>
            <w:vAlign w:val="bottom"/>
          </w:tcPr>
          <w:p>
            <w:pPr>
              <w:ind w:left="540"/>
              <w:spacing w:after="0"/>
              <w:rPr>
                <w:sz w:val="20"/>
                <w:szCs w:val="20"/>
                <w:color w:val="auto"/>
              </w:rPr>
            </w:pPr>
            <w:r>
              <w:rPr>
                <w:rFonts w:ascii="Arial" w:cs="Arial" w:eastAsia="Arial" w:hAnsi="Arial"/>
                <w:sz w:val="14"/>
                <w:szCs w:val="14"/>
                <w:color w:val="auto"/>
              </w:rPr>
              <w:t>EBITDA from Continuing Operations (non-GAAP measure)</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50,709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30,354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45,521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38,893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98"/>
              </w:rPr>
              <w:t>165,477</w:t>
            </w: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auto"/>
        </w:rPr>
        <w:t>NON-GAAP MEASURES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 Except Per Share Amounts)</w:t>
      </w:r>
    </w:p>
    <w:p>
      <w:pPr>
        <w:spacing w:after="0" w:line="31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EBITDA from Discontinued Operations</w:t>
      </w:r>
    </w:p>
    <w:p>
      <w:pPr>
        <w:spacing w:after="0" w:line="72" w:lineRule="exact"/>
        <w:rPr>
          <w:sz w:val="20"/>
          <w:szCs w:val="20"/>
          <w:color w:val="auto"/>
        </w:rPr>
      </w:pPr>
    </w:p>
    <w:p>
      <w:pPr>
        <w:jc w:val="both"/>
        <w:ind w:left="60" w:right="1539"/>
        <w:spacing w:after="0" w:line="298" w:lineRule="auto"/>
        <w:rPr>
          <w:sz w:val="20"/>
          <w:szCs w:val="20"/>
          <w:color w:val="auto"/>
        </w:rPr>
      </w:pPr>
      <w:r>
        <w:rPr>
          <w:rFonts w:ascii="Arial" w:cs="Arial" w:eastAsia="Arial" w:hAnsi="Arial"/>
          <w:sz w:val="13"/>
          <w:szCs w:val="13"/>
          <w:color w:val="auto"/>
        </w:rPr>
        <w:t>Brady is presenting EBITDA from Discontinued Operations because it is used by many of our investors and lenders, and is presented as a convenience to them. EBITDA from Discontinued Operations represents earnings (loss) from discontinued operations before interest expense, income taxes, depreciation, amortization, and impairment charges. EBITDA from Discontinued Operations is not a calculation based on generally accepted accounting principles ("GAAP"). The amounts included in the EBITDA from Discontinued Operations calculation, however, are derived from amounts included in the Consolidated Financial Statements and supporting footnote disclosures. EBITDA from Discontinued Operations should not be considered as an alternative to net earnings or operating income as an indicator of the Company's operating performance, or as an alternative to net cash provided by operating activities as a measure of liquidity. The EBITDA from Discontinued Operations measure presented may not always be comparable to similarly titled measures reported by other companies due to differences in the components of the calculation.</w:t>
      </w: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ind w:left="100"/>
              <w:spacing w:after="0"/>
              <w:rPr>
                <w:sz w:val="20"/>
                <w:szCs w:val="20"/>
                <w:color w:val="auto"/>
              </w:rPr>
            </w:pPr>
            <w:r>
              <w:rPr>
                <w:rFonts w:ascii="Arial" w:cs="Arial" w:eastAsia="Arial" w:hAnsi="Arial"/>
                <w:sz w:val="14"/>
                <w:szCs w:val="14"/>
                <w:color w:val="auto"/>
              </w:rPr>
              <w:t>Fiscal 2014</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30"/>
        </w:trPr>
        <w:tc>
          <w:tcPr>
            <w:tcW w:w="4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420"/>
        </w:trPr>
        <w:tc>
          <w:tcPr>
            <w:tcW w:w="4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color w:val="auto"/>
              </w:rPr>
              <w:t>Q1</w:t>
            </w:r>
          </w:p>
        </w:tc>
        <w:tc>
          <w:tcPr>
            <w:tcW w:w="180" w:type="dxa"/>
            <w:vAlign w:val="bottom"/>
          </w:tcPr>
          <w:p>
            <w:pPr>
              <w:spacing w:after="0"/>
              <w:rPr>
                <w:sz w:val="24"/>
                <w:szCs w:val="24"/>
                <w:color w:val="auto"/>
              </w:rPr>
            </w:pPr>
          </w:p>
        </w:tc>
        <w:tc>
          <w:tcPr>
            <w:tcW w:w="640" w:type="dxa"/>
            <w:vAlign w:val="bottom"/>
            <w:gridSpan w:val="2"/>
          </w:tcPr>
          <w:p>
            <w:pPr>
              <w:ind w:left="100"/>
              <w:spacing w:after="0"/>
              <w:rPr>
                <w:sz w:val="20"/>
                <w:szCs w:val="20"/>
                <w:color w:val="auto"/>
              </w:rPr>
            </w:pPr>
            <w:r>
              <w:rPr>
                <w:rFonts w:ascii="Arial" w:cs="Arial" w:eastAsia="Arial" w:hAnsi="Arial"/>
                <w:sz w:val="14"/>
                <w:szCs w:val="14"/>
                <w:color w:val="auto"/>
              </w:rPr>
              <w:t>Q2</w:t>
            </w:r>
          </w:p>
        </w:tc>
        <w:tc>
          <w:tcPr>
            <w:tcW w:w="18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color w:val="auto"/>
              </w:rPr>
              <w:t>Q3</w:t>
            </w:r>
          </w:p>
        </w:tc>
        <w:tc>
          <w:tcPr>
            <w:tcW w:w="200" w:type="dxa"/>
            <w:vAlign w:val="bottom"/>
          </w:tcPr>
          <w:p>
            <w:pPr>
              <w:spacing w:after="0"/>
              <w:rPr>
                <w:sz w:val="24"/>
                <w:szCs w:val="24"/>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color w:val="auto"/>
              </w:rPr>
              <w:t>Q4</w:t>
            </w:r>
          </w:p>
        </w:tc>
        <w:tc>
          <w:tcPr>
            <w:tcW w:w="160" w:type="dxa"/>
            <w:vAlign w:val="bottom"/>
          </w:tcPr>
          <w:p>
            <w:pPr>
              <w:spacing w:after="0"/>
              <w:rPr>
                <w:sz w:val="24"/>
                <w:szCs w:val="24"/>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Total</w:t>
            </w:r>
          </w:p>
        </w:tc>
      </w:tr>
      <w:tr>
        <w:trPr>
          <w:trHeight w:val="30"/>
        </w:trPr>
        <w:tc>
          <w:tcPr>
            <w:tcW w:w="4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3"/>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EBITDA from Discontinued Operations:</w:t>
            </w: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r>
      <w:tr>
        <w:trPr>
          <w:trHeight w:val="211"/>
        </w:trPr>
        <w:tc>
          <w:tcPr>
            <w:tcW w:w="4500" w:type="dxa"/>
            <w:vAlign w:val="bottom"/>
          </w:tcPr>
          <w:p>
            <w:pPr>
              <w:ind w:left="600"/>
              <w:spacing w:after="0"/>
              <w:rPr>
                <w:sz w:val="20"/>
                <w:szCs w:val="20"/>
                <w:color w:val="auto"/>
              </w:rPr>
            </w:pPr>
            <w:r>
              <w:rPr>
                <w:rFonts w:ascii="Arial" w:cs="Arial" w:eastAsia="Arial" w:hAnsi="Arial"/>
                <w:sz w:val="14"/>
                <w:szCs w:val="14"/>
                <w:color w:val="auto"/>
              </w:rPr>
              <w:t>Earnings from discontinued operations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6,505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6,505</w:t>
            </w:r>
          </w:p>
        </w:tc>
      </w:tr>
      <w:tr>
        <w:trPr>
          <w:trHeight w:val="30"/>
        </w:trPr>
        <w:tc>
          <w:tcPr>
            <w:tcW w:w="4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1"/>
        </w:trPr>
        <w:tc>
          <w:tcPr>
            <w:tcW w:w="45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Interest expense</w:t>
            </w: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4500" w:type="dxa"/>
            <w:vAlign w:val="bottom"/>
          </w:tcPr>
          <w:p>
            <w:pPr>
              <w:ind w:left="840"/>
              <w:spacing w:after="0"/>
              <w:rPr>
                <w:sz w:val="20"/>
                <w:szCs w:val="20"/>
                <w:color w:val="auto"/>
              </w:rPr>
            </w:pPr>
            <w:r>
              <w:rPr>
                <w:rFonts w:ascii="Arial" w:cs="Arial" w:eastAsia="Arial" w:hAnsi="Arial"/>
                <w:sz w:val="14"/>
                <w:szCs w:val="14"/>
                <w:color w:val="auto"/>
              </w:rPr>
              <w:t>Income taxes</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2,680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2,680</w:t>
            </w:r>
          </w:p>
        </w:tc>
      </w:tr>
      <w:tr>
        <w:trPr>
          <w:trHeight w:val="30"/>
        </w:trPr>
        <w:tc>
          <w:tcPr>
            <w:tcW w:w="4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1"/>
        </w:trPr>
        <w:tc>
          <w:tcPr>
            <w:tcW w:w="45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Depreciation and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4500" w:type="dxa"/>
            <w:vAlign w:val="bottom"/>
          </w:tcPr>
          <w:p>
            <w:pPr>
              <w:ind w:left="600"/>
              <w:spacing w:after="0"/>
              <w:rPr>
                <w:sz w:val="20"/>
                <w:szCs w:val="20"/>
                <w:color w:val="auto"/>
              </w:rPr>
            </w:pPr>
            <w:r>
              <w:rPr>
                <w:rFonts w:ascii="Arial" w:cs="Arial" w:eastAsia="Arial" w:hAnsi="Arial"/>
                <w:sz w:val="14"/>
                <w:szCs w:val="14"/>
                <w:color w:val="auto"/>
              </w:rPr>
              <w:t>EBITDA from Discontinued Operations (non-GAAP measure)</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9,185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9,185</w:t>
            </w:r>
          </w:p>
        </w:tc>
      </w:tr>
      <w:tr>
        <w:trPr>
          <w:trHeight w:val="20"/>
        </w:trPr>
        <w:tc>
          <w:tcPr>
            <w:tcW w:w="4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629"/>
        </w:trPr>
        <w:tc>
          <w:tcPr>
            <w:tcW w:w="4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ind w:left="100"/>
              <w:spacing w:after="0"/>
              <w:rPr>
                <w:sz w:val="20"/>
                <w:szCs w:val="20"/>
                <w:color w:val="auto"/>
              </w:rPr>
            </w:pPr>
            <w:r>
              <w:rPr>
                <w:rFonts w:ascii="Arial" w:cs="Arial" w:eastAsia="Arial" w:hAnsi="Arial"/>
                <w:sz w:val="14"/>
                <w:szCs w:val="14"/>
                <w:color w:val="auto"/>
              </w:rPr>
              <w:t>Fiscal 2013</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
        </w:trPr>
        <w:tc>
          <w:tcPr>
            <w:tcW w:w="4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420"/>
        </w:trPr>
        <w:tc>
          <w:tcPr>
            <w:tcW w:w="4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color w:val="auto"/>
              </w:rPr>
              <w:t>Q1</w:t>
            </w:r>
          </w:p>
        </w:tc>
        <w:tc>
          <w:tcPr>
            <w:tcW w:w="180" w:type="dxa"/>
            <w:vAlign w:val="bottom"/>
          </w:tcPr>
          <w:p>
            <w:pPr>
              <w:spacing w:after="0"/>
              <w:rPr>
                <w:sz w:val="24"/>
                <w:szCs w:val="24"/>
                <w:color w:val="auto"/>
              </w:rPr>
            </w:pPr>
          </w:p>
        </w:tc>
        <w:tc>
          <w:tcPr>
            <w:tcW w:w="640" w:type="dxa"/>
            <w:vAlign w:val="bottom"/>
            <w:gridSpan w:val="2"/>
          </w:tcPr>
          <w:p>
            <w:pPr>
              <w:ind w:left="100"/>
              <w:spacing w:after="0"/>
              <w:rPr>
                <w:sz w:val="20"/>
                <w:szCs w:val="20"/>
                <w:color w:val="auto"/>
              </w:rPr>
            </w:pPr>
            <w:r>
              <w:rPr>
                <w:rFonts w:ascii="Arial" w:cs="Arial" w:eastAsia="Arial" w:hAnsi="Arial"/>
                <w:sz w:val="14"/>
                <w:szCs w:val="14"/>
                <w:color w:val="auto"/>
              </w:rPr>
              <w:t>Q2</w:t>
            </w:r>
          </w:p>
        </w:tc>
        <w:tc>
          <w:tcPr>
            <w:tcW w:w="18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color w:val="auto"/>
              </w:rPr>
              <w:t>Q3</w:t>
            </w:r>
          </w:p>
        </w:tc>
        <w:tc>
          <w:tcPr>
            <w:tcW w:w="200" w:type="dxa"/>
            <w:vAlign w:val="bottom"/>
          </w:tcPr>
          <w:p>
            <w:pPr>
              <w:spacing w:after="0"/>
              <w:rPr>
                <w:sz w:val="24"/>
                <w:szCs w:val="24"/>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color w:val="auto"/>
              </w:rPr>
              <w:t>Q4</w:t>
            </w:r>
          </w:p>
        </w:tc>
        <w:tc>
          <w:tcPr>
            <w:tcW w:w="160" w:type="dxa"/>
            <w:vAlign w:val="bottom"/>
          </w:tcPr>
          <w:p>
            <w:pPr>
              <w:spacing w:after="0"/>
              <w:rPr>
                <w:sz w:val="24"/>
                <w:szCs w:val="24"/>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color w:val="auto"/>
              </w:rPr>
              <w:t>Total</w:t>
            </w:r>
          </w:p>
        </w:tc>
      </w:tr>
      <w:tr>
        <w:trPr>
          <w:trHeight w:val="30"/>
        </w:trPr>
        <w:tc>
          <w:tcPr>
            <w:tcW w:w="4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3"/>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EBITDA from Discontinued Operations:</w:t>
            </w: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r>
      <w:tr>
        <w:trPr>
          <w:trHeight w:val="211"/>
        </w:trPr>
        <w:tc>
          <w:tcPr>
            <w:tcW w:w="4500" w:type="dxa"/>
            <w:vAlign w:val="bottom"/>
          </w:tcPr>
          <w:p>
            <w:pPr>
              <w:ind w:left="600"/>
              <w:spacing w:after="0"/>
              <w:rPr>
                <w:sz w:val="20"/>
                <w:szCs w:val="20"/>
                <w:color w:val="auto"/>
              </w:rPr>
            </w:pPr>
            <w:r>
              <w:rPr>
                <w:rFonts w:ascii="Arial" w:cs="Arial" w:eastAsia="Arial" w:hAnsi="Arial"/>
                <w:sz w:val="14"/>
                <w:szCs w:val="14"/>
                <w:color w:val="auto"/>
              </w:rPr>
              <w:t>Earnings (loss) from discontinued operations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1,403</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2,680</w:t>
            </w:r>
          </w:p>
        </w:tc>
        <w:tc>
          <w:tcPr>
            <w:tcW w:w="8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(16,765)</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(1,037)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(13,719)</w:t>
            </w:r>
          </w:p>
        </w:tc>
      </w:tr>
      <w:tr>
        <w:trPr>
          <w:trHeight w:val="30"/>
        </w:trPr>
        <w:tc>
          <w:tcPr>
            <w:tcW w:w="4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1"/>
        </w:trPr>
        <w:tc>
          <w:tcPr>
            <w:tcW w:w="45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Interest expense</w:t>
            </w: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4500" w:type="dxa"/>
            <w:vAlign w:val="bottom"/>
          </w:tcPr>
          <w:p>
            <w:pPr>
              <w:ind w:left="840"/>
              <w:spacing w:after="0"/>
              <w:rPr>
                <w:sz w:val="20"/>
                <w:szCs w:val="20"/>
                <w:color w:val="auto"/>
              </w:rPr>
            </w:pPr>
            <w:r>
              <w:rPr>
                <w:rFonts w:ascii="Arial" w:cs="Arial" w:eastAsia="Arial" w:hAnsi="Arial"/>
                <w:sz w:val="14"/>
                <w:szCs w:val="14"/>
                <w:color w:val="auto"/>
              </w:rPr>
              <w:t>Income taxes</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1,530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1,478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5,214</w:t>
            </w:r>
          </w:p>
        </w:tc>
      </w:tr>
      <w:tr>
        <w:trPr>
          <w:trHeight w:val="30"/>
        </w:trPr>
        <w:tc>
          <w:tcPr>
            <w:tcW w:w="4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1"/>
        </w:trPr>
        <w:tc>
          <w:tcPr>
            <w:tcW w:w="45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Depreciation and amortization</w:t>
            </w: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2,881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2,926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8,798</w:t>
            </w:r>
          </w:p>
        </w:tc>
      </w:tr>
      <w:tr>
        <w:trPr>
          <w:trHeight w:val="211"/>
        </w:trPr>
        <w:tc>
          <w:tcPr>
            <w:tcW w:w="4500" w:type="dxa"/>
            <w:vAlign w:val="bottom"/>
          </w:tcPr>
          <w:p>
            <w:pPr>
              <w:ind w:left="840"/>
              <w:spacing w:after="0"/>
              <w:rPr>
                <w:sz w:val="20"/>
                <w:szCs w:val="20"/>
                <w:color w:val="auto"/>
              </w:rPr>
            </w:pPr>
            <w:r>
              <w:rPr>
                <w:rFonts w:ascii="Arial" w:cs="Arial" w:eastAsia="Arial" w:hAnsi="Arial"/>
                <w:sz w:val="14"/>
                <w:szCs w:val="14"/>
                <w:color w:val="auto"/>
              </w:rPr>
              <w:t>Loss on write-down of assets held for sale</w:t>
            </w:r>
          </w:p>
        </w:tc>
        <w:tc>
          <w:tcPr>
            <w:tcW w:w="2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15,658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15,658</w:t>
            </w:r>
          </w:p>
        </w:tc>
      </w:tr>
      <w:tr>
        <w:trPr>
          <w:trHeight w:val="30"/>
        </w:trPr>
        <w:tc>
          <w:tcPr>
            <w:tcW w:w="4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3"/>
        </w:trPr>
        <w:tc>
          <w:tcPr>
            <w:tcW w:w="4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EBITDA from Discontinued Operations (non-GAAP measure)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7,363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3,349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15,951</w:t>
            </w:r>
          </w:p>
        </w:tc>
      </w:tr>
      <w:tr>
        <w:trPr>
          <w:trHeight w:val="20"/>
        </w:trPr>
        <w:tc>
          <w:tcPr>
            <w:tcW w:w="4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color w:val="auto"/>
        </w:rPr>
        <w:t>NON-GAAP MEASURES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 Except Per Share Amounts)</w:t>
      </w:r>
    </w:p>
    <w:p>
      <w:pPr>
        <w:spacing w:after="0" w:line="31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EBITDA:</w:t>
      </w:r>
    </w:p>
    <w:p>
      <w:pPr>
        <w:spacing w:after="0" w:line="72" w:lineRule="exact"/>
        <w:rPr>
          <w:sz w:val="20"/>
          <w:szCs w:val="20"/>
          <w:color w:val="auto"/>
        </w:rPr>
      </w:pPr>
    </w:p>
    <w:p>
      <w:pPr>
        <w:jc w:val="both"/>
        <w:ind w:left="60" w:right="1539"/>
        <w:spacing w:after="0" w:line="275" w:lineRule="auto"/>
        <w:rPr>
          <w:sz w:val="20"/>
          <w:szCs w:val="20"/>
          <w:color w:val="auto"/>
        </w:rPr>
      </w:pPr>
      <w:r>
        <w:rPr>
          <w:rFonts w:ascii="Arial" w:cs="Arial" w:eastAsia="Arial" w:hAnsi="Arial"/>
          <w:sz w:val="14"/>
          <w:szCs w:val="14"/>
          <w:color w:val="auto"/>
        </w:rPr>
        <w:t>Brady is presenting EBITDA because it is used by many of our investors and lenders, and is presented as a convenience to them. EBITDA represents net earnings (loss) before interest expense, income taxes, depreciation, amortization and impairment charges. EBITDA is not a calculation based on generally accepted accounting principles ("GAAP"). The amounts included in the EBITDA calculation, however, are derived from amounts included in the Consolidated Financial Statements and supporting footnote disclosures. EBITDA should not be considered as an alternative to net earnings or operating income as an indicator of the Company's operating performance, or as an alternative to net cash provided by operating activities as a measure of liquidity. The EBITDA measure presented may not always be comparable to similarly titled measures reported by other companies due to differences in the components of the calculation.</w:t>
      </w: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color w:val="auto"/>
              </w:rPr>
              <w:t>Fiscal 2014</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0"/>
        </w:trPr>
        <w:tc>
          <w:tcPr>
            <w:tcW w:w="4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420"/>
        </w:trPr>
        <w:tc>
          <w:tcPr>
            <w:tcW w:w="4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color w:val="auto"/>
              </w:rPr>
              <w:t>Q1</w:t>
            </w:r>
          </w:p>
        </w:tc>
        <w:tc>
          <w:tcPr>
            <w:tcW w:w="180" w:type="dxa"/>
            <w:vAlign w:val="bottom"/>
          </w:tcPr>
          <w:p>
            <w:pPr>
              <w:spacing w:after="0"/>
              <w:rPr>
                <w:sz w:val="24"/>
                <w:szCs w:val="2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color w:val="auto"/>
              </w:rPr>
              <w:t>Q2</w:t>
            </w:r>
          </w:p>
        </w:tc>
        <w:tc>
          <w:tcPr>
            <w:tcW w:w="180" w:type="dxa"/>
            <w:vAlign w:val="bottom"/>
          </w:tcPr>
          <w:p>
            <w:pPr>
              <w:spacing w:after="0"/>
              <w:rPr>
                <w:sz w:val="24"/>
                <w:szCs w:val="24"/>
                <w:color w:val="auto"/>
              </w:rPr>
            </w:pPr>
          </w:p>
        </w:tc>
        <w:tc>
          <w:tcPr>
            <w:tcW w:w="640" w:type="dxa"/>
            <w:vAlign w:val="bottom"/>
            <w:gridSpan w:val="2"/>
          </w:tcPr>
          <w:p>
            <w:pPr>
              <w:ind w:left="100"/>
              <w:spacing w:after="0"/>
              <w:rPr>
                <w:sz w:val="20"/>
                <w:szCs w:val="20"/>
                <w:color w:val="auto"/>
              </w:rPr>
            </w:pPr>
            <w:r>
              <w:rPr>
                <w:rFonts w:ascii="Arial" w:cs="Arial" w:eastAsia="Arial" w:hAnsi="Arial"/>
                <w:sz w:val="14"/>
                <w:szCs w:val="14"/>
                <w:color w:val="auto"/>
              </w:rPr>
              <w:t>Q3</w:t>
            </w:r>
          </w:p>
        </w:tc>
        <w:tc>
          <w:tcPr>
            <w:tcW w:w="140" w:type="dxa"/>
            <w:vAlign w:val="bottom"/>
          </w:tcPr>
          <w:p>
            <w:pPr>
              <w:spacing w:after="0"/>
              <w:rPr>
                <w:sz w:val="24"/>
                <w:szCs w:val="24"/>
                <w:color w:val="auto"/>
              </w:rPr>
            </w:pPr>
          </w:p>
        </w:tc>
        <w:tc>
          <w:tcPr>
            <w:tcW w:w="740" w:type="dxa"/>
            <w:vAlign w:val="bottom"/>
            <w:gridSpan w:val="2"/>
          </w:tcPr>
          <w:p>
            <w:pPr>
              <w:ind w:left="160"/>
              <w:spacing w:after="0"/>
              <w:rPr>
                <w:sz w:val="20"/>
                <w:szCs w:val="20"/>
                <w:color w:val="auto"/>
              </w:rPr>
            </w:pPr>
            <w:r>
              <w:rPr>
                <w:rFonts w:ascii="Arial" w:cs="Arial" w:eastAsia="Arial" w:hAnsi="Arial"/>
                <w:sz w:val="14"/>
                <w:szCs w:val="14"/>
                <w:color w:val="auto"/>
              </w:rPr>
              <w:t>Q4</w:t>
            </w:r>
          </w:p>
        </w:tc>
        <w:tc>
          <w:tcPr>
            <w:tcW w:w="140" w:type="dxa"/>
            <w:vAlign w:val="bottom"/>
          </w:tcPr>
          <w:p>
            <w:pPr>
              <w:spacing w:after="0"/>
              <w:rPr>
                <w:sz w:val="24"/>
                <w:szCs w:val="24"/>
                <w:color w:val="auto"/>
              </w:rPr>
            </w:pPr>
          </w:p>
        </w:tc>
        <w:tc>
          <w:tcPr>
            <w:tcW w:w="620" w:type="dxa"/>
            <w:vAlign w:val="bottom"/>
          </w:tcPr>
          <w:p>
            <w:pPr>
              <w:jc w:val="right"/>
              <w:ind w:right="168"/>
              <w:spacing w:after="0"/>
              <w:rPr>
                <w:sz w:val="20"/>
                <w:szCs w:val="20"/>
                <w:color w:val="auto"/>
              </w:rPr>
            </w:pPr>
            <w:r>
              <w:rPr>
                <w:rFonts w:ascii="Arial" w:cs="Arial" w:eastAsia="Arial" w:hAnsi="Arial"/>
                <w:sz w:val="14"/>
                <w:szCs w:val="14"/>
                <w:color w:val="auto"/>
              </w:rPr>
              <w:t>Total</w:t>
            </w:r>
          </w:p>
        </w:tc>
      </w:tr>
      <w:tr>
        <w:trPr>
          <w:trHeight w:val="30"/>
        </w:trPr>
        <w:tc>
          <w:tcPr>
            <w:tcW w:w="4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3"/>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EBITDA:</w:t>
            </w: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r>
      <w:tr>
        <w:trPr>
          <w:trHeight w:val="211"/>
        </w:trPr>
        <w:tc>
          <w:tcPr>
            <w:tcW w:w="4500" w:type="dxa"/>
            <w:vAlign w:val="bottom"/>
          </w:tcPr>
          <w:p>
            <w:pPr>
              <w:ind w:left="600"/>
              <w:spacing w:after="0"/>
              <w:rPr>
                <w:sz w:val="20"/>
                <w:szCs w:val="20"/>
                <w:color w:val="auto"/>
              </w:rPr>
            </w:pPr>
            <w:r>
              <w:rPr>
                <w:rFonts w:ascii="Arial" w:cs="Arial" w:eastAsia="Arial" w:hAnsi="Arial"/>
                <w:sz w:val="14"/>
                <w:szCs w:val="14"/>
                <w:color w:val="auto"/>
              </w:rPr>
              <w:t>Net earnings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23,928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23,928</w:t>
            </w:r>
          </w:p>
        </w:tc>
      </w:tr>
      <w:tr>
        <w:trPr>
          <w:trHeight w:val="30"/>
        </w:trPr>
        <w:tc>
          <w:tcPr>
            <w:tcW w:w="4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1"/>
        </w:trPr>
        <w:tc>
          <w:tcPr>
            <w:tcW w:w="45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Interest expense</w:t>
            </w: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3,721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3,721</w:t>
            </w:r>
          </w:p>
        </w:tc>
      </w:tr>
      <w:tr>
        <w:trPr>
          <w:trHeight w:val="211"/>
        </w:trPr>
        <w:tc>
          <w:tcPr>
            <w:tcW w:w="4500" w:type="dxa"/>
            <w:vAlign w:val="bottom"/>
          </w:tcPr>
          <w:p>
            <w:pPr>
              <w:ind w:left="840"/>
              <w:spacing w:after="0"/>
              <w:rPr>
                <w:sz w:val="20"/>
                <w:szCs w:val="20"/>
                <w:color w:val="auto"/>
              </w:rPr>
            </w:pPr>
            <w:r>
              <w:rPr>
                <w:rFonts w:ascii="Arial" w:cs="Arial" w:eastAsia="Arial" w:hAnsi="Arial"/>
                <w:sz w:val="14"/>
                <w:szCs w:val="14"/>
                <w:color w:val="auto"/>
              </w:rPr>
              <w:t>Income taxes</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11,129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11,129</w:t>
            </w:r>
          </w:p>
        </w:tc>
      </w:tr>
      <w:tr>
        <w:trPr>
          <w:trHeight w:val="30"/>
        </w:trPr>
        <w:tc>
          <w:tcPr>
            <w:tcW w:w="4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1"/>
        </w:trPr>
        <w:tc>
          <w:tcPr>
            <w:tcW w:w="45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Depreciation and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10,878</w:t>
            </w:r>
          </w:p>
        </w:tc>
      </w:tr>
      <w:tr>
        <w:trPr>
          <w:trHeight w:val="225"/>
        </w:trPr>
        <w:tc>
          <w:tcPr>
            <w:tcW w:w="4500" w:type="dxa"/>
            <w:vAlign w:val="bottom"/>
          </w:tcPr>
          <w:p>
            <w:pPr>
              <w:ind w:left="600"/>
              <w:spacing w:after="0"/>
              <w:rPr>
                <w:sz w:val="20"/>
                <w:szCs w:val="20"/>
                <w:color w:val="auto"/>
              </w:rPr>
            </w:pPr>
            <w:r>
              <w:rPr>
                <w:rFonts w:ascii="Arial" w:cs="Arial" w:eastAsia="Arial" w:hAnsi="Arial"/>
                <w:sz w:val="14"/>
                <w:szCs w:val="14"/>
                <w:color w:val="auto"/>
              </w:rPr>
              <w:t>EBITDA (non-GAAP measure)</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49,656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49,656</w:t>
            </w:r>
          </w:p>
        </w:tc>
      </w:tr>
      <w:tr>
        <w:trPr>
          <w:trHeight w:val="20"/>
        </w:trPr>
        <w:tc>
          <w:tcPr>
            <w:tcW w:w="4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629"/>
        </w:trPr>
        <w:tc>
          <w:tcPr>
            <w:tcW w:w="4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color w:val="auto"/>
              </w:rPr>
              <w:t>Fiscal 2013</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0"/>
        </w:trPr>
        <w:tc>
          <w:tcPr>
            <w:tcW w:w="4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420"/>
        </w:trPr>
        <w:tc>
          <w:tcPr>
            <w:tcW w:w="4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color w:val="auto"/>
              </w:rPr>
              <w:t>Q1</w:t>
            </w:r>
          </w:p>
        </w:tc>
        <w:tc>
          <w:tcPr>
            <w:tcW w:w="180" w:type="dxa"/>
            <w:vAlign w:val="bottom"/>
          </w:tcPr>
          <w:p>
            <w:pPr>
              <w:spacing w:after="0"/>
              <w:rPr>
                <w:sz w:val="24"/>
                <w:szCs w:val="2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color w:val="auto"/>
              </w:rPr>
              <w:t>Q2</w:t>
            </w:r>
          </w:p>
        </w:tc>
        <w:tc>
          <w:tcPr>
            <w:tcW w:w="180" w:type="dxa"/>
            <w:vAlign w:val="bottom"/>
          </w:tcPr>
          <w:p>
            <w:pPr>
              <w:spacing w:after="0"/>
              <w:rPr>
                <w:sz w:val="24"/>
                <w:szCs w:val="24"/>
                <w:color w:val="auto"/>
              </w:rPr>
            </w:pPr>
          </w:p>
        </w:tc>
        <w:tc>
          <w:tcPr>
            <w:tcW w:w="640" w:type="dxa"/>
            <w:vAlign w:val="bottom"/>
            <w:gridSpan w:val="2"/>
          </w:tcPr>
          <w:p>
            <w:pPr>
              <w:ind w:left="100"/>
              <w:spacing w:after="0"/>
              <w:rPr>
                <w:sz w:val="20"/>
                <w:szCs w:val="20"/>
                <w:color w:val="auto"/>
              </w:rPr>
            </w:pPr>
            <w:r>
              <w:rPr>
                <w:rFonts w:ascii="Arial" w:cs="Arial" w:eastAsia="Arial" w:hAnsi="Arial"/>
                <w:sz w:val="14"/>
                <w:szCs w:val="14"/>
                <w:color w:val="auto"/>
              </w:rPr>
              <w:t>Q3</w:t>
            </w:r>
          </w:p>
        </w:tc>
        <w:tc>
          <w:tcPr>
            <w:tcW w:w="140" w:type="dxa"/>
            <w:vAlign w:val="bottom"/>
          </w:tcPr>
          <w:p>
            <w:pPr>
              <w:spacing w:after="0"/>
              <w:rPr>
                <w:sz w:val="24"/>
                <w:szCs w:val="24"/>
                <w:color w:val="auto"/>
              </w:rPr>
            </w:pPr>
          </w:p>
        </w:tc>
        <w:tc>
          <w:tcPr>
            <w:tcW w:w="740" w:type="dxa"/>
            <w:vAlign w:val="bottom"/>
            <w:gridSpan w:val="2"/>
          </w:tcPr>
          <w:p>
            <w:pPr>
              <w:ind w:left="160"/>
              <w:spacing w:after="0"/>
              <w:rPr>
                <w:sz w:val="20"/>
                <w:szCs w:val="20"/>
                <w:color w:val="auto"/>
              </w:rPr>
            </w:pPr>
            <w:r>
              <w:rPr>
                <w:rFonts w:ascii="Arial" w:cs="Arial" w:eastAsia="Arial" w:hAnsi="Arial"/>
                <w:sz w:val="14"/>
                <w:szCs w:val="14"/>
                <w:color w:val="auto"/>
              </w:rPr>
              <w:t>Q4</w:t>
            </w:r>
          </w:p>
        </w:tc>
        <w:tc>
          <w:tcPr>
            <w:tcW w:w="140" w:type="dxa"/>
            <w:vAlign w:val="bottom"/>
          </w:tcPr>
          <w:p>
            <w:pPr>
              <w:spacing w:after="0"/>
              <w:rPr>
                <w:sz w:val="24"/>
                <w:szCs w:val="24"/>
                <w:color w:val="auto"/>
              </w:rPr>
            </w:pPr>
          </w:p>
        </w:tc>
        <w:tc>
          <w:tcPr>
            <w:tcW w:w="620" w:type="dxa"/>
            <w:vAlign w:val="bottom"/>
          </w:tcPr>
          <w:p>
            <w:pPr>
              <w:jc w:val="right"/>
              <w:ind w:right="168"/>
              <w:spacing w:after="0"/>
              <w:rPr>
                <w:sz w:val="20"/>
                <w:szCs w:val="20"/>
                <w:color w:val="auto"/>
              </w:rPr>
            </w:pPr>
            <w:r>
              <w:rPr>
                <w:rFonts w:ascii="Arial" w:cs="Arial" w:eastAsia="Arial" w:hAnsi="Arial"/>
                <w:sz w:val="14"/>
                <w:szCs w:val="14"/>
                <w:color w:val="auto"/>
              </w:rPr>
              <w:t>Total</w:t>
            </w:r>
          </w:p>
        </w:tc>
      </w:tr>
      <w:tr>
        <w:trPr>
          <w:trHeight w:val="30"/>
        </w:trPr>
        <w:tc>
          <w:tcPr>
            <w:tcW w:w="4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3"/>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EBITDA:</w:t>
            </w: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r>
      <w:tr>
        <w:trPr>
          <w:trHeight w:val="211"/>
        </w:trPr>
        <w:tc>
          <w:tcPr>
            <w:tcW w:w="4500" w:type="dxa"/>
            <w:vAlign w:val="bottom"/>
          </w:tcPr>
          <w:p>
            <w:pPr>
              <w:ind w:left="600"/>
              <w:spacing w:after="0"/>
              <w:rPr>
                <w:sz w:val="20"/>
                <w:szCs w:val="20"/>
                <w:color w:val="auto"/>
              </w:rPr>
            </w:pPr>
            <w:r>
              <w:rPr>
                <w:rFonts w:ascii="Arial" w:cs="Arial" w:eastAsia="Arial" w:hAnsi="Arial"/>
                <w:sz w:val="14"/>
                <w:szCs w:val="14"/>
                <w:color w:val="auto"/>
              </w:rPr>
              <w:t>Net earnings (loss)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27,188</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(8,685)</w:t>
            </w:r>
          </w:p>
        </w:tc>
        <w:tc>
          <w:tcPr>
            <w:tcW w:w="10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4,233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(177,271)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(154,535)</w:t>
            </w:r>
          </w:p>
        </w:tc>
      </w:tr>
      <w:tr>
        <w:trPr>
          <w:trHeight w:val="30"/>
        </w:trPr>
        <w:tc>
          <w:tcPr>
            <w:tcW w:w="4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1"/>
        </w:trPr>
        <w:tc>
          <w:tcPr>
            <w:tcW w:w="45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Interest expense</w:t>
            </w: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4,406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4,186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3,886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16,641</w:t>
            </w:r>
          </w:p>
        </w:tc>
      </w:tr>
      <w:tr>
        <w:trPr>
          <w:trHeight w:val="211"/>
        </w:trPr>
        <w:tc>
          <w:tcPr>
            <w:tcW w:w="4500" w:type="dxa"/>
            <w:vAlign w:val="bottom"/>
          </w:tcPr>
          <w:p>
            <w:pPr>
              <w:ind w:left="840"/>
              <w:spacing w:after="0"/>
              <w:rPr>
                <w:sz w:val="20"/>
                <w:szCs w:val="20"/>
                <w:color w:val="auto"/>
              </w:rPr>
            </w:pPr>
            <w:r>
              <w:rPr>
                <w:rFonts w:ascii="Arial" w:cs="Arial" w:eastAsia="Arial" w:hAnsi="Arial"/>
                <w:sz w:val="14"/>
                <w:szCs w:val="14"/>
                <w:color w:val="auto"/>
              </w:rPr>
              <w:t>Income taxes</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13,481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30,625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7,595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47,284</w:t>
            </w:r>
          </w:p>
        </w:tc>
      </w:tr>
      <w:tr>
        <w:trPr>
          <w:trHeight w:val="30"/>
        </w:trPr>
        <w:tc>
          <w:tcPr>
            <w:tcW w:w="4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1"/>
        </w:trPr>
        <w:tc>
          <w:tcPr>
            <w:tcW w:w="45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Depreciation and amortization</w:t>
            </w: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10,675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11,371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13,991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12,688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48,725</w:t>
            </w:r>
          </w:p>
        </w:tc>
      </w:tr>
      <w:tr>
        <w:trPr>
          <w:trHeight w:val="211"/>
        </w:trPr>
        <w:tc>
          <w:tcPr>
            <w:tcW w:w="4500" w:type="dxa"/>
            <w:vAlign w:val="bottom"/>
          </w:tcPr>
          <w:p>
            <w:pPr>
              <w:ind w:left="840"/>
              <w:spacing w:after="0"/>
              <w:rPr>
                <w:sz w:val="20"/>
                <w:szCs w:val="20"/>
                <w:color w:val="auto"/>
              </w:rPr>
            </w:pPr>
            <w:r>
              <w:rPr>
                <w:rFonts w:ascii="Arial" w:cs="Arial" w:eastAsia="Arial" w:hAnsi="Arial"/>
                <w:sz w:val="14"/>
                <w:szCs w:val="14"/>
                <w:color w:val="auto"/>
              </w:rPr>
              <w:t>Intangible asset write-down in restructuring charges</w:t>
            </w:r>
          </w:p>
        </w:tc>
        <w:tc>
          <w:tcPr>
            <w:tcW w:w="2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3,207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3,207</w:t>
            </w:r>
          </w:p>
        </w:tc>
      </w:tr>
      <w:tr>
        <w:trPr>
          <w:trHeight w:val="30"/>
        </w:trPr>
        <w:tc>
          <w:tcPr>
            <w:tcW w:w="4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1"/>
        </w:trPr>
        <w:tc>
          <w:tcPr>
            <w:tcW w:w="45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Loss on write-down of assets held for sale</w:t>
            </w: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15,658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15,658</w:t>
            </w:r>
          </w:p>
        </w:tc>
      </w:tr>
      <w:tr>
        <w:trPr>
          <w:trHeight w:val="211"/>
        </w:trPr>
        <w:tc>
          <w:tcPr>
            <w:tcW w:w="4500" w:type="dxa"/>
            <w:vAlign w:val="bottom"/>
          </w:tcPr>
          <w:p>
            <w:pPr>
              <w:ind w:left="840"/>
              <w:spacing w:after="0"/>
              <w:rPr>
                <w:sz w:val="20"/>
                <w:szCs w:val="20"/>
                <w:color w:val="auto"/>
              </w:rPr>
            </w:pPr>
            <w:r>
              <w:rPr>
                <w:rFonts w:ascii="Arial" w:cs="Arial" w:eastAsia="Arial" w:hAnsi="Arial"/>
                <w:sz w:val="14"/>
                <w:szCs w:val="14"/>
                <w:color w:val="auto"/>
              </w:rPr>
              <w:t>Impairment charges</w:t>
            </w:r>
          </w:p>
        </w:tc>
        <w:tc>
          <w:tcPr>
            <w:tcW w:w="2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204,448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204,448</w:t>
            </w:r>
          </w:p>
        </w:tc>
      </w:tr>
      <w:tr>
        <w:trPr>
          <w:trHeight w:val="30"/>
        </w:trPr>
        <w:tc>
          <w:tcPr>
            <w:tcW w:w="4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3"/>
        </w:trPr>
        <w:tc>
          <w:tcPr>
            <w:tcW w:w="4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EBITDA (non-GAAP measure)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55,507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37,717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48,870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39,334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181,428</w:t>
            </w:r>
          </w:p>
        </w:tc>
      </w:tr>
      <w:tr>
        <w:trPr>
          <w:trHeight w:val="20"/>
        </w:trPr>
        <w:tc>
          <w:tcPr>
            <w:tcW w:w="4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706" w:right="1440"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color w:val="auto"/>
        </w:rPr>
        <w:t>NON-GAAP MEASURES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 Except Per Share Amounts)</w:t>
      </w:r>
    </w:p>
    <w:p>
      <w:pPr>
        <w:spacing w:after="0" w:line="318"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Earnings from Continuing Operations Before Income Taxes Excluding Certain Items:</w:t>
      </w:r>
    </w:p>
    <w:p>
      <w:pPr>
        <w:spacing w:after="0" w:line="72" w:lineRule="exact"/>
        <w:rPr>
          <w:sz w:val="20"/>
          <w:szCs w:val="20"/>
          <w:color w:val="auto"/>
        </w:rPr>
      </w:pPr>
    </w:p>
    <w:p>
      <w:pPr>
        <w:jc w:val="both"/>
        <w:ind w:left="60" w:right="1579"/>
        <w:spacing w:after="0" w:line="276" w:lineRule="auto"/>
        <w:rPr>
          <w:sz w:val="20"/>
          <w:szCs w:val="20"/>
          <w:color w:val="auto"/>
        </w:rPr>
      </w:pPr>
      <w:r>
        <w:rPr>
          <w:rFonts w:ascii="Arial" w:cs="Arial" w:eastAsia="Arial" w:hAnsi="Arial"/>
          <w:sz w:val="14"/>
          <w:szCs w:val="14"/>
          <w:color w:val="auto"/>
        </w:rPr>
        <w:t>Brady is presenting the Non-GAAP measure "Earnings from Continuing Operations Before Income Taxes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profit measure provides an important perspective of underlying business trends and results and provides a more comparable measure from year to year. The table below provides a reconciliation of Earnings from Continuing Operations Before Income Taxes to Earnings from Continuing Operations Before Income Taxes Excluding Certain Items:</w:t>
      </w: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6560" w:type="dxa"/>
            <w:vAlign w:val="bottom"/>
          </w:tcPr>
          <w:p>
            <w:pPr>
              <w:spacing w:after="0"/>
              <w:rPr>
                <w:sz w:val="15"/>
                <w:szCs w:val="15"/>
                <w:color w:val="auto"/>
              </w:rPr>
            </w:pPr>
          </w:p>
        </w:tc>
        <w:tc>
          <w:tcPr>
            <w:tcW w:w="2060" w:type="dxa"/>
            <w:vAlign w:val="bottom"/>
            <w:gridSpan w:val="5"/>
          </w:tcPr>
          <w:p>
            <w:pPr>
              <w:jc w:val="right"/>
              <w:spacing w:after="0"/>
              <w:rPr>
                <w:sz w:val="20"/>
                <w:szCs w:val="20"/>
                <w:color w:val="auto"/>
              </w:rPr>
            </w:pPr>
            <w:r>
              <w:rPr>
                <w:rFonts w:ascii="Arial" w:cs="Arial" w:eastAsia="Arial" w:hAnsi="Arial"/>
                <w:sz w:val="14"/>
                <w:szCs w:val="14"/>
                <w:color w:val="auto"/>
                <w:w w:val="96"/>
              </w:rPr>
              <w:t>Three Months Ended October 31,</w:t>
            </w:r>
          </w:p>
        </w:tc>
        <w:tc>
          <w:tcPr>
            <w:tcW w:w="0" w:type="dxa"/>
            <w:vAlign w:val="bottom"/>
          </w:tcPr>
          <w:p>
            <w:pPr>
              <w:spacing w:after="0"/>
              <w:rPr>
                <w:sz w:val="1"/>
                <w:szCs w:val="1"/>
                <w:color w:val="auto"/>
              </w:rPr>
            </w:pPr>
          </w:p>
        </w:tc>
      </w:tr>
      <w:tr>
        <w:trPr>
          <w:trHeight w:val="30"/>
        </w:trPr>
        <w:tc>
          <w:tcPr>
            <w:tcW w:w="6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30"/>
        </w:trPr>
        <w:tc>
          <w:tcPr>
            <w:tcW w:w="6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Earnings from Continuing Operations Before Income Taxes (GAAP measure)</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25,872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38,862</w:t>
            </w:r>
          </w:p>
        </w:tc>
        <w:tc>
          <w:tcPr>
            <w:tcW w:w="0" w:type="dxa"/>
            <w:vAlign w:val="bottom"/>
          </w:tcPr>
          <w:p>
            <w:pPr>
              <w:spacing w:after="0"/>
              <w:rPr>
                <w:sz w:val="1"/>
                <w:szCs w:val="1"/>
                <w:color w:val="auto"/>
              </w:rPr>
            </w:pPr>
          </w:p>
        </w:tc>
      </w:tr>
      <w:tr>
        <w:trPr>
          <w:trHeight w:val="211"/>
        </w:trPr>
        <w:tc>
          <w:tcPr>
            <w:tcW w:w="6560" w:type="dxa"/>
            <w:vAlign w:val="bottom"/>
          </w:tcPr>
          <w:p>
            <w:pPr>
              <w:ind w:left="640"/>
              <w:spacing w:after="0"/>
              <w:rPr>
                <w:sz w:val="20"/>
                <w:szCs w:val="20"/>
                <w:color w:val="auto"/>
              </w:rPr>
            </w:pPr>
            <w:r>
              <w:rPr>
                <w:rFonts w:ascii="Arial" w:cs="Arial" w:eastAsia="Arial" w:hAnsi="Arial"/>
                <w:sz w:val="14"/>
                <w:szCs w:val="14"/>
                <w:color w:val="auto"/>
              </w:rPr>
              <w:t>Restructuring charges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
        </w:trPr>
        <w:tc>
          <w:tcPr>
            <w:tcW w:w="6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from Continuing Operations Before Income Taxes Excluding Certain Items (non-GAAP</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32,712</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38,862</w:t>
            </w:r>
          </w:p>
        </w:tc>
        <w:tc>
          <w:tcPr>
            <w:tcW w:w="0" w:type="dxa"/>
            <w:vAlign w:val="bottom"/>
          </w:tcPr>
          <w:p>
            <w:pPr>
              <w:spacing w:after="0"/>
              <w:rPr>
                <w:sz w:val="1"/>
                <w:szCs w:val="1"/>
                <w:color w:val="auto"/>
              </w:rPr>
            </w:pPr>
          </w:p>
        </w:tc>
      </w:tr>
      <w:tr>
        <w:trPr>
          <w:trHeight w:val="197"/>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measure)</w:t>
            </w: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Income Taxes on Continuing Operations Excluding Certain Items:</w:t>
      </w:r>
    </w:p>
    <w:p>
      <w:pPr>
        <w:spacing w:after="0" w:line="72" w:lineRule="exact"/>
        <w:rPr>
          <w:sz w:val="20"/>
          <w:szCs w:val="20"/>
          <w:color w:val="auto"/>
        </w:rPr>
      </w:pPr>
    </w:p>
    <w:p>
      <w:pPr>
        <w:jc w:val="both"/>
        <w:ind w:left="60" w:right="1619"/>
        <w:spacing w:after="0" w:line="303" w:lineRule="auto"/>
        <w:rPr>
          <w:sz w:val="20"/>
          <w:szCs w:val="20"/>
          <w:color w:val="auto"/>
        </w:rPr>
      </w:pPr>
      <w:r>
        <w:rPr>
          <w:rFonts w:ascii="Arial" w:cs="Arial" w:eastAsia="Arial" w:hAnsi="Arial"/>
          <w:sz w:val="13"/>
          <w:szCs w:val="13"/>
          <w:color w:val="auto"/>
        </w:rPr>
        <w:t>Brady is presenting the Non-GAAP measure "Income Taxes on Continuing Operations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measure provides an important perspective of underlying business trends and results and provides a more comparable measure from year to year. The table below provides a reconciliation of Income Taxes on Continuing Operations to Income Taxes on Continuing Operations Excluding Certain Items: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6520" w:type="dxa"/>
            <w:vAlign w:val="bottom"/>
          </w:tcPr>
          <w:p>
            <w:pPr>
              <w:spacing w:after="0"/>
              <w:rPr>
                <w:sz w:val="15"/>
                <w:szCs w:val="15"/>
                <w:color w:val="auto"/>
              </w:rPr>
            </w:pPr>
          </w:p>
        </w:tc>
        <w:tc>
          <w:tcPr>
            <w:tcW w:w="2080" w:type="dxa"/>
            <w:vAlign w:val="bottom"/>
            <w:gridSpan w:val="5"/>
          </w:tcPr>
          <w:p>
            <w:pPr>
              <w:jc w:val="right"/>
              <w:spacing w:after="0"/>
              <w:rPr>
                <w:sz w:val="20"/>
                <w:szCs w:val="20"/>
                <w:color w:val="auto"/>
              </w:rPr>
            </w:pPr>
            <w:r>
              <w:rPr>
                <w:rFonts w:ascii="Arial" w:cs="Arial" w:eastAsia="Arial" w:hAnsi="Arial"/>
                <w:sz w:val="14"/>
                <w:szCs w:val="14"/>
                <w:color w:val="auto"/>
                <w:w w:val="96"/>
              </w:rPr>
              <w:t>Three Months Ended October 31,</w:t>
            </w:r>
          </w:p>
        </w:tc>
      </w:tr>
      <w:tr>
        <w:trPr>
          <w:trHeight w:val="30"/>
        </w:trPr>
        <w:tc>
          <w:tcPr>
            <w:tcW w:w="6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3"/>
        </w:trPr>
        <w:tc>
          <w:tcPr>
            <w:tcW w:w="6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color w:val="auto"/>
              </w:rPr>
              <w:t>2012</w:t>
            </w:r>
          </w:p>
        </w:tc>
      </w:tr>
      <w:tr>
        <w:trPr>
          <w:trHeight w:val="30"/>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1"/>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Taxes on Continuing Operations (GAAP measure)</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8,449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13,077</w:t>
            </w:r>
          </w:p>
        </w:tc>
      </w:tr>
      <w:tr>
        <w:trPr>
          <w:trHeight w:val="211"/>
        </w:trPr>
        <w:tc>
          <w:tcPr>
            <w:tcW w:w="6520" w:type="dxa"/>
            <w:vAlign w:val="bottom"/>
          </w:tcPr>
          <w:p>
            <w:pPr>
              <w:ind w:left="640"/>
              <w:spacing w:after="0"/>
              <w:rPr>
                <w:sz w:val="20"/>
                <w:szCs w:val="20"/>
                <w:color w:val="auto"/>
              </w:rPr>
            </w:pPr>
            <w:r>
              <w:rPr>
                <w:rFonts w:ascii="Arial" w:cs="Arial" w:eastAsia="Arial" w:hAnsi="Arial"/>
                <w:sz w:val="14"/>
                <w:szCs w:val="14"/>
                <w:color w:val="auto"/>
              </w:rPr>
              <w:t>Restructuring charges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0"/>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3"/>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Taxes on Continuing Operations Excluding Certain Items (non-GAAP measure)</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10,654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13,077</w:t>
            </w: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Net Earnings from Continuing Operations Excluding Certain Items:</w:t>
      </w:r>
    </w:p>
    <w:p>
      <w:pPr>
        <w:spacing w:after="0" w:line="72" w:lineRule="exact"/>
        <w:rPr>
          <w:sz w:val="20"/>
          <w:szCs w:val="20"/>
          <w:color w:val="auto"/>
        </w:rPr>
      </w:pPr>
    </w:p>
    <w:p>
      <w:pPr>
        <w:jc w:val="both"/>
        <w:ind w:left="60" w:right="1579"/>
        <w:spacing w:after="0" w:line="303" w:lineRule="auto"/>
        <w:rPr>
          <w:sz w:val="20"/>
          <w:szCs w:val="20"/>
          <w:color w:val="auto"/>
        </w:rPr>
      </w:pPr>
      <w:r>
        <w:rPr>
          <w:rFonts w:ascii="Arial" w:cs="Arial" w:eastAsia="Arial" w:hAnsi="Arial"/>
          <w:sz w:val="13"/>
          <w:szCs w:val="13"/>
          <w:color w:val="auto"/>
        </w:rPr>
        <w:t>Brady is presenting the Non-GAAP measure "Net Earnings from Continuing Operations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measure provides an important perspective of underlying business trends and results and provides a more comparable measure from year to year. The table below provides a reconciliation of Net Earnings from Continuing Operations to Net Earnings from Continuing Operations Excluding Certain Items: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6560" w:type="dxa"/>
            <w:vAlign w:val="bottom"/>
          </w:tcPr>
          <w:p>
            <w:pPr>
              <w:spacing w:after="0"/>
              <w:rPr>
                <w:sz w:val="15"/>
                <w:szCs w:val="15"/>
                <w:color w:val="auto"/>
              </w:rPr>
            </w:pPr>
          </w:p>
        </w:tc>
        <w:tc>
          <w:tcPr>
            <w:tcW w:w="2060" w:type="dxa"/>
            <w:vAlign w:val="bottom"/>
            <w:gridSpan w:val="5"/>
          </w:tcPr>
          <w:p>
            <w:pPr>
              <w:jc w:val="right"/>
              <w:spacing w:after="0"/>
              <w:rPr>
                <w:sz w:val="20"/>
                <w:szCs w:val="20"/>
                <w:color w:val="auto"/>
              </w:rPr>
            </w:pPr>
            <w:r>
              <w:rPr>
                <w:rFonts w:ascii="Arial" w:cs="Arial" w:eastAsia="Arial" w:hAnsi="Arial"/>
                <w:sz w:val="14"/>
                <w:szCs w:val="14"/>
                <w:color w:val="auto"/>
                <w:w w:val="96"/>
              </w:rPr>
              <w:t>Three Months Ended October 31,</w:t>
            </w:r>
          </w:p>
        </w:tc>
      </w:tr>
      <w:tr>
        <w:trPr>
          <w:trHeight w:val="30"/>
        </w:trPr>
        <w:tc>
          <w:tcPr>
            <w:tcW w:w="6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3"/>
        </w:trPr>
        <w:tc>
          <w:tcPr>
            <w:tcW w:w="6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color w:val="auto"/>
              </w:rPr>
              <w:t>2012</w:t>
            </w:r>
          </w:p>
        </w:tc>
      </w:tr>
      <w:tr>
        <w:trPr>
          <w:trHeight w:val="30"/>
        </w:trPr>
        <w:tc>
          <w:tcPr>
            <w:tcW w:w="6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1"/>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from Continuing Operations (GAAP measure)</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17,423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25,785</w:t>
            </w:r>
          </w:p>
        </w:tc>
      </w:tr>
      <w:tr>
        <w:trPr>
          <w:trHeight w:val="211"/>
        </w:trPr>
        <w:tc>
          <w:tcPr>
            <w:tcW w:w="6560" w:type="dxa"/>
            <w:vAlign w:val="bottom"/>
          </w:tcPr>
          <w:p>
            <w:pPr>
              <w:ind w:left="640"/>
              <w:spacing w:after="0"/>
              <w:rPr>
                <w:sz w:val="20"/>
                <w:szCs w:val="20"/>
                <w:color w:val="auto"/>
              </w:rPr>
            </w:pPr>
            <w:r>
              <w:rPr>
                <w:rFonts w:ascii="Arial" w:cs="Arial" w:eastAsia="Arial" w:hAnsi="Arial"/>
                <w:sz w:val="14"/>
                <w:szCs w:val="14"/>
                <w:color w:val="auto"/>
              </w:rPr>
              <w:t>Restructuring charges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0"/>
        </w:trPr>
        <w:tc>
          <w:tcPr>
            <w:tcW w:w="6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3"/>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from Continuing Operations Excluding Certain Items (non-GAAP measure)</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22,058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25,785</w:t>
            </w:r>
          </w:p>
        </w:tc>
      </w:tr>
      <w:tr>
        <w:trPr>
          <w:trHeight w:val="20"/>
        </w:trPr>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706" w:right="1440"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color w:val="auto"/>
        </w:rPr>
        <w:t>NON-GAAP MEASURES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 Except Per Share Amounts)</w:t>
      </w:r>
    </w:p>
    <w:p>
      <w:pPr>
        <w:spacing w:after="0" w:line="33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Net Earnings from Continuing Operations Per Diluted Class A Nonvoting Common Share Excluding Certain Items:</w:t>
      </w:r>
    </w:p>
    <w:p>
      <w:pPr>
        <w:spacing w:after="0" w:line="72" w:lineRule="exact"/>
        <w:rPr>
          <w:sz w:val="20"/>
          <w:szCs w:val="20"/>
          <w:color w:val="auto"/>
        </w:rPr>
      </w:pPr>
    </w:p>
    <w:p>
      <w:pPr>
        <w:jc w:val="both"/>
        <w:ind w:left="60" w:right="1579"/>
        <w:spacing w:after="0" w:line="301" w:lineRule="auto"/>
        <w:rPr>
          <w:sz w:val="20"/>
          <w:szCs w:val="20"/>
          <w:color w:val="auto"/>
        </w:rPr>
      </w:pPr>
      <w:r>
        <w:rPr>
          <w:rFonts w:ascii="Arial" w:cs="Arial" w:eastAsia="Arial" w:hAnsi="Arial"/>
          <w:sz w:val="13"/>
          <w:szCs w:val="13"/>
          <w:color w:val="auto"/>
        </w:rPr>
        <w:t>Brady is presenting the Non-GAAP measure "Net Earnings from Continuing Operations Per Diluted Class A Nonvoting Common Share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measure provides an important perspective of underlying business trends and results and provides a more comparable measure from year to year. The table below provides a reconciliation of Net Earnings from Continuing Operations Per Diluted Class A Nonvoting Common Share to Net Earnings from Continuing Operations Per Diluted Class A Nonvoting Common Share Excluding Certain Items: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6560" w:type="dxa"/>
            <w:vAlign w:val="bottom"/>
          </w:tcPr>
          <w:p>
            <w:pPr>
              <w:spacing w:after="0"/>
              <w:rPr>
                <w:sz w:val="15"/>
                <w:szCs w:val="15"/>
                <w:color w:val="auto"/>
              </w:rPr>
            </w:pPr>
          </w:p>
        </w:tc>
        <w:tc>
          <w:tcPr>
            <w:tcW w:w="2060" w:type="dxa"/>
            <w:vAlign w:val="bottom"/>
            <w:gridSpan w:val="5"/>
          </w:tcPr>
          <w:p>
            <w:pPr>
              <w:jc w:val="right"/>
              <w:spacing w:after="0"/>
              <w:rPr>
                <w:sz w:val="20"/>
                <w:szCs w:val="20"/>
                <w:color w:val="auto"/>
              </w:rPr>
            </w:pPr>
            <w:r>
              <w:rPr>
                <w:rFonts w:ascii="Arial" w:cs="Arial" w:eastAsia="Arial" w:hAnsi="Arial"/>
                <w:sz w:val="14"/>
                <w:szCs w:val="14"/>
                <w:color w:val="auto"/>
                <w:w w:val="96"/>
              </w:rPr>
              <w:t>Three Months Ended October 31,</w:t>
            </w:r>
          </w:p>
        </w:tc>
        <w:tc>
          <w:tcPr>
            <w:tcW w:w="0" w:type="dxa"/>
            <w:vAlign w:val="bottom"/>
          </w:tcPr>
          <w:p>
            <w:pPr>
              <w:spacing w:after="0"/>
              <w:rPr>
                <w:sz w:val="1"/>
                <w:szCs w:val="1"/>
                <w:color w:val="auto"/>
              </w:rPr>
            </w:pPr>
          </w:p>
        </w:tc>
      </w:tr>
      <w:tr>
        <w:trPr>
          <w:trHeight w:val="30"/>
        </w:trPr>
        <w:tc>
          <w:tcPr>
            <w:tcW w:w="65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5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2013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30"/>
        </w:trPr>
        <w:tc>
          <w:tcPr>
            <w:tcW w:w="65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from Continuing Operations Per Diluted Class A Nonvoting Share (GAAP measure)</w:t>
            </w:r>
          </w:p>
        </w:tc>
        <w:tc>
          <w:tcPr>
            <w:tcW w:w="660" w:type="dxa"/>
            <w:vAlign w:val="bottom"/>
            <w:tcBorders>
              <w:bottom w:val="single" w:sz="8" w:color="CCEEFF"/>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0.33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0.50</w:t>
            </w:r>
          </w:p>
        </w:tc>
        <w:tc>
          <w:tcPr>
            <w:tcW w:w="0" w:type="dxa"/>
            <w:vAlign w:val="bottom"/>
          </w:tcPr>
          <w:p>
            <w:pPr>
              <w:spacing w:after="0"/>
              <w:rPr>
                <w:sz w:val="1"/>
                <w:szCs w:val="1"/>
                <w:color w:val="auto"/>
              </w:rPr>
            </w:pPr>
          </w:p>
        </w:tc>
      </w:tr>
      <w:tr>
        <w:trPr>
          <w:trHeight w:val="211"/>
        </w:trPr>
        <w:tc>
          <w:tcPr>
            <w:tcW w:w="6560" w:type="dxa"/>
            <w:vAlign w:val="bottom"/>
          </w:tcPr>
          <w:p>
            <w:pPr>
              <w:ind w:left="640"/>
              <w:spacing w:after="0"/>
              <w:rPr>
                <w:sz w:val="20"/>
                <w:szCs w:val="20"/>
                <w:color w:val="auto"/>
              </w:rPr>
            </w:pPr>
            <w:r>
              <w:rPr>
                <w:rFonts w:ascii="Arial" w:cs="Arial" w:eastAsia="Arial" w:hAnsi="Arial"/>
                <w:sz w:val="14"/>
                <w:szCs w:val="14"/>
                <w:color w:val="auto"/>
              </w:rPr>
              <w:t>Restructuring charges</w:t>
            </w:r>
          </w:p>
        </w:tc>
        <w:tc>
          <w:tcPr>
            <w:tcW w:w="6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95"/>
              </w:rPr>
              <w:t>0.09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
        </w:trPr>
        <w:tc>
          <w:tcPr>
            <w:tcW w:w="65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from Continuing Operations Per Diluted Class A Nonvoting Share Excluding Certain</w:t>
            </w:r>
          </w:p>
        </w:tc>
        <w:tc>
          <w:tcPr>
            <w:tcW w:w="660" w:type="dxa"/>
            <w:vAlign w:val="bottom"/>
            <w:vMerge w:val="restart"/>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5"/>
              </w:rPr>
              <w:t>0.42</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0.50</w:t>
            </w:r>
          </w:p>
        </w:tc>
        <w:tc>
          <w:tcPr>
            <w:tcW w:w="0" w:type="dxa"/>
            <w:vAlign w:val="bottom"/>
          </w:tcPr>
          <w:p>
            <w:pPr>
              <w:spacing w:after="0"/>
              <w:rPr>
                <w:sz w:val="1"/>
                <w:szCs w:val="1"/>
                <w:color w:val="auto"/>
              </w:rPr>
            </w:pPr>
          </w:p>
        </w:tc>
      </w:tr>
      <w:tr>
        <w:trPr>
          <w:trHeight w:val="197"/>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Items (non-GAAP measure)</w:t>
            </w: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706" w:right="1440" w:bottom="1440"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lowerLetter"/>
      <w:start w:val="2"/>
    </w:lvl>
  </w:abstractNum>
  <w:abstractNum w:abstractNumId="2">
    <w:nsid w:val="DED7263"/>
    <w:multiLevelType w:val="hybridMultilevel"/>
    <w:lvl w:ilvl="0">
      <w:lvlJc w:val="left"/>
      <w:lvlText w:val="(%1)"/>
      <w:numFmt w:val="lowerLetter"/>
      <w:start w:val="4"/>
    </w:lvl>
  </w:abstractNum>
  <w:abstractNum w:abstractNumId="3">
    <w:nsid w:val="7FDCC233"/>
    <w:multiLevelType w:val="hybridMultilevel"/>
    <w:lvl w:ilvl="0">
      <w:lvlJc w:val="left"/>
      <w:lvlText w:val="(%1)"/>
      <w:numFmt w:val="lowerLetter"/>
      <w:start w:val="5"/>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2"/>
    </w:lvl>
  </w:abstractNum>
  <w:abstractNum w:abstractNumId="6">
    <w:nsid w:val="6B68079A"/>
    <w:multiLevelType w:val="hybridMultilevel"/>
    <w:lvl w:ilvl="0">
      <w:lvlJc w:val="left"/>
      <w:lvlText w:val="%1."/>
      <w:numFmt w:val="decimal"/>
      <w:start w:val="3"/>
    </w:lvl>
  </w:abstractNum>
  <w:abstractNum w:abstractNumId="7">
    <w:nsid w:val="4E6AFB66"/>
    <w:multiLevelType w:val="hybridMultilevel"/>
    <w:lvl w:ilvl="0">
      <w:lvlJc w:val="left"/>
      <w:lvlText w:val="%1."/>
      <w:numFmt w:val="decimal"/>
      <w:start w:val="4"/>
    </w:lvl>
  </w:abstractNum>
  <w:abstractNum w:abstractNumId="8">
    <w:nsid w:val="25E45D32"/>
    <w:multiLevelType w:val="hybridMultilevel"/>
    <w:lvl w:ilvl="0">
      <w:lvlJc w:val="left"/>
      <w:lvlText w:val="%1."/>
      <w:numFmt w:val="decimal"/>
      <w:start w:val="5"/>
    </w:lvl>
  </w:abstractNum>
  <w:abstractNum w:abstractNumId="9">
    <w:nsid w:val="519B500D"/>
    <w:multiLevelType w:val="hybridMultilevel"/>
    <w:lvl w:ilvl="0">
      <w:lvlJc w:val="left"/>
      <w:lvlText w:val="%1."/>
      <w:numFmt w:val="decimal"/>
      <w:start w:val="6"/>
    </w:lvl>
  </w:abstractNum>
  <w:abstractNum w:abstractNumId="10">
    <w:nsid w:val="431BD7B7"/>
    <w:multiLevelType w:val="hybridMultilevel"/>
    <w:lvl w:ilvl="0">
      <w:lvlJc w:val="left"/>
      <w:lvlText w:val="%1."/>
      <w:numFmt w:val="decimal"/>
      <w:start w:val="7"/>
    </w:lvl>
  </w:abstractNum>
  <w:abstractNum w:abstractNumId="11">
    <w:nsid w:val="3F2DBA31"/>
    <w:multiLevelType w:val="hybridMultilevel"/>
    <w:lvl w:ilvl="0">
      <w:lvlJc w:val="left"/>
      <w:lvlText w:val="%1."/>
      <w:numFmt w:val="decimal"/>
      <w:start w:val="8"/>
    </w:lvl>
  </w:abstractNum>
  <w:abstractNum w:abstractNumId="12">
    <w:nsid w:val="7C83E458"/>
    <w:multiLevelType w:val="hybridMultilevel"/>
    <w:lvl w:ilvl="0">
      <w:lvlJc w:val="left"/>
      <w:lvlText w:val="%1."/>
      <w:numFmt w:val="decimal"/>
      <w:start w:val="9"/>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1)"/>
      <w:numFmt w:val="lowerRoman"/>
      <w:start w:val="1"/>
    </w:lvl>
  </w:abstractNum>
  <w:abstractNum w:abstractNumId="15">
    <w:nsid w:val="436C6125"/>
    <w:multiLevelType w:val="hybridMultilevel"/>
    <w:lvl w:ilvl="0">
      <w:lvlJc w:val="left"/>
      <w:lvlText w:val="(%1)"/>
      <w:numFmt w:val="lowerRoman"/>
      <w:start w:val="3"/>
    </w:lvl>
  </w:abstractNum>
  <w:abstractNum w:abstractNumId="16">
    <w:nsid w:val="628C895D"/>
    <w:multiLevelType w:val="hybridMultilevel"/>
    <w:lvl w:ilvl="0">
      <w:lvlJc w:val="left"/>
      <w:lvlText w:val="(%1)"/>
      <w:numFmt w:val="lowerRoman"/>
      <w:start w:val="4"/>
    </w:lvl>
  </w:abstractNum>
  <w:abstractNum w:abstractNumId="17">
    <w:nsid w:val="333AB105"/>
    <w:multiLevelType w:val="hybridMultilevel"/>
    <w:lvl w:ilvl="0">
      <w:lvlJc w:val="left"/>
      <w:lvlText w:val="(%1)"/>
      <w:numFmt w:val="lowerRoman"/>
      <w:start w:val="5"/>
    </w:lvl>
  </w:abstractNum>
  <w:abstractNum w:abstractNumId="18">
    <w:nsid w:val="721DA317"/>
    <w:multiLevelType w:val="hybridMultilevel"/>
    <w:lvl w:ilvl="0">
      <w:lvlJc w:val="left"/>
      <w:lvlText w:val="(%1)"/>
      <w:numFmt w:val="lowerLetter"/>
      <w:start w:val="2"/>
    </w:lvl>
  </w:abstractNum>
  <w:abstractNum w:abstractNumId="19">
    <w:nsid w:val="2443A858"/>
    <w:multiLevelType w:val="hybridMultilevel"/>
    <w:lvl w:ilvl="0">
      <w:lvlJc w:val="left"/>
      <w:lvlText w:val="(%1)"/>
      <w:numFmt w:val="lowerRoman"/>
      <w:start w:val="1"/>
    </w:lvl>
    <w:lvl w:ilvl="1">
      <w:lvlJc w:val="left"/>
      <w:lvlText w:val="(%2)"/>
      <w:numFmt w:val="upperLetter"/>
      <w:start w:val="1"/>
    </w:lvl>
  </w:abstractNum>
  <w:abstractNum w:abstractNumId="20">
    <w:nsid w:val="2D1D5AE9"/>
    <w:multiLevelType w:val="hybridMultilevel"/>
    <w:lvl w:ilvl="0">
      <w:lvlJc w:val="left"/>
      <w:lvlText w:val="(%1)"/>
      <w:numFmt w:val="lowerLetter"/>
      <w:start w:val="3"/>
    </w:lvl>
  </w:abstractNum>
  <w:abstractNum w:abstractNumId="21">
    <w:nsid w:val="6763845E"/>
    <w:multiLevelType w:val="hybridMultilevel"/>
    <w:lvl w:ilvl="0">
      <w:lvlJc w:val="left"/>
      <w:lvlText w:val="%1."/>
      <w:numFmt w:val="decimal"/>
      <w:start w:val="10"/>
    </w:lvl>
  </w:abstractNum>
  <w:abstractNum w:abstractNumId="22">
    <w:nsid w:val="75A2A8D4"/>
    <w:multiLevelType w:val="hybridMultilevel"/>
    <w:lvl w:ilvl="0">
      <w:lvlJc w:val="left"/>
      <w:lvlText w:val="%1."/>
      <w:numFmt w:val="decimal"/>
      <w:start w:val="11"/>
    </w:lvl>
  </w:abstractNum>
  <w:abstractNum w:abstractNumId="23">
    <w:nsid w:val="8EDBDAB"/>
    <w:multiLevelType w:val="hybridMultilevel"/>
    <w:lvl w:ilvl="0">
      <w:lvlJc w:val="left"/>
      <w:lvlText w:val="(%1)"/>
      <w:numFmt w:val="lowerLetter"/>
      <w:start w:val="2"/>
    </w:lvl>
  </w:abstractNum>
  <w:abstractNum w:abstractNumId="24">
    <w:nsid w:val="79838CB2"/>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2019-12-05T20:59:21Z</dcterms:created>
  <dcterms:modified xsi:type="dcterms:W3CDTF">2019-12-05T20:59:21Z</dcterms:modified>
</cp:coreProperties>
</file>