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Date of Report (Date of earliest event reported): September 10,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206375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64"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On September 12, 2013, Brady Corporation (the "Company") issued a press release announcing its fiscal 2013 fourth quarter financial results. A copy of the press release announcing the fourth quarter financial results is being furnished to the Securities and Exchange Commission as Exhibit 99.1 attached hereto and is incorporated herein by reference.</w:t>
      </w:r>
    </w:p>
    <w:p>
      <w:pPr>
        <w:spacing w:after="0" w:line="30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2.05</w:t>
      </w:r>
      <w:r>
        <w:rPr>
          <w:sz w:val="20"/>
          <w:szCs w:val="20"/>
          <w:color w:val="auto"/>
        </w:rPr>
        <w:tab/>
      </w:r>
      <w:r>
        <w:rPr>
          <w:rFonts w:ascii="Arial" w:cs="Arial" w:eastAsia="Arial" w:hAnsi="Arial"/>
          <w:sz w:val="15"/>
          <w:szCs w:val="15"/>
          <w:color w:val="auto"/>
        </w:rPr>
        <w:t>COSTS ASSOCIATED WITH EXIT OR DISPOSAL ACTIVITIES</w:t>
      </w:r>
    </w:p>
    <w:p>
      <w:pPr>
        <w:spacing w:after="0" w:line="226" w:lineRule="exact"/>
        <w:rPr>
          <w:sz w:val="20"/>
          <w:szCs w:val="20"/>
          <w:color w:val="auto"/>
        </w:rPr>
      </w:pPr>
    </w:p>
    <w:p>
      <w:pPr>
        <w:jc w:val="both"/>
        <w:ind w:firstLine="579"/>
        <w:spacing w:after="0" w:line="277" w:lineRule="auto"/>
        <w:rPr>
          <w:sz w:val="20"/>
          <w:szCs w:val="20"/>
          <w:color w:val="auto"/>
        </w:rPr>
      </w:pPr>
      <w:r>
        <w:rPr>
          <w:rFonts w:ascii="Arial" w:cs="Arial" w:eastAsia="Arial" w:hAnsi="Arial"/>
          <w:sz w:val="15"/>
          <w:szCs w:val="15"/>
          <w:color w:val="auto"/>
        </w:rPr>
        <w:t>On September 11, 2013, the Company's Board of Directors approved a restructuring plan to consolidate facilities in North America, Europe and Asia. The Company is implementing the restructuring action to improve efficiency of operations, reduce operating expenses and enhance customer service. In connection with the restructuring action, the Company expects to incur pre-tax charges of approximately $30 million, substantially all of which are expected to be incurred during fiscal 2014. The charges include employee severance costs of approximately $13 million, facility shut-down costs and lease termination costs of approximately $12 million, and non-cash asset write-offs of approximately $5 million. Cash expenditures for these restructuring activities are expected to be approximately $25 million and are being funded with cash generated from operations. The Company expects the restructuring actions to be substantially complete by the end of fiscal 2014.</w:t>
      </w:r>
    </w:p>
    <w:p>
      <w:pPr>
        <w:spacing w:after="0" w:line="301"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2.06</w:t>
      </w:r>
      <w:r>
        <w:rPr>
          <w:sz w:val="20"/>
          <w:szCs w:val="20"/>
          <w:color w:val="auto"/>
        </w:rPr>
        <w:tab/>
      </w:r>
      <w:r>
        <w:rPr>
          <w:rFonts w:ascii="Arial" w:cs="Arial" w:eastAsia="Arial" w:hAnsi="Arial"/>
          <w:sz w:val="15"/>
          <w:szCs w:val="15"/>
          <w:color w:val="auto"/>
        </w:rPr>
        <w:t>MATERIAL IMPAIRMENTS</w:t>
      </w:r>
    </w:p>
    <w:p>
      <w:pPr>
        <w:spacing w:after="0" w:line="226" w:lineRule="exact"/>
        <w:rPr>
          <w:sz w:val="20"/>
          <w:szCs w:val="20"/>
          <w:color w:val="auto"/>
        </w:rPr>
      </w:pPr>
    </w:p>
    <w:p>
      <w:pPr>
        <w:jc w:val="both"/>
        <w:ind w:right="20" w:firstLine="579"/>
        <w:spacing w:after="0" w:line="261" w:lineRule="auto"/>
        <w:rPr>
          <w:sz w:val="20"/>
          <w:szCs w:val="20"/>
          <w:color w:val="auto"/>
        </w:rPr>
      </w:pPr>
      <w:r>
        <w:rPr>
          <w:rFonts w:ascii="Arial" w:cs="Arial" w:eastAsia="Arial" w:hAnsi="Arial"/>
          <w:sz w:val="16"/>
          <w:szCs w:val="16"/>
          <w:color w:val="auto"/>
        </w:rPr>
        <w:t>On September 10, 2013, the Company concluded that under generally accepted accounting principles a material charge of approximately $204 million for impairment of goodwill and other long-lived assets within its Workplace Safety Americas and Identification Solutions APAC reporting units will be recorded in the Company's fourth fiscal quarter ended July 31, 2013. This non-cash impairment charge does not impact the Company's future cash flow, liquidity, or compliance with its debt covenants in various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WPS Americas</w:t>
      </w:r>
    </w:p>
    <w:p>
      <w:pPr>
        <w:spacing w:after="0" w:line="202" w:lineRule="exact"/>
        <w:rPr>
          <w:sz w:val="20"/>
          <w:szCs w:val="20"/>
          <w:color w:val="auto"/>
        </w:rPr>
      </w:pPr>
    </w:p>
    <w:p>
      <w:pPr>
        <w:jc w:val="both"/>
        <w:ind w:right="20" w:firstLine="579"/>
        <w:spacing w:after="0" w:line="261" w:lineRule="auto"/>
        <w:rPr>
          <w:sz w:val="20"/>
          <w:szCs w:val="20"/>
          <w:color w:val="auto"/>
        </w:rPr>
      </w:pPr>
      <w:r>
        <w:rPr>
          <w:rFonts w:ascii="Arial" w:cs="Arial" w:eastAsia="Arial" w:hAnsi="Arial"/>
          <w:sz w:val="16"/>
          <w:szCs w:val="16"/>
          <w:color w:val="auto"/>
        </w:rPr>
        <w:t>Since the global economic recession in fiscal 2009, organic growth within the WPS Americas reporting unit has been difficult to achieve, especially within mature markets such as the U.S. and Canada where business-to-business transactions over the internet are more advanced than many of the European and Australian markets. With the acceleration of the internet in the business-to-business market, competition and pricing pressure have intensified. As a result, organic sales declined by approximately 7% and segment profit declined by nearly 20% during fiscal 2013 compared to fiscal 2012.</w:t>
      </w:r>
    </w:p>
    <w:p>
      <w:pPr>
        <w:spacing w:after="0" w:line="165" w:lineRule="exact"/>
        <w:rPr>
          <w:sz w:val="20"/>
          <w:szCs w:val="20"/>
          <w:color w:val="auto"/>
        </w:rPr>
      </w:pPr>
    </w:p>
    <w:p>
      <w:pPr>
        <w:jc w:val="both"/>
        <w:ind w:right="20" w:firstLine="579"/>
        <w:spacing w:after="0" w:line="258" w:lineRule="auto"/>
        <w:rPr>
          <w:sz w:val="20"/>
          <w:szCs w:val="20"/>
          <w:color w:val="auto"/>
        </w:rPr>
      </w:pPr>
      <w:r>
        <w:rPr>
          <w:rFonts w:ascii="Arial" w:cs="Arial" w:eastAsia="Arial" w:hAnsi="Arial"/>
          <w:sz w:val="16"/>
          <w:szCs w:val="16"/>
          <w:color w:val="auto"/>
        </w:rPr>
        <w:t>The Company is modifying its strategy within the WPS platform, which includes investments in the following: enhanced digital capabilities, expanded product offerings, enhanced industry-specific expertise, and adjusting its pricing strategies. Although management believes the strategy modifications will improve organic sales and profitability of the WPS segment in future years, there is risk associated with any strategy. As such, the Company's annual goodwill impairment test performed as of May 1, 2013, resulted in an impairment of approximately $173 million in goodwill and approximately $10 million in indefinite-lived tradenames during the three months ended July 31, 2013.</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IDS APAC</w:t>
      </w:r>
    </w:p>
    <w:p>
      <w:pPr>
        <w:spacing w:after="0" w:line="202" w:lineRule="exact"/>
        <w:rPr>
          <w:sz w:val="20"/>
          <w:szCs w:val="20"/>
          <w:color w:val="auto"/>
        </w:rPr>
      </w:pPr>
    </w:p>
    <w:p>
      <w:pPr>
        <w:jc w:val="both"/>
        <w:ind w:right="20" w:firstLine="579"/>
        <w:spacing w:after="0" w:line="261" w:lineRule="auto"/>
        <w:rPr>
          <w:sz w:val="20"/>
          <w:szCs w:val="20"/>
          <w:color w:val="auto"/>
        </w:rPr>
      </w:pPr>
      <w:r>
        <w:rPr>
          <w:rFonts w:ascii="Arial" w:cs="Arial" w:eastAsia="Arial" w:hAnsi="Arial"/>
          <w:sz w:val="16"/>
          <w:szCs w:val="16"/>
          <w:color w:val="auto"/>
        </w:rPr>
        <w:t>The IDS APAC reporting unit had goodwill of approximately $18 million at the annual impairment assessment date. Although sales grew within this reporting unit from 2012 to 2013, profit declined, and neither were as high as anticipated. Projections for the business were not sufficient to support the balance of goodwill remaining within the reporting unit, and the Company concluded that the annual goodwill impairment test resulted in an impairment of approximately $18 million in goodwill and approximately $3 million in fixed assets during the three months ended July 31, 2013.</w:t>
      </w:r>
    </w:p>
    <w:p>
      <w:pPr>
        <w:sectPr>
          <w:pgSz w:w="11900" w:h="16838" w:orient="portrait"/>
          <w:cols w:equalWidth="0" w:num="1">
            <w:col w:w="11440"/>
          </w:cols>
          <w:pgMar w:left="240" w:top="682" w:right="219" w:bottom="1440" w:gutter="0" w:footer="0" w:header="0"/>
        </w:sectPr>
      </w:pPr>
    </w:p>
    <w:bookmarkStart w:id="2" w:name="page3"/>
    <w:bookmarkEnd w:id="2"/>
    <w:p>
      <w:pPr>
        <w:ind w:left="24"/>
        <w:spacing w:after="0"/>
        <w:tabs>
          <w:tab w:leader="none" w:pos="943" w:val="left"/>
        </w:tabs>
        <w:rPr>
          <w:sz w:val="20"/>
          <w:szCs w:val="20"/>
          <w:color w:val="auto"/>
        </w:rPr>
      </w:pPr>
      <w:r>
        <w:rPr>
          <w:rFonts w:ascii="Arial" w:cs="Arial" w:eastAsia="Arial" w:hAnsi="Arial"/>
          <w:sz w:val="16"/>
          <w:szCs w:val="16"/>
          <w:color w:val="auto"/>
        </w:rPr>
        <w:t>Item 8.01</w:t>
      </w:r>
      <w:r>
        <w:rPr>
          <w:sz w:val="20"/>
          <w:szCs w:val="20"/>
          <w:color w:val="auto"/>
        </w:rPr>
        <w:tab/>
      </w:r>
      <w:r>
        <w:rPr>
          <w:rFonts w:ascii="Arial" w:cs="Arial" w:eastAsia="Arial" w:hAnsi="Arial"/>
          <w:sz w:val="15"/>
          <w:szCs w:val="15"/>
          <w:color w:val="auto"/>
        </w:rPr>
        <w:t>OTHER EVENTS</w:t>
      </w:r>
    </w:p>
    <w:p>
      <w:pPr>
        <w:spacing w:after="0" w:line="226"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Director Compensation</w:t>
      </w:r>
    </w:p>
    <w:p>
      <w:pPr>
        <w:spacing w:after="0" w:line="202" w:lineRule="exact"/>
        <w:rPr>
          <w:sz w:val="20"/>
          <w:szCs w:val="20"/>
          <w:color w:val="auto"/>
        </w:rPr>
      </w:pPr>
    </w:p>
    <w:p>
      <w:pPr>
        <w:jc w:val="both"/>
        <w:ind w:left="4" w:right="20" w:firstLine="579"/>
        <w:spacing w:after="0" w:line="279" w:lineRule="auto"/>
        <w:rPr>
          <w:sz w:val="20"/>
          <w:szCs w:val="20"/>
          <w:color w:val="auto"/>
        </w:rPr>
      </w:pPr>
      <w:r>
        <w:rPr>
          <w:rFonts w:ascii="Arial" w:cs="Arial" w:eastAsia="Arial" w:hAnsi="Arial"/>
          <w:sz w:val="16"/>
          <w:szCs w:val="16"/>
          <w:color w:val="auto"/>
        </w:rPr>
        <w:t>On September 11, 2013, the Company's Board of Directors approved an annual stock-based compensation award of 4,250 time-based stock options and 1,450 shares of unrestricted stock for each non-management Director effective September 20, 2013.</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Increase in Annual Dividend</w:t>
      </w:r>
    </w:p>
    <w:p>
      <w:pPr>
        <w:spacing w:after="0" w:line="202" w:lineRule="exact"/>
        <w:rPr>
          <w:sz w:val="20"/>
          <w:szCs w:val="20"/>
          <w:color w:val="auto"/>
        </w:rPr>
      </w:pPr>
    </w:p>
    <w:p>
      <w:pPr>
        <w:jc w:val="both"/>
        <w:ind w:left="4" w:right="20" w:firstLine="579"/>
        <w:spacing w:after="0" w:line="265" w:lineRule="auto"/>
        <w:rPr>
          <w:sz w:val="20"/>
          <w:szCs w:val="20"/>
          <w:color w:val="auto"/>
        </w:rPr>
      </w:pPr>
      <w:r>
        <w:rPr>
          <w:rFonts w:ascii="Arial" w:cs="Arial" w:eastAsia="Arial" w:hAnsi="Arial"/>
          <w:sz w:val="16"/>
          <w:szCs w:val="16"/>
          <w:color w:val="auto"/>
        </w:rPr>
        <w:t>On September 11, 2013, the Company announced that its Board of Directors had increased the annual cash dividend on its Class A Common Stock from $0.76 to $0.78 per share. A quarterly dividend in the amount of $0.195 per share will be paid on October 31, 2013, to shareholders of record as of the close of business on October 10, 2013. A copy of the press release regarding the dividend is attached hereto as Exhibit 99.2 and is incorporated herein by reference.</w:t>
      </w:r>
    </w:p>
    <w:p>
      <w:pPr>
        <w:spacing w:after="0" w:line="307" w:lineRule="exact"/>
        <w:rPr>
          <w:sz w:val="20"/>
          <w:szCs w:val="20"/>
          <w:color w:val="auto"/>
        </w:rPr>
      </w:pPr>
    </w:p>
    <w:p>
      <w:pPr>
        <w:ind w:left="24"/>
        <w:spacing w:after="0"/>
        <w:tabs>
          <w:tab w:leader="none" w:pos="943"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26" w:lineRule="exact"/>
        <w:rPr>
          <w:sz w:val="20"/>
          <w:szCs w:val="20"/>
          <w:color w:val="auto"/>
        </w:rPr>
      </w:pPr>
    </w:p>
    <w:p>
      <w:pPr>
        <w:ind w:left="344" w:hanging="344"/>
        <w:spacing w:after="0"/>
        <w:tabs>
          <w:tab w:leader="none" w:pos="344"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are filed as Exhibits to this Report.</w:t>
      </w:r>
    </w:p>
    <w:p>
      <w:pPr>
        <w:spacing w:after="0" w:line="347"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8680" w:type="dxa"/>
            <w:vAlign w:val="bottom"/>
            <w:gridSpan w:val="2"/>
          </w:tcPr>
          <w:p>
            <w:pPr>
              <w:ind w:left="20"/>
              <w:spacing w:after="0"/>
              <w:rPr>
                <w:sz w:val="20"/>
                <w:szCs w:val="20"/>
                <w:color w:val="auto"/>
              </w:rPr>
            </w:pPr>
            <w:r>
              <w:rPr>
                <w:rFonts w:ascii="Arial" w:cs="Arial" w:eastAsia="Arial" w:hAnsi="Arial"/>
                <w:sz w:val="16"/>
                <w:szCs w:val="16"/>
                <w:color w:val="auto"/>
              </w:rPr>
              <w:t>Exhibit No. Description of Exhibit</w:t>
            </w:r>
          </w:p>
        </w:tc>
        <w:tc>
          <w:tcPr>
            <w:tcW w:w="0" w:type="dxa"/>
            <w:vAlign w:val="bottom"/>
          </w:tcPr>
          <w:p>
            <w:pPr>
              <w:spacing w:after="0"/>
              <w:rPr>
                <w:sz w:val="1"/>
                <w:szCs w:val="1"/>
                <w:color w:val="auto"/>
              </w:rPr>
            </w:pPr>
          </w:p>
        </w:tc>
      </w:tr>
      <w:tr>
        <w:trPr>
          <w:trHeight w:val="24"/>
        </w:trPr>
        <w:tc>
          <w:tcPr>
            <w:tcW w:w="58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 w:type="dxa"/>
            <w:vAlign w:val="bottom"/>
          </w:tcPr>
          <w:p>
            <w:pPr>
              <w:ind w:left="20"/>
              <w:spacing w:after="0"/>
              <w:rPr>
                <w:sz w:val="20"/>
                <w:szCs w:val="20"/>
                <w:color w:val="auto"/>
              </w:rPr>
            </w:pPr>
            <w:r>
              <w:rPr>
                <w:rFonts w:ascii="Arial" w:cs="Arial" w:eastAsia="Arial" w:hAnsi="Arial"/>
                <w:sz w:val="16"/>
                <w:szCs w:val="16"/>
                <w:color w:val="auto"/>
              </w:rPr>
              <w:t>99.1</w:t>
            </w:r>
          </w:p>
        </w:tc>
        <w:tc>
          <w:tcPr>
            <w:tcW w:w="8100" w:type="dxa"/>
            <w:vAlign w:val="bottom"/>
            <w:vMerge w:val="restart"/>
          </w:tcPr>
          <w:p>
            <w:pPr>
              <w:ind w:left="280"/>
              <w:spacing w:after="0"/>
              <w:rPr>
                <w:sz w:val="20"/>
                <w:szCs w:val="20"/>
                <w:color w:val="auto"/>
              </w:rPr>
            </w:pPr>
            <w:r>
              <w:rPr>
                <w:rFonts w:ascii="Arial" w:cs="Arial" w:eastAsia="Arial" w:hAnsi="Arial"/>
                <w:sz w:val="16"/>
                <w:szCs w:val="16"/>
                <w:color w:val="auto"/>
                <w:w w:val="93"/>
              </w:rPr>
              <w:t>Press Release of Brady Corporation, dated September 12, 2013, relating to fourth quarter fiscal 2013 financial results.</w:t>
            </w:r>
          </w:p>
        </w:tc>
        <w:tc>
          <w:tcPr>
            <w:tcW w:w="0" w:type="dxa"/>
            <w:vAlign w:val="bottom"/>
          </w:tcPr>
          <w:p>
            <w:pPr>
              <w:spacing w:after="0"/>
              <w:rPr>
                <w:sz w:val="1"/>
                <w:szCs w:val="1"/>
                <w:color w:val="auto"/>
              </w:rPr>
            </w:pPr>
          </w:p>
        </w:tc>
      </w:tr>
      <w:tr>
        <w:trPr>
          <w:trHeight w:val="72"/>
        </w:trPr>
        <w:tc>
          <w:tcPr>
            <w:tcW w:w="580" w:type="dxa"/>
            <w:vAlign w:val="bottom"/>
          </w:tcPr>
          <w:p>
            <w:pPr>
              <w:spacing w:after="0"/>
              <w:rPr>
                <w:sz w:val="6"/>
                <w:szCs w:val="6"/>
                <w:color w:val="auto"/>
              </w:rPr>
            </w:pPr>
          </w:p>
        </w:tc>
        <w:tc>
          <w:tcPr>
            <w:tcW w:w="8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7"/>
        </w:trPr>
        <w:tc>
          <w:tcPr>
            <w:tcW w:w="580" w:type="dxa"/>
            <w:vAlign w:val="bottom"/>
          </w:tcPr>
          <w:p>
            <w:pPr>
              <w:ind w:left="20"/>
              <w:spacing w:after="0"/>
              <w:rPr>
                <w:sz w:val="20"/>
                <w:szCs w:val="20"/>
                <w:color w:val="auto"/>
              </w:rPr>
            </w:pPr>
            <w:r>
              <w:rPr>
                <w:rFonts w:ascii="Arial" w:cs="Arial" w:eastAsia="Arial" w:hAnsi="Arial"/>
                <w:sz w:val="16"/>
                <w:szCs w:val="16"/>
                <w:color w:val="auto"/>
              </w:rPr>
              <w:t>99.2</w:t>
            </w:r>
          </w:p>
        </w:tc>
        <w:tc>
          <w:tcPr>
            <w:tcW w:w="8100" w:type="dxa"/>
            <w:vAlign w:val="bottom"/>
          </w:tcPr>
          <w:p>
            <w:pPr>
              <w:ind w:left="280"/>
              <w:spacing w:after="0"/>
              <w:rPr>
                <w:sz w:val="20"/>
                <w:szCs w:val="20"/>
                <w:color w:val="auto"/>
              </w:rPr>
            </w:pPr>
            <w:r>
              <w:rPr>
                <w:rFonts w:ascii="Arial" w:cs="Arial" w:eastAsia="Arial" w:hAnsi="Arial"/>
                <w:sz w:val="16"/>
                <w:szCs w:val="16"/>
                <w:color w:val="auto"/>
              </w:rPr>
              <w:t>Press Release of Brady Corporation, dated September 11, 2013, relating to increase in quarterly dividend.</w:t>
            </w:r>
          </w:p>
        </w:tc>
        <w:tc>
          <w:tcPr>
            <w:tcW w:w="0" w:type="dxa"/>
            <w:vAlign w:val="bottom"/>
          </w:tcPr>
          <w:p>
            <w:pPr>
              <w:spacing w:after="0"/>
              <w:rPr>
                <w:sz w:val="1"/>
                <w:szCs w:val="1"/>
                <w:color w:val="auto"/>
              </w:rPr>
            </w:pPr>
          </w:p>
        </w:tc>
      </w:tr>
      <w:tr>
        <w:trPr>
          <w:trHeight w:val="241"/>
        </w:trPr>
        <w:tc>
          <w:tcPr>
            <w:tcW w:w="580" w:type="dxa"/>
            <w:vAlign w:val="bottom"/>
          </w:tcPr>
          <w:p>
            <w:pPr>
              <w:ind w:left="20"/>
              <w:spacing w:after="0"/>
              <w:rPr>
                <w:sz w:val="20"/>
                <w:szCs w:val="20"/>
                <w:color w:val="auto"/>
              </w:rPr>
            </w:pPr>
            <w:r>
              <w:rPr>
                <w:rFonts w:ascii="Arial" w:cs="Arial" w:eastAsia="Arial" w:hAnsi="Arial"/>
                <w:sz w:val="16"/>
                <w:szCs w:val="16"/>
                <w:color w:val="auto"/>
              </w:rPr>
              <w:t>99.3</w:t>
            </w:r>
          </w:p>
        </w:tc>
        <w:tc>
          <w:tcPr>
            <w:tcW w:w="8100" w:type="dxa"/>
            <w:vAlign w:val="bottom"/>
            <w:vMerge w:val="restart"/>
          </w:tcPr>
          <w:p>
            <w:pPr>
              <w:ind w:left="280"/>
              <w:spacing w:after="0"/>
              <w:rPr>
                <w:sz w:val="20"/>
                <w:szCs w:val="20"/>
                <w:color w:val="auto"/>
              </w:rPr>
            </w:pPr>
            <w:r>
              <w:rPr>
                <w:rFonts w:ascii="Arial" w:cs="Arial" w:eastAsia="Arial" w:hAnsi="Arial"/>
                <w:sz w:val="16"/>
                <w:szCs w:val="16"/>
                <w:color w:val="auto"/>
                <w:w w:val="95"/>
              </w:rPr>
              <w:t>Informational slides provided by Brady Corporation, dated September 12, 2013, relating to fourth quarter fiscal 2013</w:t>
            </w:r>
          </w:p>
        </w:tc>
        <w:tc>
          <w:tcPr>
            <w:tcW w:w="0" w:type="dxa"/>
            <w:vAlign w:val="bottom"/>
          </w:tcPr>
          <w:p>
            <w:pPr>
              <w:spacing w:after="0"/>
              <w:rPr>
                <w:sz w:val="1"/>
                <w:szCs w:val="1"/>
                <w:color w:val="auto"/>
              </w:rPr>
            </w:pPr>
          </w:p>
        </w:tc>
      </w:tr>
      <w:tr>
        <w:trPr>
          <w:trHeight w:val="72"/>
        </w:trPr>
        <w:tc>
          <w:tcPr>
            <w:tcW w:w="580" w:type="dxa"/>
            <w:vAlign w:val="bottom"/>
          </w:tcPr>
          <w:p>
            <w:pPr>
              <w:spacing w:after="0"/>
              <w:rPr>
                <w:sz w:val="6"/>
                <w:szCs w:val="6"/>
                <w:color w:val="auto"/>
              </w:rPr>
            </w:pPr>
          </w:p>
        </w:tc>
        <w:tc>
          <w:tcPr>
            <w:tcW w:w="8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864"/>
        <w:spacing w:after="0"/>
        <w:rPr>
          <w:sz w:val="20"/>
          <w:szCs w:val="20"/>
          <w:color w:val="auto"/>
        </w:rPr>
      </w:pPr>
      <w:r>
        <w:rPr>
          <w:rFonts w:ascii="Arial" w:cs="Arial" w:eastAsia="Arial" w:hAnsi="Arial"/>
          <w:sz w:val="16"/>
          <w:szCs w:val="16"/>
          <w:color w:val="auto"/>
        </w:rPr>
        <w:t>financial results.</w:t>
      </w:r>
    </w:p>
    <w:p>
      <w:pPr>
        <w:spacing w:after="0" w:line="200" w:lineRule="exact"/>
        <w:rPr>
          <w:sz w:val="20"/>
          <w:szCs w:val="20"/>
          <w:color w:val="auto"/>
        </w:rPr>
      </w:pPr>
    </w:p>
    <w:p>
      <w:pPr>
        <w:spacing w:after="0" w:line="27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ind w:left="4"/>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4"/>
        <w:spacing w:after="0"/>
        <w:rPr>
          <w:sz w:val="20"/>
          <w:szCs w:val="20"/>
          <w:color w:val="auto"/>
        </w:rPr>
      </w:pPr>
      <w:r>
        <w:rPr>
          <w:rFonts w:ascii="Arial" w:cs="Arial" w:eastAsia="Arial" w:hAnsi="Arial"/>
          <w:sz w:val="16"/>
          <w:szCs w:val="16"/>
          <w:color w:val="auto"/>
        </w:rPr>
        <w:t>BRADY CORPORATION</w:t>
      </w:r>
    </w:p>
    <w:p>
      <w:pPr>
        <w:spacing w:after="0" w:line="347" w:lineRule="exact"/>
        <w:rPr>
          <w:sz w:val="20"/>
          <w:szCs w:val="20"/>
          <w:color w:val="auto"/>
        </w:rPr>
      </w:pPr>
    </w:p>
    <w:p>
      <w:pPr>
        <w:ind w:left="24"/>
        <w:spacing w:after="0"/>
        <w:rPr>
          <w:sz w:val="20"/>
          <w:szCs w:val="20"/>
          <w:color w:val="auto"/>
        </w:rPr>
      </w:pPr>
      <w:r>
        <w:rPr>
          <w:rFonts w:ascii="Arial" w:cs="Arial" w:eastAsia="Arial" w:hAnsi="Arial"/>
          <w:sz w:val="16"/>
          <w:szCs w:val="16"/>
          <w:color w:val="auto"/>
        </w:rPr>
        <w:t>Date: September 12, 2013</w:t>
      </w:r>
    </w:p>
    <w:p>
      <w:pPr>
        <w:spacing w:after="0" w:line="347" w:lineRule="exact"/>
        <w:rPr>
          <w:sz w:val="20"/>
          <w:szCs w:val="20"/>
          <w:color w:val="auto"/>
        </w:rPr>
      </w:pPr>
    </w:p>
    <w:p>
      <w:pPr>
        <w:ind w:left="5964"/>
        <w:spacing w:after="0"/>
        <w:rPr>
          <w:sz w:val="20"/>
          <w:szCs w:val="20"/>
          <w:color w:val="auto"/>
        </w:rPr>
      </w:pPr>
      <w:r>
        <w:rPr>
          <w:rFonts w:ascii="Arial" w:cs="Arial" w:eastAsia="Arial" w:hAnsi="Arial"/>
          <w:sz w:val="16"/>
          <w:szCs w:val="16"/>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4"/>
        <w:spacing w:after="0"/>
        <w:rPr>
          <w:sz w:val="20"/>
          <w:szCs w:val="20"/>
          <w:color w:val="auto"/>
        </w:rPr>
      </w:pPr>
      <w:r>
        <w:rPr>
          <w:rFonts w:ascii="Arial" w:cs="Arial" w:eastAsia="Arial" w:hAnsi="Arial"/>
          <w:sz w:val="16"/>
          <w:szCs w:val="16"/>
          <w:color w:val="auto"/>
        </w:rPr>
        <w:t>Thomas J. Felmer</w:t>
      </w:r>
    </w:p>
    <w:p>
      <w:pPr>
        <w:spacing w:after="0" w:line="57" w:lineRule="exact"/>
        <w:rPr>
          <w:sz w:val="20"/>
          <w:szCs w:val="20"/>
          <w:color w:val="auto"/>
        </w:rPr>
      </w:pPr>
    </w:p>
    <w:p>
      <w:pPr>
        <w:ind w:left="5964"/>
        <w:spacing w:after="0"/>
        <w:rPr>
          <w:sz w:val="20"/>
          <w:szCs w:val="20"/>
          <w:color w:val="auto"/>
        </w:rPr>
      </w:pPr>
      <w:r>
        <w:rPr>
          <w:rFonts w:ascii="Arial" w:cs="Arial" w:eastAsia="Arial" w:hAnsi="Arial"/>
          <w:sz w:val="16"/>
          <w:szCs w:val="16"/>
          <w:color w:val="auto"/>
        </w:rPr>
        <w:t>Senior Vice President &amp;</w:t>
      </w:r>
    </w:p>
    <w:p>
      <w:pPr>
        <w:spacing w:after="0" w:line="21" w:lineRule="exact"/>
        <w:rPr>
          <w:sz w:val="20"/>
          <w:szCs w:val="20"/>
          <w:color w:val="auto"/>
        </w:rPr>
      </w:pPr>
    </w:p>
    <w:p>
      <w:pPr>
        <w:ind w:left="5964"/>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44"/>
          </w:cols>
          <w:pgMar w:left="236" w:top="682"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7780" w:type="dxa"/>
            <w:vAlign w:val="bottom"/>
          </w:tcPr>
          <w:p>
            <w:pPr>
              <w:ind w:left="422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900" w:type="dxa"/>
            <w:vAlign w:val="bottom"/>
          </w:tcPr>
          <w:p>
            <w:pPr>
              <w:ind w:left="20"/>
              <w:spacing w:after="0"/>
              <w:rPr>
                <w:sz w:val="20"/>
                <w:szCs w:val="20"/>
                <w:color w:val="auto"/>
              </w:rPr>
            </w:pPr>
            <w:r>
              <w:rPr>
                <w:rFonts w:ascii="Arial" w:cs="Arial" w:eastAsia="Arial" w:hAnsi="Arial"/>
                <w:sz w:val="14"/>
                <w:szCs w:val="14"/>
                <w:color w:val="auto"/>
              </w:rPr>
              <w:t>EXHIBIT</w:t>
            </w:r>
          </w:p>
        </w:tc>
        <w:tc>
          <w:tcPr>
            <w:tcW w:w="7780" w:type="dxa"/>
            <w:vAlign w:val="bottom"/>
            <w:vMerge w:val="restart"/>
          </w:tcPr>
          <w:p>
            <w:pPr>
              <w:ind w:left="24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Arial" w:cs="Arial" w:eastAsia="Arial" w:hAnsi="Arial"/>
                <w:sz w:val="14"/>
                <w:szCs w:val="14"/>
                <w:color w:val="auto"/>
              </w:rPr>
              <w:t>NUMBER</w:t>
            </w:r>
          </w:p>
        </w:tc>
        <w:tc>
          <w:tcPr>
            <w:tcW w:w="7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0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6"/>
                <w:szCs w:val="16"/>
                <w:color w:val="auto"/>
              </w:rPr>
              <w:t>99.1</w:t>
            </w:r>
          </w:p>
        </w:tc>
        <w:tc>
          <w:tcPr>
            <w:tcW w:w="7780" w:type="dxa"/>
            <w:vAlign w:val="bottom"/>
            <w:vMerge w:val="restart"/>
          </w:tcPr>
          <w:p>
            <w:pPr>
              <w:ind w:left="240"/>
              <w:spacing w:after="0"/>
              <w:rPr>
                <w:sz w:val="20"/>
                <w:szCs w:val="20"/>
                <w:color w:val="auto"/>
              </w:rPr>
            </w:pPr>
            <w:r>
              <w:rPr>
                <w:rFonts w:ascii="Arial" w:cs="Arial" w:eastAsia="Arial" w:hAnsi="Arial"/>
                <w:sz w:val="16"/>
                <w:szCs w:val="16"/>
                <w:color w:val="auto"/>
                <w:w w:val="96"/>
              </w:rPr>
              <w:t>Press Release of Brady Corporation, dated September 12, 2013, relating to fourth quarter fiscal 2013 financial</w:t>
            </w:r>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7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7780" w:type="dxa"/>
            <w:vAlign w:val="bottom"/>
          </w:tcPr>
          <w:p>
            <w:pPr>
              <w:ind w:left="240"/>
              <w:spacing w:after="0"/>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507"/>
        </w:trPr>
        <w:tc>
          <w:tcPr>
            <w:tcW w:w="900" w:type="dxa"/>
            <w:vAlign w:val="bottom"/>
          </w:tcPr>
          <w:p>
            <w:pPr>
              <w:ind w:left="20"/>
              <w:spacing w:after="0"/>
              <w:rPr>
                <w:sz w:val="20"/>
                <w:szCs w:val="20"/>
                <w:color w:val="auto"/>
              </w:rPr>
            </w:pPr>
            <w:r>
              <w:rPr>
                <w:rFonts w:ascii="Arial" w:cs="Arial" w:eastAsia="Arial" w:hAnsi="Arial"/>
                <w:sz w:val="16"/>
                <w:szCs w:val="16"/>
                <w:color w:val="auto"/>
              </w:rPr>
              <w:t>99.2</w:t>
            </w:r>
          </w:p>
        </w:tc>
        <w:tc>
          <w:tcPr>
            <w:tcW w:w="7780" w:type="dxa"/>
            <w:vAlign w:val="bottom"/>
          </w:tcPr>
          <w:p>
            <w:pPr>
              <w:ind w:left="240"/>
              <w:spacing w:after="0"/>
              <w:rPr>
                <w:sz w:val="20"/>
                <w:szCs w:val="20"/>
                <w:color w:val="auto"/>
              </w:rPr>
            </w:pPr>
            <w:r>
              <w:rPr>
                <w:rFonts w:ascii="Arial" w:cs="Arial" w:eastAsia="Arial" w:hAnsi="Arial"/>
                <w:sz w:val="16"/>
                <w:szCs w:val="16"/>
                <w:color w:val="auto"/>
              </w:rPr>
              <w:t>Press Release of Brady Corporation, dated September 11, 2013, relating to increase in quarterly dividend.</w:t>
            </w:r>
          </w:p>
        </w:tc>
        <w:tc>
          <w:tcPr>
            <w:tcW w:w="0" w:type="dxa"/>
            <w:vAlign w:val="bottom"/>
          </w:tcPr>
          <w:p>
            <w:pPr>
              <w:spacing w:after="0"/>
              <w:rPr>
                <w:sz w:val="1"/>
                <w:szCs w:val="1"/>
                <w:color w:val="auto"/>
              </w:rPr>
            </w:pPr>
          </w:p>
        </w:tc>
      </w:tr>
      <w:tr>
        <w:trPr>
          <w:trHeight w:val="241"/>
        </w:trPr>
        <w:tc>
          <w:tcPr>
            <w:tcW w:w="900" w:type="dxa"/>
            <w:vAlign w:val="bottom"/>
          </w:tcPr>
          <w:p>
            <w:pPr>
              <w:ind w:left="20"/>
              <w:spacing w:after="0"/>
              <w:rPr>
                <w:sz w:val="20"/>
                <w:szCs w:val="20"/>
                <w:color w:val="auto"/>
              </w:rPr>
            </w:pPr>
            <w:r>
              <w:rPr>
                <w:rFonts w:ascii="Arial" w:cs="Arial" w:eastAsia="Arial" w:hAnsi="Arial"/>
                <w:sz w:val="16"/>
                <w:szCs w:val="16"/>
                <w:color w:val="auto"/>
              </w:rPr>
              <w:t>99.3</w:t>
            </w:r>
          </w:p>
        </w:tc>
        <w:tc>
          <w:tcPr>
            <w:tcW w:w="7780" w:type="dxa"/>
            <w:vAlign w:val="bottom"/>
            <w:vMerge w:val="restart"/>
          </w:tcPr>
          <w:p>
            <w:pPr>
              <w:ind w:left="240"/>
              <w:spacing w:after="0"/>
              <w:rPr>
                <w:sz w:val="20"/>
                <w:szCs w:val="20"/>
                <w:color w:val="auto"/>
              </w:rPr>
            </w:pPr>
            <w:r>
              <w:rPr>
                <w:rFonts w:ascii="Arial" w:cs="Arial" w:eastAsia="Arial" w:hAnsi="Arial"/>
                <w:sz w:val="16"/>
                <w:szCs w:val="16"/>
                <w:color w:val="auto"/>
                <w:w w:val="96"/>
              </w:rPr>
              <w:t>Informational slides provided by Brady Corporation, dated September 12, 2013, relating to fourth quarter fiscal</w:t>
            </w:r>
          </w:p>
        </w:tc>
        <w:tc>
          <w:tcPr>
            <w:tcW w:w="0" w:type="dxa"/>
            <w:vAlign w:val="bottom"/>
          </w:tcPr>
          <w:p>
            <w:pPr>
              <w:spacing w:after="0"/>
              <w:rPr>
                <w:sz w:val="1"/>
                <w:szCs w:val="1"/>
                <w:color w:val="auto"/>
              </w:rPr>
            </w:pPr>
          </w:p>
        </w:tc>
      </w:tr>
      <w:tr>
        <w:trPr>
          <w:trHeight w:val="72"/>
        </w:trPr>
        <w:tc>
          <w:tcPr>
            <w:tcW w:w="90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6"/>
          <w:szCs w:val="16"/>
          <w:color w:val="auto"/>
        </w:rPr>
        <w:t>2013 financial results.</w:t>
      </w:r>
    </w:p>
    <w:p>
      <w:pPr>
        <w:sectPr>
          <w:pgSz w:w="11900" w:h="16838" w:orient="portrait"/>
          <w:cols w:equalWidth="0" w:num="1">
            <w:col w:w="10219"/>
          </w:cols>
          <w:pgMar w:left="240" w:top="73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rPr>
          <w:sz w:val="20"/>
          <w:szCs w:val="20"/>
          <w:color w:val="auto"/>
        </w:rPr>
      </w:pPr>
      <w:r>
        <w:rPr>
          <w:rFonts w:ascii="Arial" w:cs="Arial" w:eastAsia="Arial" w:hAnsi="Arial"/>
          <w:sz w:val="18"/>
          <w:szCs w:val="18"/>
          <w:color w:val="auto"/>
        </w:rPr>
        <w:t>Media contact: Carole Herbstreit 414-438-6882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2013 Fourth Quarter Results and Certain Non-Cash Charges</w:t>
      </w:r>
    </w:p>
    <w:p>
      <w:pPr>
        <w:spacing w:after="0" w:line="245" w:lineRule="exact"/>
        <w:rPr>
          <w:sz w:val="20"/>
          <w:szCs w:val="20"/>
          <w:color w:val="auto"/>
        </w:rPr>
      </w:pPr>
    </w:p>
    <w:p>
      <w:pPr>
        <w:ind w:right="180"/>
        <w:spacing w:after="0" w:line="349" w:lineRule="auto"/>
        <w:rPr>
          <w:sz w:val="20"/>
          <w:szCs w:val="20"/>
          <w:color w:val="auto"/>
        </w:rPr>
      </w:pPr>
      <w:r>
        <w:rPr>
          <w:rFonts w:ascii="Arial" w:cs="Arial" w:eastAsia="Arial" w:hAnsi="Arial"/>
          <w:sz w:val="18"/>
          <w:szCs w:val="18"/>
          <w:color w:val="auto"/>
        </w:rPr>
        <w:t>MILWAUKEE (September 12, 2013)--Brady Corporation (NYSE: BRC) (“Brady” or “Company”), a world leader in identification solutions, today reported its financial results for the fiscal 2013 fourth quarter ended July 31, 2013.</w:t>
      </w:r>
    </w:p>
    <w:p>
      <w:pPr>
        <w:spacing w:after="0" w:line="1" w:lineRule="exact"/>
        <w:rPr>
          <w:sz w:val="20"/>
          <w:szCs w:val="20"/>
          <w:color w:val="auto"/>
        </w:rPr>
      </w:pPr>
    </w:p>
    <w:p>
      <w:pPr>
        <w:ind w:right="20" w:firstLine="579"/>
        <w:spacing w:after="0" w:line="431" w:lineRule="auto"/>
        <w:rPr>
          <w:sz w:val="20"/>
          <w:szCs w:val="20"/>
          <w:color w:val="auto"/>
        </w:rPr>
      </w:pPr>
      <w:r>
        <w:rPr>
          <w:rFonts w:ascii="Arial" w:cs="Arial" w:eastAsia="Arial" w:hAnsi="Arial"/>
          <w:sz w:val="15"/>
          <w:szCs w:val="15"/>
          <w:color w:val="auto"/>
        </w:rPr>
        <w:t>Effective May 1, 2013, the Company changed its reporting structure from geographically-based to an organization structured around three global business platforms: Identification Solutions, Workplace Safety and Die-Cut. The Identification Solutions business focuses on identification solutions for a broad range of applications including wire identification, product identification, safety and facility identification, people identification and healthcare identification. The Workplace Safety business focuses on workplace safety and compliance products, and is expanding its multi-channel direct-marketing model with an increased focus on e-business. The Die-Cut business continues to provide precision solutions primarily to the global electronics industry. In May 2013, the Company announced plans to sell its Die-Cut business. Accordingly, the Company has recast its prior-period financial statements to report the financial results of the Die-Cut business on a line item as discontinued operations in the accompanying consolidated statements of income.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July 31, 2013 Financial Results:</w:t>
      </w:r>
    </w:p>
    <w:p>
      <w:pPr>
        <w:spacing w:after="0" w:line="101" w:lineRule="exact"/>
        <w:rPr>
          <w:sz w:val="20"/>
          <w:szCs w:val="20"/>
          <w:color w:val="auto"/>
        </w:rPr>
      </w:pPr>
    </w:p>
    <w:p>
      <w:pPr>
        <w:ind w:right="40" w:firstLine="579"/>
        <w:spacing w:after="0" w:line="349" w:lineRule="auto"/>
        <w:rPr>
          <w:sz w:val="20"/>
          <w:szCs w:val="20"/>
          <w:color w:val="auto"/>
        </w:rPr>
      </w:pPr>
      <w:r>
        <w:rPr>
          <w:rFonts w:ascii="Arial" w:cs="Arial" w:eastAsia="Arial" w:hAnsi="Arial"/>
          <w:sz w:val="18"/>
          <w:szCs w:val="18"/>
          <w:color w:val="auto"/>
        </w:rPr>
        <w:t>Sales from continuing operations for the fiscal 2013 fourth quarter ended July 31, 2013 were up 14.9 percent to $309.1 million compared to $269.1 million in the fourth quarter of fiscal 2012. Organic sales were down 2.3 percent, the acquisition of Precision Dynamics Corporation (“PDC”) added 16.9 percent to sales, and the impact of foreign currency translation increased sales by 0.3 percent. By segment, organic sales were up 2.1 percent in Identification Solutions and down 8.6 percent in Workplace Safety.</w:t>
      </w:r>
    </w:p>
    <w:p>
      <w:pPr>
        <w:spacing w:after="0" w:line="2" w:lineRule="exact"/>
        <w:rPr>
          <w:sz w:val="20"/>
          <w:szCs w:val="20"/>
          <w:color w:val="auto"/>
        </w:rPr>
      </w:pPr>
    </w:p>
    <w:p>
      <w:pPr>
        <w:ind w:right="40" w:firstLine="579"/>
        <w:spacing w:after="0" w:line="349" w:lineRule="auto"/>
        <w:rPr>
          <w:sz w:val="20"/>
          <w:szCs w:val="20"/>
          <w:color w:val="auto"/>
        </w:rPr>
      </w:pPr>
      <w:r>
        <w:rPr>
          <w:rFonts w:ascii="Arial" w:cs="Arial" w:eastAsia="Arial" w:hAnsi="Arial"/>
          <w:sz w:val="18"/>
          <w:szCs w:val="18"/>
          <w:color w:val="auto"/>
        </w:rPr>
        <w:t>During the quarter ended July 31, 2013, the Company recorded non-cash impairment charges of $204.4 million related to the write-down of certain long-lived assets in Asia, the write-down of goodwill of the Company's North American Workplace Safety business, and the write down of certain other intangible assets. During the quarter, the Company also recorded restructuring charges of $15.6 million and non-cash tax charges of $4.0 million related to the funding of the PDC acquisition and the recording of certain tax valuation allowances.</w:t>
      </w:r>
    </w:p>
    <w:p>
      <w:pPr>
        <w:spacing w:after="0" w:line="2" w:lineRule="exact"/>
        <w:rPr>
          <w:sz w:val="20"/>
          <w:szCs w:val="20"/>
          <w:color w:val="auto"/>
        </w:rPr>
      </w:pPr>
    </w:p>
    <w:p>
      <w:pPr>
        <w:ind w:right="260" w:firstLine="579"/>
        <w:spacing w:after="0" w:line="349" w:lineRule="auto"/>
        <w:rPr>
          <w:sz w:val="20"/>
          <w:szCs w:val="20"/>
          <w:color w:val="auto"/>
        </w:rPr>
      </w:pPr>
      <w:r>
        <w:rPr>
          <w:rFonts w:ascii="Arial" w:cs="Arial" w:eastAsia="Arial" w:hAnsi="Arial"/>
          <w:sz w:val="18"/>
          <w:szCs w:val="18"/>
          <w:color w:val="auto"/>
        </w:rPr>
        <w:t>Net earnings (loss) from continuing operations for the fiscal 2013 fourth quarter ended July 31, 2013, were a loss of $(176.2) million compared to earnings of $20.9 million in the same quarter last year. Non-GAAP net earnings from continuing operations* for the fiscal fourth quarter ended July 31, 2013, was $27.9 million compared to $29.3 million in the same quarter last year.</w:t>
      </w:r>
    </w:p>
    <w:p>
      <w:pPr>
        <w:spacing w:after="0" w:line="2" w:lineRule="exact"/>
        <w:rPr>
          <w:sz w:val="20"/>
          <w:szCs w:val="20"/>
          <w:color w:val="auto"/>
        </w:rPr>
      </w:pPr>
    </w:p>
    <w:p>
      <w:pPr>
        <w:ind w:right="120" w:firstLine="579"/>
        <w:spacing w:after="0" w:line="368" w:lineRule="auto"/>
        <w:rPr>
          <w:sz w:val="20"/>
          <w:szCs w:val="20"/>
          <w:color w:val="auto"/>
        </w:rPr>
      </w:pPr>
      <w:r>
        <w:rPr>
          <w:rFonts w:ascii="Arial" w:cs="Arial" w:eastAsia="Arial" w:hAnsi="Arial"/>
          <w:sz w:val="18"/>
          <w:szCs w:val="18"/>
          <w:color w:val="auto"/>
        </w:rPr>
        <w:t>Earnings (loss) from continuing operations per diluted Class A Nonvoting Common Share was $(3.41) for the fourth quarter of fiscal 2013 compared to $0.40 in the same quarter last year. Non-GAAP earnings from</w:t>
      </w:r>
    </w:p>
    <w:p>
      <w:pPr>
        <w:sectPr>
          <w:pgSz w:w="11900" w:h="16838" w:orient="portrait"/>
          <w:cols w:equalWidth="0" w:num="1">
            <w:col w:w="11440"/>
          </w:cols>
          <w:pgMar w:left="240" w:top="529" w:right="219" w:bottom="1440" w:gutter="0" w:footer="0" w:header="0"/>
        </w:sectPr>
      </w:pPr>
    </w:p>
    <w:bookmarkStart w:id="5" w:name="page6"/>
    <w:bookmarkEnd w:id="5"/>
    <w:p>
      <w:pPr>
        <w:ind w:right="120"/>
        <w:spacing w:after="0" w:line="368" w:lineRule="auto"/>
        <w:rPr>
          <w:sz w:val="20"/>
          <w:szCs w:val="20"/>
          <w:color w:val="auto"/>
        </w:rPr>
      </w:pPr>
      <w:r>
        <w:rPr>
          <w:rFonts w:ascii="Arial" w:cs="Arial" w:eastAsia="Arial" w:hAnsi="Arial"/>
          <w:sz w:val="18"/>
          <w:szCs w:val="18"/>
          <w:color w:val="auto"/>
        </w:rPr>
        <w:t>continuing operations per diluted Class A Nonvoting Common Share* were $0.53 in the fourth quarter of fiscal 2013 and $0.56 per share in the same quarter of fiscal 2012.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July 31, 2013 Financial Results:</w:t>
      </w:r>
    </w:p>
    <w:p>
      <w:pPr>
        <w:spacing w:after="0" w:line="101" w:lineRule="exact"/>
        <w:rPr>
          <w:sz w:val="20"/>
          <w:szCs w:val="20"/>
          <w:color w:val="auto"/>
        </w:rPr>
      </w:pPr>
    </w:p>
    <w:p>
      <w:pPr>
        <w:jc w:val="both"/>
        <w:ind w:firstLine="579"/>
        <w:spacing w:after="0" w:line="419" w:lineRule="auto"/>
        <w:rPr>
          <w:sz w:val="20"/>
          <w:szCs w:val="20"/>
          <w:color w:val="auto"/>
        </w:rPr>
      </w:pPr>
      <w:r>
        <w:rPr>
          <w:rFonts w:ascii="Arial" w:cs="Arial" w:eastAsia="Arial" w:hAnsi="Arial"/>
          <w:sz w:val="15"/>
          <w:szCs w:val="15"/>
          <w:color w:val="auto"/>
        </w:rPr>
        <w:t>Sales from continuing operations for the year ended July 31, 2013, were up 7.8 percent to $1.15 billion compared to $1.07 billion for the year ended July 31, 2012. Organic sales were down 2.6 percent; acquisitions increased sales by 11.3 percent; and the impact of foreign currency translation decreased sales by 0.9 percent. By segment, Identification Solutions' organic sales increased 0.3 percent and Workplace Safety's organic sales decreased 7.0 percent.</w:t>
      </w:r>
    </w:p>
    <w:p>
      <w:pPr>
        <w:spacing w:after="0" w:line="1" w:lineRule="exact"/>
        <w:rPr>
          <w:sz w:val="20"/>
          <w:szCs w:val="20"/>
          <w:color w:val="auto"/>
        </w:rPr>
      </w:pPr>
    </w:p>
    <w:p>
      <w:pPr>
        <w:ind w:right="200" w:firstLine="579"/>
        <w:spacing w:after="0" w:line="349" w:lineRule="auto"/>
        <w:rPr>
          <w:sz w:val="20"/>
          <w:szCs w:val="20"/>
          <w:color w:val="auto"/>
        </w:rPr>
      </w:pPr>
      <w:r>
        <w:rPr>
          <w:rFonts w:ascii="Arial" w:cs="Arial" w:eastAsia="Arial" w:hAnsi="Arial"/>
          <w:sz w:val="18"/>
          <w:szCs w:val="18"/>
          <w:color w:val="auto"/>
        </w:rPr>
        <w:t>Earnings (loss) from continuing operations for the year ended July 31, 2013, was a loss of $(140.8) million compared to earnings of $102.5 million for the year ended July 31, 2012. Non-GAAP net earnings from continuing operations* was $99.9 million for the year ended July 31, 2013 compared to $112.2 million for the year ended July 31, 2012.</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Earnings (loss) from continuing operations per diluted Class A Nonvoting Common Share were $(2.75) for the year ended July 31, 2013 compared to</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$1.94 for the year ended July 31, 2012. Non-GAAP earnings from continuing operations per diluted Class A Nonvoting Common Share* was $1.93 for the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ended July 31, 2013, compared to $2.12 for the year-ended July 31, 2012.</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 and Guidance:</w:t>
      </w:r>
    </w:p>
    <w:p>
      <w:pPr>
        <w:spacing w:after="0" w:line="101" w:lineRule="exact"/>
        <w:rPr>
          <w:sz w:val="20"/>
          <w:szCs w:val="20"/>
          <w:color w:val="auto"/>
        </w:rPr>
      </w:pPr>
    </w:p>
    <w:p>
      <w:pPr>
        <w:ind w:firstLine="579"/>
        <w:spacing w:after="0" w:line="349" w:lineRule="auto"/>
        <w:rPr>
          <w:sz w:val="20"/>
          <w:szCs w:val="20"/>
          <w:color w:val="auto"/>
        </w:rPr>
      </w:pPr>
      <w:r>
        <w:rPr>
          <w:rFonts w:ascii="Arial" w:cs="Arial" w:eastAsia="Arial" w:hAnsi="Arial"/>
          <w:sz w:val="18"/>
          <w:szCs w:val="18"/>
          <w:color w:val="auto"/>
        </w:rPr>
        <w:t>“Fiscal 2013 was a year of unprecedented change and transformation for Brady. In addition to reorganizing our businesses around global business platforms, we also engaged in a business simplification process that resulted in a structure that brings us closer to our customers and more effectively supports our growth,” said Brady's President and Chief Executive Officer, Frank M. Jaehnert. “In fiscal 2013, we also made significant changes in our portfolio of companies. We sold several smaller non-core businesses and announced that we are seeking a buyer for our Die-Cut business. At the same time, we completed the acquisition of PDC, which was the largest acquisition in Brady's nearly 100-year history. PDC is a leader in healthcare identification and gives Brady a strong entrance into the healthcare identification space.</w:t>
      </w:r>
    </w:p>
    <w:p>
      <w:pPr>
        <w:spacing w:after="0" w:line="3" w:lineRule="exact"/>
        <w:rPr>
          <w:sz w:val="20"/>
          <w:szCs w:val="20"/>
          <w:color w:val="auto"/>
        </w:rPr>
      </w:pPr>
    </w:p>
    <w:p>
      <w:pPr>
        <w:ind w:right="100" w:firstLine="579"/>
        <w:spacing w:after="0" w:line="370" w:lineRule="auto"/>
        <w:rPr>
          <w:sz w:val="20"/>
          <w:szCs w:val="20"/>
          <w:color w:val="auto"/>
        </w:rPr>
      </w:pPr>
      <w:r>
        <w:rPr>
          <w:rFonts w:ascii="Arial" w:cs="Arial" w:eastAsia="Arial" w:hAnsi="Arial"/>
          <w:sz w:val="17"/>
          <w:szCs w:val="17"/>
          <w:color w:val="auto"/>
        </w:rPr>
        <w:t>“We are committed to returning to organic sales growth in fiscal 2014. Our Identification Solutions business will continue to focus on industries such as healthcare, food and beverage, chemical, oil and gas, and aerospace and mass transit, as well as expanding into faster-growing geographies such as Central Europe, the Middle East, Africa and selected markets in Asia. We are accelerating investment in our Workplace Safety business to improve organic sales and profit by building a scalable multi-channel model that all of our global Workplace Safety businesses will use. This accelerated investment will be evident in our fiscal 2014 financial results and is included in our guidance for next year.”</w:t>
      </w:r>
    </w:p>
    <w:p>
      <w:pPr>
        <w:spacing w:after="0" w:line="1" w:lineRule="exact"/>
        <w:rPr>
          <w:sz w:val="20"/>
          <w:szCs w:val="20"/>
          <w:color w:val="auto"/>
        </w:rPr>
      </w:pPr>
    </w:p>
    <w:p>
      <w:pPr>
        <w:ind w:right="300" w:firstLine="579"/>
        <w:spacing w:after="0" w:line="490" w:lineRule="auto"/>
        <w:rPr>
          <w:sz w:val="20"/>
          <w:szCs w:val="20"/>
          <w:color w:val="auto"/>
        </w:rPr>
      </w:pPr>
      <w:r>
        <w:rPr>
          <w:rFonts w:ascii="Arial" w:cs="Arial" w:eastAsia="Arial" w:hAnsi="Arial"/>
          <w:sz w:val="15"/>
          <w:szCs w:val="15"/>
          <w:color w:val="auto"/>
        </w:rPr>
        <w:t>Brady's Chief Financial Officer, Thomas J. Felmer said, “Brady remains financially very strong. Cash provided by operating activities was $143.5 million during the year ended July 31, 2013, which is in line with the prior year and our debt balance is lower today than it was prior to the purchase of PDC.</w:t>
      </w:r>
    </w:p>
    <w:p>
      <w:pPr>
        <w:sectPr>
          <w:pgSz w:w="11900" w:h="16838" w:orient="portrait"/>
          <w:cols w:equalWidth="0" w:num="1">
            <w:col w:w="11420"/>
          </w:cols>
          <w:pgMar w:left="240" w:top="583" w:right="239" w:bottom="1440" w:gutter="0" w:footer="0" w:header="0"/>
        </w:sectPr>
      </w:pPr>
    </w:p>
    <w:bookmarkStart w:id="6" w:name="page7"/>
    <w:bookmarkEnd w:id="6"/>
    <w:p>
      <w:pPr>
        <w:ind w:firstLine="579"/>
        <w:spacing w:after="0" w:line="374" w:lineRule="auto"/>
        <w:rPr>
          <w:sz w:val="20"/>
          <w:szCs w:val="20"/>
          <w:color w:val="auto"/>
        </w:rPr>
      </w:pPr>
      <w:r>
        <w:rPr>
          <w:rFonts w:ascii="Arial" w:cs="Arial" w:eastAsia="Arial" w:hAnsi="Arial"/>
          <w:sz w:val="17"/>
          <w:szCs w:val="17"/>
          <w:color w:val="auto"/>
        </w:rPr>
        <w:t>“As we look ahead to fiscal 2014, we anticipate organic sales to range from a slight contraction to low single-digit growth, with organic sales strongest in our Identification Solutions business. We expect organic sales to be down in the first half of the year and return to positive organic sales in the second half of fiscal 2014 as our initiatives to improve our Workplace Safety business begin to produce results. For fiscal 2014, we expect earnings from continuing operations per diluted Class A Nonvoting Common Share of between $1.80 and $2.00, exclusive of restructuring charges. Included in this guidance are approximately $0.08 of benefits from the acquisition of PDC, $0.40 of benefits from business simplification activities, an incremental $(0.20) of investments into our Workplace Safety business, and $(0.25) of incremental expenses due to more normalized incentive compensation. This guidance is based on current exchange rates, a full-year income tax rate in the mid-to-upper 20 percent range, capital expenditures of approximately $40 million, and depreciation and amortization of approximately $50 million. We also anticipate approximately $30 million of restructuring charges in fiscal 2014, which will result in approximately $10 million of annualized operational savings beginning in fiscal 2015.”</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2013 fourth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95" w:lineRule="exact"/>
        <w:rPr>
          <w:sz w:val="20"/>
          <w:szCs w:val="20"/>
          <w:color w:val="auto"/>
        </w:rPr>
      </w:pPr>
    </w:p>
    <w:p>
      <w:pPr>
        <w:ind w:right="60" w:firstLine="579"/>
        <w:spacing w:after="0" w:line="433" w:lineRule="auto"/>
        <w:rPr>
          <w:sz w:val="20"/>
          <w:szCs w:val="20"/>
          <w:color w:val="auto"/>
        </w:rPr>
      </w:pPr>
      <w:r>
        <w:rPr>
          <w:rFonts w:ascii="Arial" w:cs="Arial" w:eastAsia="Arial" w:hAnsi="Arial"/>
          <w:sz w:val="15"/>
          <w:szCs w:val="15"/>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signs, safety devices, printing systems and software, and precision die-cut materials. Founded in 1914, the company has a diverse customer base in electronics, telecommunications, manufacturing, electrical, construction, education, medical and a variety of other industries. Brady is headquartered in Milwaukee, Wisconsin and as of July 31, 2013, employed approximately 7,400 people in its worldwide businesses. Brady's fiscal 2013 sales were approximately $1.15 billion. Brady stock trades on the New York Stock Exchange under the symbol BRC. More information is available on the Internet at </w:t>
      </w:r>
      <w:r>
        <w:rPr>
          <w:rFonts w:ascii="Arial" w:cs="Arial" w:eastAsia="Arial" w:hAnsi="Arial"/>
          <w:sz w:val="15"/>
          <w:szCs w:val="15"/>
          <w:u w:val="single" w:color="auto"/>
          <w:color w:val="0000FF"/>
        </w:rPr>
        <w:t>www.bradycorp.com.</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ectPr>
          <w:pgSz w:w="11900" w:h="16838" w:orient="portrait"/>
          <w:cols w:equalWidth="0" w:num="1">
            <w:col w:w="11420"/>
          </w:cols>
          <w:pgMar w:left="240" w:top="58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2012. These uncertainties may cause Brady's actual future results to be materially different than those expressed in its forward-looking statements. Brady does not undertake to update its forward-looking statements.</w:t>
      </w:r>
    </w:p>
    <w:p>
      <w:pPr>
        <w:sectPr>
          <w:pgSz w:w="11900" w:h="16838" w:orient="portrait"/>
          <w:cols w:equalWidth="0" w:num="1">
            <w:col w:w="11420"/>
          </w:cols>
          <w:pgMar w:left="240" w:top="583"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EARNINGS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5"/>
          </w:tcPr>
          <w:p>
            <w:pPr>
              <w:ind w:left="40"/>
              <w:spacing w:after="0"/>
              <w:rPr>
                <w:sz w:val="20"/>
                <w:szCs w:val="20"/>
                <w:color w:val="auto"/>
              </w:rPr>
            </w:pPr>
            <w:r>
              <w:rPr>
                <w:rFonts w:ascii="Arial" w:cs="Arial" w:eastAsia="Arial" w:hAnsi="Arial"/>
                <w:sz w:val="16"/>
                <w:szCs w:val="16"/>
                <w:color w:val="auto"/>
              </w:rPr>
              <w:t>Three months ended July 31,</w:t>
            </w:r>
          </w:p>
        </w:tc>
        <w:tc>
          <w:tcPr>
            <w:tcW w:w="100" w:type="dxa"/>
            <w:vAlign w:val="bottom"/>
          </w:tcPr>
          <w:p>
            <w:pPr>
              <w:spacing w:after="0"/>
              <w:rPr>
                <w:sz w:val="17"/>
                <w:szCs w:val="17"/>
                <w:color w:val="auto"/>
              </w:rPr>
            </w:pPr>
          </w:p>
        </w:tc>
        <w:tc>
          <w:tcPr>
            <w:tcW w:w="2120" w:type="dxa"/>
            <w:vAlign w:val="bottom"/>
            <w:gridSpan w:val="4"/>
          </w:tcPr>
          <w:p>
            <w:pPr>
              <w:jc w:val="right"/>
              <w:ind w:right="20"/>
              <w:spacing w:after="0"/>
              <w:rPr>
                <w:sz w:val="20"/>
                <w:szCs w:val="20"/>
                <w:color w:val="auto"/>
              </w:rPr>
            </w:pPr>
            <w:r>
              <w:rPr>
                <w:rFonts w:ascii="Arial" w:cs="Arial" w:eastAsia="Arial" w:hAnsi="Arial"/>
                <w:sz w:val="16"/>
                <w:szCs w:val="16"/>
                <w:color w:val="auto"/>
                <w:w w:val="91"/>
              </w:rPr>
              <w:t>Twelve Months Ended July 31,</w:t>
            </w:r>
          </w:p>
        </w:tc>
      </w:tr>
      <w:tr>
        <w:trPr>
          <w:trHeight w:val="24"/>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00"/>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0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00"/>
              <w:spacing w:after="0"/>
              <w:rPr>
                <w:sz w:val="20"/>
                <w:szCs w:val="20"/>
                <w:color w:val="auto"/>
              </w:rPr>
            </w:pPr>
            <w:r>
              <w:rPr>
                <w:rFonts w:ascii="Arial" w:cs="Arial" w:eastAsia="Arial" w:hAnsi="Arial"/>
                <w:sz w:val="16"/>
                <w:szCs w:val="16"/>
                <w:color w:val="auto"/>
              </w:rPr>
              <w:t>2012</w:t>
            </w:r>
          </w:p>
        </w:tc>
      </w:tr>
      <w:tr>
        <w:trPr>
          <w:trHeight w:val="24"/>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309,097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269,089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1,152,109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1,068,688</w:t>
            </w: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152,086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121,636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546,029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479,118</w:t>
            </w:r>
          </w:p>
        </w:tc>
      </w:tr>
      <w:tr>
        <w:trPr>
          <w:trHeight w:val="24"/>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157,011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147,453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606,080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589,570</w:t>
            </w: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33,552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34,528</w:t>
            </w: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106,938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100,283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427,661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392,526</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15,573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6,084</w:t>
            </w: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Impairment charges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204,448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204,448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336,349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113,386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691,707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433,138</w:t>
            </w:r>
          </w:p>
        </w:tc>
      </w:t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(179,338)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34,067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156,432</w:t>
            </w:r>
          </w:p>
        </w:tc>
      </w:t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and (expense):</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Investment and other income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2,082</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r>
      <w:tr>
        <w:trPr>
          <w:trHeight w:val="197"/>
        </w:trPr>
        <w:tc>
          <w:tcPr>
            <w:tcW w:w="4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(Loss) earnings from continuing operations before income</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(182,129)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30,054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(98,746)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139,424</w:t>
            </w:r>
          </w:p>
        </w:tc>
      </w:t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36,953</w:t>
            </w:r>
          </w:p>
        </w:tc>
      </w:tr>
      <w:tr>
        <w:trPr>
          <w:trHeight w:val="197"/>
        </w:trPr>
        <w:tc>
          <w:tcPr>
            <w:tcW w:w="4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earnings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(176,234)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(140,816)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102,471</w:t>
            </w:r>
          </w:p>
        </w:tc>
      </w:t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 net of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(120,382)</w:t>
            </w:r>
          </w:p>
        </w:tc>
      </w:tr>
      <w:tr>
        <w:trPr>
          <w:trHeight w:val="197"/>
        </w:trPr>
        <w:tc>
          <w:tcPr>
            <w:tcW w:w="4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35"/>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(17,911)</w:t>
            </w:r>
          </w:p>
        </w:tc>
      </w:tr>
      <w:tr>
        <w:trPr>
          <w:trHeight w:val="20"/>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7"/>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from continuing operations per Class A</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Nonvoting 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1.95</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(Loss) earnings from continuing operations per Class B Voting</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1.93</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(Loss) from discontinued operations per Class A Nonvoting</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 per Class B Voting</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earnings per Class A Nonvoting Common Share:</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(0.35)</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w:t>
            </w: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Dividends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0.185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0.74</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5"/>
        </w:trPr>
        <w:tc>
          <w:tcPr>
            <w:tcW w:w="4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(Loss) earnings per Class B Voting Common Share: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(0.36)</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0.72</w:t>
            </w:r>
          </w:p>
        </w:tc>
      </w:t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1"/>
              </w:rPr>
              <w:t>Weighted average common shares outstanding (in thousands):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51,689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51,330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52,453</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52,821</w:t>
            </w:r>
          </w:p>
        </w:tc>
      </w:tr>
      <w:tr>
        <w:trPr>
          <w:trHeight w:val="24"/>
        </w:trPr>
        <w:tc>
          <w:tcPr>
            <w:tcW w:w="4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537" w:right="1440" w:bottom="694"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gridSpan w:val="3"/>
          </w:tcPr>
          <w:p>
            <w:pPr>
              <w:ind w:left="100"/>
              <w:spacing w:after="0"/>
              <w:rPr>
                <w:sz w:val="20"/>
                <w:szCs w:val="20"/>
                <w:color w:val="auto"/>
              </w:rPr>
            </w:pPr>
            <w:r>
              <w:rPr>
                <w:rFonts w:ascii="Arial" w:cs="Arial" w:eastAsia="Arial" w:hAnsi="Arial"/>
                <w:sz w:val="16"/>
                <w:szCs w:val="16"/>
                <w:color w:val="auto"/>
              </w:rPr>
              <w:t>July 31, 2013</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July 31, 2012</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240" w:type="dxa"/>
            <w:vAlign w:val="bottom"/>
            <w:shd w:val="clear" w:color="auto" w:fill="CCEEFF"/>
          </w:tcPr>
          <w:p>
            <w:pPr>
              <w:spacing w:after="0"/>
              <w:rPr>
                <w:sz w:val="18"/>
                <w:szCs w:val="18"/>
                <w:color w:val="auto"/>
              </w:rPr>
            </w:pPr>
          </w:p>
        </w:tc>
        <w:tc>
          <w:tcPr>
            <w:tcW w:w="5200" w:type="dxa"/>
            <w:vAlign w:val="bottom"/>
            <w:gridSpan w:val="4"/>
            <w:shd w:val="clear" w:color="auto" w:fill="CCEEFF"/>
          </w:tcPr>
          <w:p>
            <w:pPr>
              <w:jc w:val="center"/>
              <w:ind w:right="1240"/>
              <w:spacing w:after="0" w:line="173" w:lineRule="exact"/>
              <w:rPr>
                <w:sz w:val="20"/>
                <w:szCs w:val="20"/>
                <w:color w:val="auto"/>
              </w:rPr>
            </w:pPr>
            <w:r>
              <w:rPr>
                <w:rFonts w:ascii="Arial" w:cs="Arial" w:eastAsia="Arial" w:hAnsi="Arial"/>
                <w:sz w:val="16"/>
                <w:szCs w:val="16"/>
                <w:b w:val="1"/>
                <w:bCs w:val="1"/>
                <w:color w:val="auto"/>
                <w:w w:val="93"/>
              </w:rPr>
              <w:t>ASSETS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600" w:type="dxa"/>
            <w:vAlign w:val="bottom"/>
            <w:tcBorders>
              <w:top w:val="single" w:sz="8" w:color="auto"/>
            </w:tcBorders>
          </w:tcPr>
          <w:p>
            <w:pPr>
              <w:spacing w:after="0"/>
              <w:rPr>
                <w:sz w:val="18"/>
                <w:szCs w:val="18"/>
                <w:color w:val="auto"/>
              </w:rPr>
            </w:pPr>
          </w:p>
        </w:tc>
        <w:tc>
          <w:tcPr>
            <w:tcW w:w="292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305,900</w:t>
            </w:r>
          </w:p>
        </w:tc>
        <w:tc>
          <w:tcPr>
            <w:tcW w:w="0" w:type="dxa"/>
            <w:vAlign w:val="bottom"/>
          </w:tcPr>
          <w:p>
            <w:pPr>
              <w:spacing w:after="0"/>
              <w:rPr>
                <w:sz w:val="1"/>
                <w:szCs w:val="1"/>
                <w:color w:val="auto"/>
              </w:rPr>
            </w:pPr>
          </w:p>
        </w:tc>
      </w:tr>
      <w:tr>
        <w:trPr>
          <w:trHeight w:val="217"/>
        </w:trPr>
        <w:tc>
          <w:tcPr>
            <w:tcW w:w="6440" w:type="dxa"/>
            <w:vAlign w:val="bottom"/>
            <w:gridSpan w:val="5"/>
          </w:tcPr>
          <w:p>
            <w:pPr>
              <w:ind w:left="240"/>
              <w:spacing w:after="0"/>
              <w:rPr>
                <w:sz w:val="20"/>
                <w:szCs w:val="20"/>
                <w:color w:val="auto"/>
              </w:rPr>
            </w:pPr>
            <w:r>
              <w:rPr>
                <w:rFonts w:ascii="Arial" w:cs="Arial" w:eastAsia="Arial" w:hAnsi="Arial"/>
                <w:sz w:val="16"/>
                <w:szCs w:val="16"/>
                <w:color w:val="auto"/>
              </w:rPr>
              <w:t>Accounts receivable—net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199,006</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40" w:type="dxa"/>
            <w:vAlign w:val="bottom"/>
            <w:gridSpan w:val="5"/>
          </w:tcPr>
          <w:p>
            <w:pPr>
              <w:ind w:left="440"/>
              <w:spacing w:after="0"/>
              <w:rPr>
                <w:sz w:val="20"/>
                <w:szCs w:val="20"/>
                <w:color w:val="auto"/>
              </w:rPr>
            </w:pPr>
            <w:r>
              <w:rPr>
                <w:rFonts w:ascii="Arial" w:cs="Arial" w:eastAsia="Arial" w:hAnsi="Arial"/>
                <w:sz w:val="16"/>
                <w:szCs w:val="16"/>
                <w:color w:val="auto"/>
              </w:rPr>
              <w:t>Finished products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64,544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64,740</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6"/>
                <w:szCs w:val="16"/>
                <w:color w:val="auto"/>
              </w:rPr>
              <w:t>Work-in-process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15,377</w:t>
            </w:r>
          </w:p>
        </w:tc>
        <w:tc>
          <w:tcPr>
            <w:tcW w:w="0" w:type="dxa"/>
            <w:vAlign w:val="bottom"/>
          </w:tcPr>
          <w:p>
            <w:pPr>
              <w:spacing w:after="0"/>
              <w:rPr>
                <w:sz w:val="1"/>
                <w:szCs w:val="1"/>
                <w:color w:val="auto"/>
              </w:rPr>
            </w:pPr>
          </w:p>
        </w:tc>
      </w:tr>
      <w:tr>
        <w:trPr>
          <w:trHeight w:val="217"/>
        </w:trPr>
        <w:tc>
          <w:tcPr>
            <w:tcW w:w="6440" w:type="dxa"/>
            <w:vAlign w:val="bottom"/>
            <w:gridSpan w:val="5"/>
          </w:tcPr>
          <w:p>
            <w:pPr>
              <w:ind w:left="440"/>
              <w:spacing w:after="0"/>
              <w:rPr>
                <w:sz w:val="20"/>
                <w:szCs w:val="20"/>
                <w:color w:val="auto"/>
              </w:rPr>
            </w:pPr>
            <w:r>
              <w:rPr>
                <w:rFonts w:ascii="Arial" w:cs="Arial" w:eastAsia="Arial" w:hAnsi="Arial"/>
                <w:sz w:val="16"/>
                <w:szCs w:val="16"/>
                <w:color w:val="auto"/>
              </w:rPr>
              <w:t>Raw materials and supplies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25,407</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6"/>
                <w:szCs w:val="16"/>
                <w:color w:val="auto"/>
              </w:rPr>
              <w:t>Total inventories</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94,707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105,524</w:t>
            </w:r>
          </w:p>
        </w:tc>
        <w:tc>
          <w:tcPr>
            <w:tcW w:w="0" w:type="dxa"/>
            <w:vAlign w:val="bottom"/>
          </w:tcPr>
          <w:p>
            <w:pPr>
              <w:spacing w:after="0"/>
              <w:rPr>
                <w:sz w:val="1"/>
                <w:szCs w:val="1"/>
                <w:color w:val="auto"/>
              </w:rPr>
            </w:pPr>
          </w:p>
        </w:tc>
      </w:tr>
      <w:tr>
        <w:trPr>
          <w:trHeight w:val="217"/>
        </w:trPr>
        <w:tc>
          <w:tcPr>
            <w:tcW w:w="6440" w:type="dxa"/>
            <w:vAlign w:val="bottom"/>
            <w:gridSpan w:val="5"/>
          </w:tcPr>
          <w:p>
            <w:pPr>
              <w:ind w:left="240"/>
              <w:spacing w:after="0"/>
              <w:rPr>
                <w:sz w:val="20"/>
                <w:szCs w:val="20"/>
                <w:color w:val="auto"/>
              </w:rPr>
            </w:pPr>
            <w:r>
              <w:rPr>
                <w:rFonts w:ascii="Arial" w:cs="Arial" w:eastAsia="Arial" w:hAnsi="Arial"/>
                <w:sz w:val="16"/>
                <w:szCs w:val="16"/>
                <w:color w:val="auto"/>
              </w:rPr>
              <w:t>Assets held for sale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119,864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40,424</w:t>
            </w:r>
          </w:p>
        </w:tc>
        <w:tc>
          <w:tcPr>
            <w:tcW w:w="0" w:type="dxa"/>
            <w:vAlign w:val="bottom"/>
          </w:tcPr>
          <w:p>
            <w:pPr>
              <w:spacing w:after="0"/>
              <w:rPr>
                <w:sz w:val="1"/>
                <w:szCs w:val="1"/>
                <w:color w:val="auto"/>
              </w:rPr>
            </w:pPr>
          </w:p>
        </w:tc>
      </w:tr>
      <w:tr>
        <w:trPr>
          <w:trHeight w:val="209"/>
        </w:trPr>
        <w:tc>
          <w:tcPr>
            <w:tcW w:w="6440" w:type="dxa"/>
            <w:vAlign w:val="bottom"/>
            <w:gridSpan w:val="5"/>
          </w:tcPr>
          <w:p>
            <w:pPr>
              <w:ind w:left="44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512,490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650,854</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40" w:type="dxa"/>
            <w:vAlign w:val="bottom"/>
            <w:gridSpan w:val="5"/>
          </w:tcPr>
          <w:p>
            <w:pPr>
              <w:ind w:left="24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617,236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676,791</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Other intangible assets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156,851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84,119</w:t>
            </w:r>
          </w:p>
        </w:tc>
        <w:tc>
          <w:tcPr>
            <w:tcW w:w="0" w:type="dxa"/>
            <w:vAlign w:val="bottom"/>
          </w:tcPr>
          <w:p>
            <w:pPr>
              <w:spacing w:after="0"/>
              <w:rPr>
                <w:sz w:val="1"/>
                <w:szCs w:val="1"/>
                <w:color w:val="auto"/>
              </w:rPr>
            </w:pPr>
          </w:p>
        </w:tc>
      </w:tr>
      <w:tr>
        <w:trPr>
          <w:trHeight w:val="217"/>
        </w:trPr>
        <w:tc>
          <w:tcPr>
            <w:tcW w:w="6440" w:type="dxa"/>
            <w:vAlign w:val="bottom"/>
            <w:gridSpan w:val="5"/>
          </w:tcPr>
          <w:p>
            <w:pPr>
              <w:ind w:left="2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45,356</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21,325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20,584</w:t>
            </w:r>
          </w:p>
        </w:tc>
        <w:tc>
          <w:tcPr>
            <w:tcW w:w="0" w:type="dxa"/>
            <w:vAlign w:val="bottom"/>
          </w:tcPr>
          <w:p>
            <w:pPr>
              <w:spacing w:after="0"/>
              <w:rPr>
                <w:sz w:val="1"/>
                <w:szCs w:val="1"/>
                <w:color w:val="auto"/>
              </w:rPr>
            </w:pPr>
          </w:p>
        </w:tc>
      </w:tr>
      <w:tr>
        <w:trPr>
          <w:trHeight w:val="217"/>
        </w:trPr>
        <w:tc>
          <w:tcPr>
            <w:tcW w:w="6440" w:type="dxa"/>
            <w:vAlign w:val="bottom"/>
            <w:gridSpan w:val="5"/>
          </w:tcPr>
          <w:p>
            <w:pPr>
              <w:ind w:left="20"/>
              <w:spacing w:after="0"/>
              <w:rPr>
                <w:sz w:val="20"/>
                <w:szCs w:val="20"/>
                <w:color w:val="auto"/>
              </w:rPr>
            </w:pPr>
            <w:r>
              <w:rPr>
                <w:rFonts w:ascii="Arial" w:cs="Arial" w:eastAsia="Arial" w:hAnsi="Arial"/>
                <w:sz w:val="16"/>
                <w:szCs w:val="16"/>
                <w:b w:val="1"/>
                <w:bCs w:val="1"/>
                <w:color w:val="auto"/>
              </w:rPr>
              <w:t>Property, plant and equipment: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Cost:</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40" w:type="dxa"/>
            <w:vAlign w:val="bottom"/>
            <w:gridSpan w:val="5"/>
          </w:tcPr>
          <w:p>
            <w:pPr>
              <w:ind w:left="440"/>
              <w:spacing w:after="0"/>
              <w:rPr>
                <w:sz w:val="20"/>
                <w:szCs w:val="20"/>
                <w:color w:val="auto"/>
              </w:rPr>
            </w:pPr>
            <w:r>
              <w:rPr>
                <w:rFonts w:ascii="Arial" w:cs="Arial" w:eastAsia="Arial" w:hAnsi="Arial"/>
                <w:sz w:val="16"/>
                <w:szCs w:val="16"/>
                <w:color w:val="auto"/>
              </w:rPr>
              <w:t>Land</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8,651</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6"/>
                <w:szCs w:val="16"/>
                <w:color w:val="auto"/>
              </w:rPr>
              <w:t>Buildings and improvements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91,471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101,962</w:t>
            </w:r>
          </w:p>
        </w:tc>
        <w:tc>
          <w:tcPr>
            <w:tcW w:w="0" w:type="dxa"/>
            <w:vAlign w:val="bottom"/>
          </w:tcPr>
          <w:p>
            <w:pPr>
              <w:spacing w:after="0"/>
              <w:rPr>
                <w:sz w:val="1"/>
                <w:szCs w:val="1"/>
                <w:color w:val="auto"/>
              </w:rPr>
            </w:pPr>
          </w:p>
        </w:tc>
      </w:tr>
      <w:tr>
        <w:trPr>
          <w:trHeight w:val="217"/>
        </w:trPr>
        <w:tc>
          <w:tcPr>
            <w:tcW w:w="6440" w:type="dxa"/>
            <w:vAlign w:val="bottom"/>
            <w:gridSpan w:val="5"/>
          </w:tcPr>
          <w:p>
            <w:pPr>
              <w:ind w:left="440"/>
              <w:spacing w:after="0"/>
              <w:rPr>
                <w:sz w:val="20"/>
                <w:szCs w:val="20"/>
                <w:color w:val="auto"/>
              </w:rPr>
            </w:pPr>
            <w:r>
              <w:rPr>
                <w:rFonts w:ascii="Arial" w:cs="Arial" w:eastAsia="Arial" w:hAnsi="Arial"/>
                <w:sz w:val="16"/>
                <w:szCs w:val="16"/>
                <w:color w:val="auto"/>
              </w:rPr>
              <w:t>Machinery and equipment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266,787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292,130</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4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10,417</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377,961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413,160</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255,803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283,145</w:t>
            </w:r>
          </w:p>
        </w:tc>
        <w:tc>
          <w:tcPr>
            <w:tcW w:w="0" w:type="dxa"/>
            <w:vAlign w:val="bottom"/>
          </w:tcPr>
          <w:p>
            <w:pPr>
              <w:spacing w:after="0"/>
              <w:rPr>
                <w:sz w:val="1"/>
                <w:szCs w:val="1"/>
                <w:color w:val="auto"/>
              </w:rPr>
            </w:pPr>
          </w:p>
        </w:tc>
      </w:tr>
      <w:tr>
        <w:trPr>
          <w:trHeight w:val="209"/>
        </w:trPr>
        <w:tc>
          <w:tcPr>
            <w:tcW w:w="6440" w:type="dxa"/>
            <w:vAlign w:val="bottom"/>
            <w:gridSpan w:val="5"/>
          </w:tcPr>
          <w:p>
            <w:pPr>
              <w:ind w:left="20"/>
              <w:spacing w:after="0"/>
              <w:rPr>
                <w:sz w:val="20"/>
                <w:szCs w:val="20"/>
                <w:color w:val="auto"/>
              </w:rPr>
            </w:pPr>
            <w:r>
              <w:rPr>
                <w:rFonts w:ascii="Arial" w:cs="Arial" w:eastAsia="Arial" w:hAnsi="Arial"/>
                <w:sz w:val="16"/>
                <w:szCs w:val="16"/>
                <w:b w:val="1"/>
                <w:bCs w:val="1"/>
                <w:color w:val="auto"/>
              </w:rPr>
              <w:t>Property, plant and equipment—net</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122,158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130,015</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1,438,683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1,607,719</w:t>
            </w:r>
          </w:p>
        </w:tc>
        <w:tc>
          <w:tcPr>
            <w:tcW w:w="0" w:type="dxa"/>
            <w:vAlign w:val="bottom"/>
          </w:tcPr>
          <w:p>
            <w:pPr>
              <w:spacing w:after="0"/>
              <w:rPr>
                <w:sz w:val="1"/>
                <w:szCs w:val="1"/>
                <w:color w:val="auto"/>
              </w:rPr>
            </w:pPr>
          </w:p>
        </w:tc>
      </w:tr>
      <w:tr>
        <w:trPr>
          <w:trHeight w:val="20"/>
        </w:trPr>
        <w:tc>
          <w:tcPr>
            <w:tcW w:w="6440" w:type="dxa"/>
            <w:vAlign w:val="bottom"/>
            <w:gridSpan w:val="5"/>
            <w:vMerge w:val="restart"/>
          </w:tcPr>
          <w:p>
            <w:pPr>
              <w:jc w:val="center"/>
              <w:ind w:right="20"/>
              <w:spacing w:after="0"/>
              <w:rPr>
                <w:sz w:val="20"/>
                <w:szCs w:val="20"/>
                <w:color w:val="auto"/>
              </w:rPr>
            </w:pPr>
            <w:r>
              <w:rPr>
                <w:rFonts w:ascii="Arial" w:cs="Arial" w:eastAsia="Arial" w:hAnsi="Arial"/>
                <w:sz w:val="16"/>
                <w:szCs w:val="16"/>
                <w:b w:val="1"/>
                <w:bCs w:val="1"/>
                <w:color w:val="auto"/>
              </w:rPr>
              <w:t>LIABILITIES AND STOCKHOLDERS’ INVESTMENT</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240" w:type="dxa"/>
            <w:vAlign w:val="bottom"/>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660" w:type="dxa"/>
            <w:vAlign w:val="bottom"/>
            <w:tcBorders>
              <w:top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40" w:type="dxa"/>
            <w:vAlign w:val="bottom"/>
            <w:gridSpan w:val="5"/>
          </w:tcPr>
          <w:p>
            <w:pPr>
              <w:ind w:left="240"/>
              <w:spacing w:after="0"/>
              <w:rPr>
                <w:sz w:val="20"/>
                <w:szCs w:val="20"/>
                <w:color w:val="auto"/>
              </w:rPr>
            </w:pPr>
            <w:r>
              <w:rPr>
                <w:rFonts w:ascii="Arial" w:cs="Arial" w:eastAsia="Arial" w:hAnsi="Arial"/>
                <w:sz w:val="16"/>
                <w:szCs w:val="16"/>
                <w:color w:val="auto"/>
              </w:rPr>
              <w:t>Notes payable</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50,613</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86,646</w:t>
            </w:r>
          </w:p>
        </w:tc>
        <w:tc>
          <w:tcPr>
            <w:tcW w:w="0" w:type="dxa"/>
            <w:vAlign w:val="bottom"/>
          </w:tcPr>
          <w:p>
            <w:pPr>
              <w:spacing w:after="0"/>
              <w:rPr>
                <w:sz w:val="1"/>
                <w:szCs w:val="1"/>
                <w:color w:val="auto"/>
              </w:rPr>
            </w:pPr>
          </w:p>
        </w:tc>
      </w:tr>
      <w:tr>
        <w:trPr>
          <w:trHeight w:val="217"/>
        </w:trPr>
        <w:tc>
          <w:tcPr>
            <w:tcW w:w="6440" w:type="dxa"/>
            <w:vAlign w:val="bottom"/>
            <w:gridSpan w:val="5"/>
          </w:tcPr>
          <w:p>
            <w:pPr>
              <w:ind w:left="240"/>
              <w:spacing w:after="0"/>
              <w:rPr>
                <w:sz w:val="20"/>
                <w:szCs w:val="20"/>
                <w:color w:val="auto"/>
              </w:rPr>
            </w:pPr>
            <w:r>
              <w:rPr>
                <w:rFonts w:ascii="Arial" w:cs="Arial" w:eastAsia="Arial" w:hAnsi="Arial"/>
                <w:sz w:val="16"/>
                <w:szCs w:val="16"/>
                <w:color w:val="auto"/>
              </w:rPr>
              <w:t>Wages and amounts withheld from employees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42,413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54,629</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Liabilities held for sale</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440" w:type="dxa"/>
            <w:vAlign w:val="bottom"/>
            <w:gridSpan w:val="5"/>
          </w:tcPr>
          <w:p>
            <w:pPr>
              <w:ind w:left="240"/>
              <w:spacing w:after="0"/>
              <w:rPr>
                <w:sz w:val="20"/>
                <w:szCs w:val="20"/>
                <w:color w:val="auto"/>
              </w:rPr>
            </w:pPr>
            <w:r>
              <w:rPr>
                <w:rFonts w:ascii="Arial" w:cs="Arial" w:eastAsia="Arial" w:hAnsi="Arial"/>
                <w:sz w:val="16"/>
                <w:szCs w:val="16"/>
                <w:color w:val="auto"/>
              </w:rPr>
              <w:t>Taxes, other than income taxes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9,307</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Accrued income taxes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14,357</w:t>
            </w:r>
          </w:p>
        </w:tc>
        <w:tc>
          <w:tcPr>
            <w:tcW w:w="0" w:type="dxa"/>
            <w:vAlign w:val="bottom"/>
          </w:tcPr>
          <w:p>
            <w:pPr>
              <w:spacing w:after="0"/>
              <w:rPr>
                <w:sz w:val="1"/>
                <w:szCs w:val="1"/>
                <w:color w:val="auto"/>
              </w:rPr>
            </w:pPr>
          </w:p>
        </w:tc>
      </w:tr>
      <w:tr>
        <w:trPr>
          <w:trHeight w:val="217"/>
        </w:trPr>
        <w:tc>
          <w:tcPr>
            <w:tcW w:w="6440" w:type="dxa"/>
            <w:vAlign w:val="bottom"/>
            <w:gridSpan w:val="5"/>
          </w:tcPr>
          <w:p>
            <w:pPr>
              <w:ind w:left="24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40,815</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Current maturities on 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61,264</w:t>
            </w:r>
          </w:p>
        </w:tc>
        <w:tc>
          <w:tcPr>
            <w:tcW w:w="0" w:type="dxa"/>
            <w:vAlign w:val="bottom"/>
          </w:tcPr>
          <w:p>
            <w:pPr>
              <w:spacing w:after="0"/>
              <w:rPr>
                <w:sz w:val="1"/>
                <w:szCs w:val="1"/>
                <w:color w:val="auto"/>
              </w:rPr>
            </w:pPr>
          </w:p>
        </w:tc>
      </w:tr>
      <w:tr>
        <w:trPr>
          <w:trHeight w:val="209"/>
        </w:trPr>
        <w:tc>
          <w:tcPr>
            <w:tcW w:w="6440" w:type="dxa"/>
            <w:vAlign w:val="bottom"/>
            <w:gridSpan w:val="5"/>
          </w:tcPr>
          <w:p>
            <w:pPr>
              <w:ind w:left="44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323,497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267,018</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Long-term obligations, less current maturities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254,944</w:t>
            </w:r>
          </w:p>
        </w:tc>
        <w:tc>
          <w:tcPr>
            <w:tcW w:w="0" w:type="dxa"/>
            <w:vAlign w:val="bottom"/>
          </w:tcPr>
          <w:p>
            <w:pPr>
              <w:spacing w:after="0"/>
              <w:rPr>
                <w:sz w:val="1"/>
                <w:szCs w:val="1"/>
                <w:color w:val="auto"/>
              </w:rPr>
            </w:pPr>
          </w:p>
        </w:tc>
      </w:tr>
      <w:tr>
        <w:trPr>
          <w:trHeight w:val="217"/>
        </w:trPr>
        <w:tc>
          <w:tcPr>
            <w:tcW w:w="6440" w:type="dxa"/>
            <w:vAlign w:val="bottom"/>
            <w:gridSpan w:val="5"/>
          </w:tcPr>
          <w:p>
            <w:pPr>
              <w:ind w:left="2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83,239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76,404</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607,886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598,366</w:t>
            </w:r>
          </w:p>
        </w:tc>
        <w:tc>
          <w:tcPr>
            <w:tcW w:w="0" w:type="dxa"/>
            <w:vAlign w:val="bottom"/>
          </w:tcPr>
          <w:p>
            <w:pPr>
              <w:spacing w:after="0"/>
              <w:rPr>
                <w:sz w:val="1"/>
                <w:szCs w:val="1"/>
                <w:color w:val="auto"/>
              </w:rPr>
            </w:pPr>
          </w:p>
        </w:tc>
      </w:tr>
      <w:tr>
        <w:trPr>
          <w:trHeight w:val="217"/>
        </w:trPr>
        <w:tc>
          <w:tcPr>
            <w:tcW w:w="6440" w:type="dxa"/>
            <w:vAlign w:val="bottom"/>
            <w:gridSpan w:val="5"/>
          </w:tcPr>
          <w:p>
            <w:pPr>
              <w:ind w:left="20"/>
              <w:spacing w:after="0"/>
              <w:rPr>
                <w:sz w:val="20"/>
                <w:szCs w:val="20"/>
                <w:color w:val="auto"/>
              </w:rPr>
            </w:pPr>
            <w:r>
              <w:rPr>
                <w:rFonts w:ascii="Arial" w:cs="Arial" w:eastAsia="Arial" w:hAnsi="Arial"/>
                <w:sz w:val="16"/>
                <w:szCs w:val="16"/>
                <w:b w:val="1"/>
                <w:bCs w:val="1"/>
                <w:color w:val="auto"/>
              </w:rPr>
              <w:t>Stockholders’ investment: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Common stock:</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40" w:type="dxa"/>
            <w:vAlign w:val="bottom"/>
            <w:gridSpan w:val="5"/>
          </w:tcPr>
          <w:p>
            <w:pPr>
              <w:ind w:left="440"/>
              <w:spacing w:after="0"/>
              <w:rPr>
                <w:sz w:val="20"/>
                <w:szCs w:val="20"/>
                <w:color w:val="auto"/>
              </w:rPr>
            </w:pPr>
            <w:r>
              <w:rPr>
                <w:rFonts w:ascii="Arial" w:cs="Arial" w:eastAsia="Arial" w:hAnsi="Arial"/>
                <w:sz w:val="16"/>
                <w:szCs w:val="16"/>
                <w:color w:val="auto"/>
                <w:w w:val="92"/>
              </w:rPr>
              <w:t>Class A nonvoting common stock—Issued 51,261,487 and 51,261,487 shares, respectively</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40" w:type="dxa"/>
            <w:vAlign w:val="bottom"/>
            <w:gridSpan w:val="5"/>
          </w:tcPr>
          <w:p>
            <w:pPr>
              <w:ind w:left="440"/>
              <w:spacing w:after="0"/>
              <w:rPr>
                <w:sz w:val="20"/>
                <w:szCs w:val="20"/>
                <w:color w:val="auto"/>
              </w:rPr>
            </w:pPr>
            <w:r>
              <w:rPr>
                <w:rFonts w:ascii="Arial" w:cs="Arial" w:eastAsia="Arial" w:hAnsi="Arial"/>
                <w:sz w:val="16"/>
                <w:szCs w:val="16"/>
                <w:color w:val="auto"/>
              </w:rPr>
              <w:t>and outstanding 48,408,544 and 47,630,926 shares, respectively</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6"/>
                <w:szCs w:val="16"/>
                <w:color w:val="auto"/>
              </w:rPr>
              <w:t>Class B voting common stock—Issued and outstanding, 3,538,628 shares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6440" w:type="dxa"/>
            <w:vAlign w:val="bottom"/>
            <w:gridSpan w:val="5"/>
          </w:tcPr>
          <w:p>
            <w:pPr>
              <w:ind w:left="2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306,191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313,008</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Earnings retained in the business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538,512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732,290</w:t>
            </w:r>
          </w:p>
        </w:tc>
        <w:tc>
          <w:tcPr>
            <w:tcW w:w="0" w:type="dxa"/>
            <w:vAlign w:val="bottom"/>
          </w:tcPr>
          <w:p>
            <w:pPr>
              <w:spacing w:after="0"/>
              <w:rPr>
                <w:sz w:val="1"/>
                <w:szCs w:val="1"/>
                <w:color w:val="auto"/>
              </w:rPr>
            </w:pPr>
          </w:p>
        </w:tc>
      </w:tr>
      <w:tr>
        <w:trPr>
          <w:trHeight w:val="205"/>
        </w:trPr>
        <w:tc>
          <w:tcPr>
            <w:tcW w:w="6440" w:type="dxa"/>
            <w:vAlign w:val="bottom"/>
            <w:gridSpan w:val="5"/>
          </w:tcPr>
          <w:p>
            <w:pPr>
              <w:ind w:left="240"/>
              <w:spacing w:after="0"/>
              <w:rPr>
                <w:sz w:val="20"/>
                <w:szCs w:val="20"/>
                <w:color w:val="auto"/>
              </w:rPr>
            </w:pPr>
            <w:r>
              <w:rPr>
                <w:rFonts w:ascii="Arial" w:cs="Arial" w:eastAsia="Arial" w:hAnsi="Arial"/>
                <w:sz w:val="16"/>
                <w:szCs w:val="16"/>
                <w:color w:val="auto"/>
                <w:w w:val="93"/>
              </w:rPr>
              <w:t>Treasury stock—2,626,276 and 3,245,561 shares, respectively of Class A nonvoting common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40" w:type="dxa"/>
            <w:vAlign w:val="bottom"/>
            <w:gridSpan w:val="5"/>
          </w:tcPr>
          <w:p>
            <w:pPr>
              <w:ind w:left="240"/>
              <w:spacing w:after="0"/>
              <w:rPr>
                <w:sz w:val="20"/>
                <w:szCs w:val="20"/>
                <w:color w:val="auto"/>
              </w:rPr>
            </w:pPr>
            <w:r>
              <w:rPr>
                <w:rFonts w:ascii="Arial" w:cs="Arial" w:eastAsia="Arial" w:hAnsi="Arial"/>
                <w:sz w:val="16"/>
                <w:szCs w:val="16"/>
                <w:color w:val="auto"/>
              </w:rPr>
              <w:t>stock, at cost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(69,797)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(92,600)</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59,411</w:t>
            </w:r>
          </w:p>
        </w:tc>
        <w:tc>
          <w:tcPr>
            <w:tcW w:w="0" w:type="dxa"/>
            <w:vAlign w:val="bottom"/>
          </w:tcPr>
          <w:p>
            <w:pPr>
              <w:spacing w:after="0"/>
              <w:rPr>
                <w:sz w:val="1"/>
                <w:szCs w:val="1"/>
                <w:color w:val="auto"/>
              </w:rPr>
            </w:pPr>
          </w:p>
        </w:tc>
      </w:tr>
      <w:tr>
        <w:trPr>
          <w:trHeight w:val="217"/>
        </w:trPr>
        <w:tc>
          <w:tcPr>
            <w:tcW w:w="6440" w:type="dxa"/>
            <w:vAlign w:val="bottom"/>
            <w:gridSpan w:val="5"/>
          </w:tcPr>
          <w:p>
            <w:pPr>
              <w:ind w:left="2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4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6"/>
                <w:szCs w:val="16"/>
                <w:b w:val="1"/>
                <w:bCs w:val="1"/>
                <w:color w:val="auto"/>
              </w:rPr>
              <w:t>Total stockholders’ investment</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830,797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1,009,353</w:t>
            </w:r>
          </w:p>
        </w:tc>
        <w:tc>
          <w:tcPr>
            <w:tcW w:w="0" w:type="dxa"/>
            <w:vAlign w:val="bottom"/>
          </w:tcPr>
          <w:p>
            <w:pPr>
              <w:spacing w:after="0"/>
              <w:rPr>
                <w:sz w:val="1"/>
                <w:szCs w:val="1"/>
                <w:color w:val="auto"/>
              </w:rPr>
            </w:pPr>
          </w:p>
        </w:tc>
      </w:tr>
      <w:tr>
        <w:trPr>
          <w:trHeight w:val="227"/>
        </w:trPr>
        <w:tc>
          <w:tcPr>
            <w:tcW w:w="6440" w:type="dxa"/>
            <w:vAlign w:val="bottom"/>
            <w:gridSpan w:val="5"/>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1,438,683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1,607,719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1160" w:type="dxa"/>
            <w:vAlign w:val="bottom"/>
            <w:gridSpan w:val="3"/>
          </w:tcPr>
          <w:p>
            <w:pPr>
              <w:ind w:left="100"/>
              <w:spacing w:after="0"/>
              <w:rPr>
                <w:sz w:val="20"/>
                <w:szCs w:val="20"/>
                <w:color w:val="auto"/>
              </w:rPr>
            </w:pPr>
            <w:r>
              <w:rPr>
                <w:rFonts w:ascii="Arial" w:cs="Arial" w:eastAsia="Arial" w:hAnsi="Arial"/>
                <w:sz w:val="16"/>
                <w:szCs w:val="16"/>
                <w:color w:val="auto"/>
              </w:rPr>
              <w:t>July 31, 2013</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July 31, 2012</w:t>
            </w:r>
          </w:p>
        </w:tc>
      </w:tr>
      <w:tr>
        <w:trPr>
          <w:trHeight w:val="24"/>
        </w:trPr>
        <w:tc>
          <w:tcPr>
            <w:tcW w:w="6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7"/>
        </w:trPr>
        <w:tc>
          <w:tcPr>
            <w:tcW w:w="6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(154,535)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(17,911)</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48,725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43,987</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Non-cash portion of restructuring charges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Non-cash portion of stock-based compensation expense</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9,735</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Impairment charge</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115,688</w:t>
            </w: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Loss on write-down of assets held for sale</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Loss (gain) on sales of businesses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21,630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(9,679)</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Changes in operating assets and liabilities (net of effects of business acquisitions/divestitures):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6440" w:type="dxa"/>
            <w:vAlign w:val="bottom"/>
          </w:tcPr>
          <w:p>
            <w:pPr>
              <w:ind w:left="4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18,089</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(7,674)</w:t>
            </w:r>
          </w:p>
        </w:tc>
      </w:tr>
      <w:tr>
        <w:trPr>
          <w:trHeight w:val="217"/>
        </w:trPr>
        <w:tc>
          <w:tcPr>
            <w:tcW w:w="6440" w:type="dxa"/>
            <w:vAlign w:val="bottom"/>
          </w:tcPr>
          <w:p>
            <w:pPr>
              <w:ind w:left="4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(2,744)</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(29,370)</w:t>
            </w:r>
          </w:p>
        </w:tc>
      </w:tr>
      <w:tr>
        <w:trPr>
          <w:trHeight w:val="217"/>
        </w:trPr>
        <w:tc>
          <w:tcPr>
            <w:tcW w:w="6440" w:type="dxa"/>
            <w:vAlign w:val="bottom"/>
          </w:tcPr>
          <w:p>
            <w:pPr>
              <w:ind w:left="44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23,922</w:t>
            </w:r>
          </w:p>
        </w:tc>
      </w:tr>
      <w:tr>
        <w:trPr>
          <w:trHeight w:val="24"/>
        </w:trPr>
        <w:tc>
          <w:tcPr>
            <w:tcW w:w="6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143,503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144,705</w:t>
            </w:r>
          </w:p>
        </w:tc>
      </w:tr>
      <w:tr>
        <w:trPr>
          <w:trHeight w:val="217"/>
        </w:trPr>
        <w:tc>
          <w:tcPr>
            <w:tcW w:w="6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(24,147)</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Payments of contingent consideration</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w:t>
            </w: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Settlement of net investment hedges</w:t>
            </w: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(797)</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Acquisition of business, net of cash acquired</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(301,157)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(37,649)</w:t>
            </w: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Sales of businesses, net of cash retained</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856</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09"/>
        </w:trPr>
        <w:tc>
          <w:tcPr>
            <w:tcW w:w="6440" w:type="dxa"/>
            <w:vAlign w:val="bottom"/>
          </w:tcPr>
          <w:p>
            <w:pPr>
              <w:ind w:left="44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(325,766)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(64,604)</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7"/>
        </w:trPr>
        <w:tc>
          <w:tcPr>
            <w:tcW w:w="6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7"/>
        </w:trPr>
        <w:tc>
          <w:tcPr>
            <w:tcW w:w="64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Payment of dividends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(38,899)</w:t>
            </w: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Proceeds from issuance of common stock</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3,864</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Purchase of treasury stock</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(49,933)</w:t>
            </w: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Proceeds from borrowings on notes payable</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Repayment of borrowings on notes payable</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Proceeds from borrowings on line of credit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Principal payments on debt</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(61,264)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(62,687)</w:t>
            </w: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Debt issuance costs</w:t>
            </w: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(961)</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5"/>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Income tax benefit from the exercise of stock options and deferred compensation distribution,</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and other</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r>
      <w:tr>
        <w:trPr>
          <w:trHeight w:val="209"/>
        </w:trPr>
        <w:tc>
          <w:tcPr>
            <w:tcW w:w="6440" w:type="dxa"/>
            <w:vAlign w:val="bottom"/>
          </w:tcPr>
          <w:p>
            <w:pPr>
              <w:ind w:left="4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(33,060)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(147,824)</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7"/>
        </w:trPr>
        <w:tc>
          <w:tcPr>
            <w:tcW w:w="6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7"/>
        </w:trPr>
        <w:tc>
          <w:tcPr>
            <w:tcW w:w="64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(16,348)</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7"/>
        </w:trPr>
        <w:tc>
          <w:tcPr>
            <w:tcW w:w="6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7"/>
        </w:trPr>
        <w:tc>
          <w:tcPr>
            <w:tcW w:w="644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(214,842)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(84,071)</w:t>
            </w:r>
          </w:p>
        </w:tc>
      </w:tr>
      <w:tr>
        <w:trPr>
          <w:trHeight w:val="24"/>
        </w:trPr>
        <w:tc>
          <w:tcPr>
            <w:tcW w:w="6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305,900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389,971</w:t>
            </w:r>
          </w:p>
        </w:tc>
      </w:tr>
      <w:tr>
        <w:trPr>
          <w:trHeight w:val="217"/>
        </w:trPr>
        <w:tc>
          <w:tcPr>
            <w:tcW w:w="6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5"/>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305,900</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9"/>
        </w:trPr>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6440" w:type="dxa"/>
            <w:vAlign w:val="bottom"/>
          </w:tcPr>
          <w:p>
            <w:pPr>
              <w:ind w:left="20"/>
              <w:spacing w:after="0"/>
              <w:rPr>
                <w:sz w:val="20"/>
                <w:szCs w:val="20"/>
                <w:color w:val="auto"/>
              </w:rPr>
            </w:pPr>
            <w:r>
              <w:rPr>
                <w:rFonts w:ascii="Arial" w:cs="Arial" w:eastAsia="Arial" w:hAnsi="Arial"/>
                <w:sz w:val="16"/>
                <w:szCs w:val="16"/>
                <w:color w:val="auto"/>
              </w:rPr>
              <w:t>Cash paid during the period for:</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 net of capitalized interest</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19,194</w:t>
            </w: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Income taxes, net of refunds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35,292</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Fair value of assets acquired, net of cash</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168,724</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23,792</w:t>
            </w:r>
          </w:p>
        </w:tc>
      </w:tr>
      <w:tr>
        <w:trPr>
          <w:trHeight w:val="24"/>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Liabilities assumed</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(37,747)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(8,987)</w:t>
            </w:r>
          </w:p>
        </w:tc>
      </w:tr>
      <w:tr>
        <w:trPr>
          <w:trHeight w:val="217"/>
        </w:trPr>
        <w:tc>
          <w:tcPr>
            <w:tcW w:w="6440" w:type="dxa"/>
            <w:vAlign w:val="bottom"/>
          </w:tcPr>
          <w:p>
            <w:pPr>
              <w:ind w:left="2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170,180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22,844</w:t>
            </w:r>
          </w:p>
        </w:tc>
      </w:tr>
      <w:tr>
        <w:trPr>
          <w:trHeight w:val="24"/>
        </w:trPr>
        <w:tc>
          <w:tcPr>
            <w:tcW w:w="6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7"/>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paid for acquisitions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301,157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37,649</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128" w:gutter="0" w:footer="0" w:header="0"/>
        </w:sectPr>
      </w:pPr>
    </w:p>
    <w:bookmarkStart w:id="11" w:name="page12"/>
    <w:bookmarkEnd w:id="11"/>
    <w:p>
      <w:pPr>
        <w:ind w:left="20"/>
        <w:spacing w:after="0"/>
        <w:rPr>
          <w:sz w:val="20"/>
          <w:szCs w:val="20"/>
          <w:color w:val="auto"/>
        </w:rPr>
      </w:pPr>
      <w:r>
        <w:rPr>
          <w:rFonts w:ascii="Arial" w:cs="Arial" w:eastAsia="Arial" w:hAnsi="Arial"/>
          <w:sz w:val="16"/>
          <w:szCs w:val="16"/>
          <w:b w:val="1"/>
          <w:bCs w:val="1"/>
          <w:color w:val="auto"/>
        </w:rPr>
        <w:t>EBITDA from Continuing Operations</w:t>
      </w:r>
    </w:p>
    <w:p>
      <w:pPr>
        <w:spacing w:after="0" w:line="61" w:lineRule="exact"/>
        <w:rPr>
          <w:sz w:val="20"/>
          <w:szCs w:val="20"/>
          <w:color w:val="auto"/>
        </w:rPr>
      </w:pPr>
    </w:p>
    <w:p>
      <w:pPr>
        <w:jc w:val="both"/>
        <w:ind w:left="20" w:right="1619"/>
        <w:spacing w:after="0" w:line="274" w:lineRule="auto"/>
        <w:rPr>
          <w:sz w:val="20"/>
          <w:szCs w:val="20"/>
          <w:color w:val="auto"/>
        </w:rPr>
      </w:pPr>
      <w:r>
        <w:rPr>
          <w:rFonts w:ascii="Arial" w:cs="Arial" w:eastAsia="Arial" w:hAnsi="Arial"/>
          <w:sz w:val="15"/>
          <w:szCs w:val="15"/>
          <w:color w:val="auto"/>
        </w:rPr>
        <w:t>Brady is presenting EBITDA from Continuing Operations because it is used by many of our investors and lenders, and is presented as a convenience to them. EBITDA from Continuing Operations represents earnings from continuing operations before interest expense, income taxes, depreciation, amortization and impairment charges. EBITDA from Continuing Operations is not a calculation based on generally accepted accounting principles ("GAAP"). The amounts included in the EBITDA from Continuing Operations calculation, however, are derived from amounts included in the Consolidated Statements of Earnings data. EBITDA from Continuing Operations should not be considered as an alternative to net earnings or operating income as an indicator of the Company's operating performance, or as an alternative to net cash provided by operating activities as a measure of liquidity. The EBITDA from Continuing Operations measure presented may not always be comparable to similarly titled measures reported by other companies due to differences in the components of the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138430</wp:posOffset>
            </wp:positionV>
            <wp:extent cx="2788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8285" cy="762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ind w:left="40"/>
              <w:spacing w:after="0"/>
              <w:rPr>
                <w:sz w:val="20"/>
                <w:szCs w:val="20"/>
                <w:color w:val="auto"/>
              </w:rPr>
            </w:pPr>
            <w:r>
              <w:rPr>
                <w:rFonts w:ascii="Arial" w:cs="Arial" w:eastAsia="Arial" w:hAnsi="Arial"/>
                <w:sz w:val="16"/>
                <w:szCs w:val="16"/>
                <w:color w:val="auto"/>
                <w:w w:val="97"/>
              </w:rPr>
              <w:t>Fiscal 2013</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6"/>
                <w:szCs w:val="16"/>
                <w:color w:val="auto"/>
              </w:rPr>
              <w:t>Q1</w:t>
            </w:r>
          </w:p>
        </w:tc>
        <w:tc>
          <w:tcPr>
            <w:tcW w:w="180" w:type="dxa"/>
            <w:vAlign w:val="bottom"/>
          </w:tcPr>
          <w:p>
            <w:pPr>
              <w:spacing w:after="0"/>
              <w:rPr>
                <w:sz w:val="24"/>
                <w:szCs w:val="24"/>
                <w:color w:val="auto"/>
              </w:rPr>
            </w:pPr>
          </w:p>
        </w:tc>
        <w:tc>
          <w:tcPr>
            <w:tcW w:w="740" w:type="dxa"/>
            <w:vAlign w:val="bottom"/>
            <w:gridSpan w:val="2"/>
          </w:tcPr>
          <w:p>
            <w:pPr>
              <w:ind w:left="140"/>
              <w:spacing w:after="0"/>
              <w:rPr>
                <w:sz w:val="20"/>
                <w:szCs w:val="20"/>
                <w:color w:val="auto"/>
              </w:rPr>
            </w:pPr>
            <w:r>
              <w:rPr>
                <w:rFonts w:ascii="Arial" w:cs="Arial" w:eastAsia="Arial" w:hAnsi="Arial"/>
                <w:sz w:val="16"/>
                <w:szCs w:val="16"/>
                <w:color w:val="auto"/>
              </w:rPr>
              <w:t>Q2</w:t>
            </w:r>
          </w:p>
        </w:tc>
        <w:tc>
          <w:tcPr>
            <w:tcW w:w="18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6"/>
                <w:szCs w:val="16"/>
                <w:color w:val="auto"/>
              </w:rPr>
              <w:t>Q3</w:t>
            </w:r>
          </w:p>
        </w:tc>
        <w:tc>
          <w:tcPr>
            <w:tcW w:w="140" w:type="dxa"/>
            <w:vAlign w:val="bottom"/>
          </w:tcPr>
          <w:p>
            <w:pPr>
              <w:spacing w:after="0"/>
              <w:rPr>
                <w:sz w:val="24"/>
                <w:szCs w:val="24"/>
                <w:color w:val="auto"/>
              </w:rPr>
            </w:pPr>
          </w:p>
        </w:tc>
        <w:tc>
          <w:tcPr>
            <w:tcW w:w="780" w:type="dxa"/>
            <w:vAlign w:val="bottom"/>
            <w:gridSpan w:val="2"/>
          </w:tcPr>
          <w:p>
            <w:pPr>
              <w:ind w:left="180"/>
              <w:spacing w:after="0"/>
              <w:rPr>
                <w:sz w:val="20"/>
                <w:szCs w:val="20"/>
                <w:color w:val="auto"/>
              </w:rPr>
            </w:pPr>
            <w:r>
              <w:rPr>
                <w:rFonts w:ascii="Arial" w:cs="Arial" w:eastAsia="Arial" w:hAnsi="Arial"/>
                <w:sz w:val="16"/>
                <w:szCs w:val="16"/>
                <w:color w:val="auto"/>
              </w:rPr>
              <w:t>Q4</w:t>
            </w:r>
          </w:p>
        </w:tc>
        <w:tc>
          <w:tcPr>
            <w:tcW w:w="140" w:type="dxa"/>
            <w:vAlign w:val="bottom"/>
          </w:tcPr>
          <w:p>
            <w:pPr>
              <w:spacing w:after="0"/>
              <w:rPr>
                <w:sz w:val="24"/>
                <w:szCs w:val="24"/>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4"/>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EBITDA from Continuing Operations:</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180"/>
              <w:spacing w:after="0"/>
              <w:rPr>
                <w:sz w:val="20"/>
                <w:szCs w:val="20"/>
                <w:color w:val="auto"/>
              </w:rPr>
            </w:pPr>
            <w:r>
              <w:rPr>
                <w:rFonts w:ascii="Arial" w:cs="Arial" w:eastAsia="Arial" w:hAnsi="Arial"/>
                <w:sz w:val="16"/>
                <w:szCs w:val="16"/>
                <w:color w:val="auto"/>
              </w:rPr>
              <w:t>Earnings (loss) from 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25,785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(11,365)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20,998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(176,234)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(140,816)</w:t>
            </w: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c>
          <w:tcPr>
            <w:tcW w:w="0" w:type="dxa"/>
            <w:vAlign w:val="bottom"/>
          </w:tcPr>
          <w:p>
            <w:pPr>
              <w:spacing w:after="0"/>
              <w:rPr>
                <w:sz w:val="1"/>
                <w:szCs w:val="1"/>
                <w:color w:val="auto"/>
              </w:rPr>
            </w:pPr>
          </w:p>
        </w:tc>
      </w:tr>
      <w:tr>
        <w:trPr>
          <w:trHeight w:val="217"/>
        </w:trPr>
        <w:tc>
          <w:tcPr>
            <w:tcW w:w="4200" w:type="dxa"/>
            <w:vAlign w:val="bottom"/>
          </w:tcPr>
          <w:p>
            <w:pPr>
              <w:ind w:left="38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28,823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42,070</w:t>
            </w: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39,927</w:t>
            </w:r>
          </w:p>
        </w:tc>
        <w:tc>
          <w:tcPr>
            <w:tcW w:w="0" w:type="dxa"/>
            <w:vAlign w:val="bottom"/>
          </w:tcPr>
          <w:p>
            <w:pPr>
              <w:spacing w:after="0"/>
              <w:rPr>
                <w:sz w:val="1"/>
                <w:szCs w:val="1"/>
                <w:color w:val="auto"/>
              </w:rPr>
            </w:pPr>
          </w:p>
        </w:tc>
      </w:tr>
      <w:tr>
        <w:trPr>
          <w:trHeight w:val="217"/>
        </w:trPr>
        <w:tc>
          <w:tcPr>
            <w:tcW w:w="4200" w:type="dxa"/>
            <w:vAlign w:val="bottom"/>
          </w:tcPr>
          <w:p>
            <w:pPr>
              <w:ind w:left="380"/>
              <w:spacing w:after="0"/>
              <w:rPr>
                <w:sz w:val="20"/>
                <w:szCs w:val="20"/>
                <w:color w:val="auto"/>
              </w:rPr>
            </w:pPr>
            <w:r>
              <w:rPr>
                <w:rFonts w:ascii="Arial" w:cs="Arial" w:eastAsia="Arial" w:hAnsi="Arial"/>
                <w:sz w:val="16"/>
                <w:szCs w:val="16"/>
                <w:color w:val="auto"/>
              </w:rPr>
              <w:t>Intangible asset write-down in restructuring charges</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3,207</w:t>
            </w: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charges</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c>
          <w:tcPr>
            <w:tcW w:w="0" w:type="dxa"/>
            <w:vAlign w:val="bottom"/>
          </w:tcPr>
          <w:p>
            <w:pPr>
              <w:spacing w:after="0"/>
              <w:rPr>
                <w:sz w:val="1"/>
                <w:szCs w:val="1"/>
                <w:color w:val="auto"/>
              </w:rPr>
            </w:pPr>
          </w:p>
        </w:tc>
      </w:tr>
      <w:tr>
        <w:trPr>
          <w:trHeight w:val="185"/>
        </w:trPr>
        <w:tc>
          <w:tcPr>
            <w:tcW w:w="4200" w:type="dxa"/>
            <w:vAlign w:val="bottom"/>
          </w:tcPr>
          <w:p>
            <w:pPr>
              <w:ind w:left="180"/>
              <w:spacing w:after="0"/>
              <w:rPr>
                <w:sz w:val="20"/>
                <w:szCs w:val="20"/>
                <w:color w:val="auto"/>
              </w:rPr>
            </w:pPr>
            <w:r>
              <w:rPr>
                <w:rFonts w:ascii="Arial" w:cs="Arial" w:eastAsia="Arial" w:hAnsi="Arial"/>
                <w:sz w:val="16"/>
                <w:szCs w:val="16"/>
                <w:color w:val="auto"/>
              </w:rPr>
              <w:t>EBITDA from Continuing Operations (non-GAAP</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50,709</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30,354</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45,521</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38,893</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165,477</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6"/>
                <w:szCs w:val="16"/>
                <w:color w:val="auto"/>
              </w:rPr>
              <w:t>measure)</w:t>
            </w:r>
          </w:p>
        </w:tc>
        <w:tc>
          <w:tcPr>
            <w:tcW w:w="1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40"/>
              <w:spacing w:after="0"/>
              <w:rPr>
                <w:sz w:val="20"/>
                <w:szCs w:val="20"/>
                <w:color w:val="auto"/>
              </w:rPr>
            </w:pPr>
            <w:r>
              <w:rPr>
                <w:rFonts w:ascii="Arial" w:cs="Arial" w:eastAsia="Arial" w:hAnsi="Arial"/>
                <w:sz w:val="16"/>
                <w:szCs w:val="16"/>
                <w:color w:val="auto"/>
                <w:w w:val="97"/>
              </w:rPr>
              <w:t>Fiscal 2012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6"/>
                <w:szCs w:val="16"/>
                <w:color w:val="auto"/>
              </w:rPr>
              <w:t>Q1</w:t>
            </w:r>
          </w:p>
        </w:tc>
        <w:tc>
          <w:tcPr>
            <w:tcW w:w="180" w:type="dxa"/>
            <w:vAlign w:val="bottom"/>
          </w:tcPr>
          <w:p>
            <w:pPr>
              <w:spacing w:after="0"/>
              <w:rPr>
                <w:sz w:val="24"/>
                <w:szCs w:val="24"/>
                <w:color w:val="auto"/>
              </w:rPr>
            </w:pPr>
          </w:p>
        </w:tc>
        <w:tc>
          <w:tcPr>
            <w:tcW w:w="740" w:type="dxa"/>
            <w:vAlign w:val="bottom"/>
            <w:gridSpan w:val="2"/>
          </w:tcPr>
          <w:p>
            <w:pPr>
              <w:ind w:left="140"/>
              <w:spacing w:after="0"/>
              <w:rPr>
                <w:sz w:val="20"/>
                <w:szCs w:val="20"/>
                <w:color w:val="auto"/>
              </w:rPr>
            </w:pPr>
            <w:r>
              <w:rPr>
                <w:rFonts w:ascii="Arial" w:cs="Arial" w:eastAsia="Arial" w:hAnsi="Arial"/>
                <w:sz w:val="16"/>
                <w:szCs w:val="16"/>
                <w:color w:val="auto"/>
              </w:rPr>
              <w:t>Q2</w:t>
            </w:r>
          </w:p>
        </w:tc>
        <w:tc>
          <w:tcPr>
            <w:tcW w:w="18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6"/>
                <w:szCs w:val="16"/>
                <w:color w:val="auto"/>
              </w:rPr>
              <w:t>Q3</w:t>
            </w:r>
          </w:p>
        </w:tc>
        <w:tc>
          <w:tcPr>
            <w:tcW w:w="140" w:type="dxa"/>
            <w:vAlign w:val="bottom"/>
          </w:tcPr>
          <w:p>
            <w:pPr>
              <w:spacing w:after="0"/>
              <w:rPr>
                <w:sz w:val="24"/>
                <w:szCs w:val="24"/>
                <w:color w:val="auto"/>
              </w:rPr>
            </w:pPr>
          </w:p>
        </w:tc>
        <w:tc>
          <w:tcPr>
            <w:tcW w:w="780" w:type="dxa"/>
            <w:vAlign w:val="bottom"/>
            <w:gridSpan w:val="2"/>
          </w:tcPr>
          <w:p>
            <w:pPr>
              <w:ind w:left="180"/>
              <w:spacing w:after="0"/>
              <w:rPr>
                <w:sz w:val="20"/>
                <w:szCs w:val="20"/>
                <w:color w:val="auto"/>
              </w:rPr>
            </w:pPr>
            <w:r>
              <w:rPr>
                <w:rFonts w:ascii="Arial" w:cs="Arial" w:eastAsia="Arial" w:hAnsi="Arial"/>
                <w:sz w:val="16"/>
                <w:szCs w:val="16"/>
                <w:color w:val="auto"/>
              </w:rPr>
              <w:t>Q4</w:t>
            </w:r>
          </w:p>
        </w:tc>
        <w:tc>
          <w:tcPr>
            <w:tcW w:w="140" w:type="dxa"/>
            <w:vAlign w:val="bottom"/>
          </w:tcPr>
          <w:p>
            <w:pPr>
              <w:spacing w:after="0"/>
              <w:rPr>
                <w:sz w:val="24"/>
                <w:szCs w:val="24"/>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4"/>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EBITDA from Continuing Operations:</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180"/>
              <w:spacing w:after="0"/>
              <w:rPr>
                <w:sz w:val="20"/>
                <w:szCs w:val="20"/>
                <w:color w:val="auto"/>
              </w:rPr>
            </w:pPr>
            <w:r>
              <w:rPr>
                <w:rFonts w:ascii="Arial" w:cs="Arial" w:eastAsia="Arial" w:hAnsi="Arial"/>
                <w:sz w:val="16"/>
                <w:szCs w:val="16"/>
                <w:color w:val="auto"/>
              </w:rPr>
              <w:t>Earnings from 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27,856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26,436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27,310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20,869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102,471</w:t>
            </w: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c>
          <w:tcPr>
            <w:tcW w:w="0" w:type="dxa"/>
            <w:vAlign w:val="bottom"/>
          </w:tcPr>
          <w:p>
            <w:pPr>
              <w:spacing w:after="0"/>
              <w:rPr>
                <w:sz w:val="1"/>
                <w:szCs w:val="1"/>
                <w:color w:val="auto"/>
              </w:rPr>
            </w:pPr>
          </w:p>
        </w:tc>
      </w:tr>
      <w:tr>
        <w:trPr>
          <w:trHeight w:val="217"/>
        </w:trPr>
        <w:tc>
          <w:tcPr>
            <w:tcW w:w="4200" w:type="dxa"/>
            <w:vAlign w:val="bottom"/>
          </w:tcPr>
          <w:p>
            <w:pPr>
              <w:ind w:left="38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36,953</w:t>
            </w: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31,081</w:t>
            </w:r>
          </w:p>
        </w:tc>
        <w:tc>
          <w:tcPr>
            <w:tcW w:w="0" w:type="dxa"/>
            <w:vAlign w:val="bottom"/>
          </w:tcPr>
          <w:p>
            <w:pPr>
              <w:spacing w:after="0"/>
              <w:rPr>
                <w:sz w:val="1"/>
                <w:szCs w:val="1"/>
                <w:color w:val="auto"/>
              </w:rPr>
            </w:pPr>
          </w:p>
        </w:tc>
      </w:tr>
      <w:tr>
        <w:trPr>
          <w:trHeight w:val="185"/>
        </w:trPr>
        <w:tc>
          <w:tcPr>
            <w:tcW w:w="4200" w:type="dxa"/>
            <w:vAlign w:val="bottom"/>
          </w:tcPr>
          <w:p>
            <w:pPr>
              <w:ind w:left="180"/>
              <w:spacing w:after="0"/>
              <w:rPr>
                <w:sz w:val="20"/>
                <w:szCs w:val="20"/>
                <w:color w:val="auto"/>
              </w:rPr>
            </w:pPr>
            <w:r>
              <w:rPr>
                <w:rFonts w:ascii="Arial" w:cs="Arial" w:eastAsia="Arial" w:hAnsi="Arial"/>
                <w:sz w:val="16"/>
                <w:szCs w:val="16"/>
                <w:color w:val="auto"/>
              </w:rPr>
              <w:t>EBITDA from Continuing Operations (non-GAAP</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50,368</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45,755</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51,386</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42,086</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189,595</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6"/>
                <w:szCs w:val="16"/>
                <w:color w:val="auto"/>
              </w:rPr>
              <w:t>measure)</w:t>
            </w:r>
          </w:p>
        </w:tc>
        <w:tc>
          <w:tcPr>
            <w:tcW w:w="1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79"/>
          </w:cols>
          <w:pgMar w:left="280" w:top="678"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16"/>
          <w:szCs w:val="16"/>
          <w:b w:val="1"/>
          <w:bCs w:val="1"/>
          <w:color w:val="auto"/>
        </w:rPr>
        <w:t>EBITDA from Discontinued Operations</w:t>
      </w:r>
    </w:p>
    <w:p>
      <w:pPr>
        <w:spacing w:after="0" w:line="61" w:lineRule="exact"/>
        <w:rPr>
          <w:sz w:val="20"/>
          <w:szCs w:val="20"/>
          <w:color w:val="auto"/>
        </w:rPr>
      </w:pPr>
    </w:p>
    <w:p>
      <w:pPr>
        <w:jc w:val="both"/>
        <w:ind w:left="20" w:right="1619"/>
        <w:spacing w:after="0" w:line="295" w:lineRule="auto"/>
        <w:rPr>
          <w:sz w:val="20"/>
          <w:szCs w:val="20"/>
          <w:color w:val="auto"/>
        </w:rPr>
      </w:pPr>
      <w:r>
        <w:rPr>
          <w:rFonts w:ascii="Arial" w:cs="Arial" w:eastAsia="Arial" w:hAnsi="Arial"/>
          <w:sz w:val="14"/>
          <w:szCs w:val="14"/>
          <w:color w:val="auto"/>
        </w:rPr>
        <w:t>Brady is presenting EBITDA from Discontinued Operations because it is used by many of our investors and lenders, and is presented as a convenience to them. EBITDA from Discontinued Operations represents earnings (loss) from discontinued operations before interest expense, income taxes, depreciation, amortization, and impairment charges. EBITDA from Discontinued Operations is not a calculation based on generally accepted accounting principles ("GAAP"). The amounts included in the EBITDA from Discontinued Operations calculation, however, are derived from amounts included in the Consolidated Statements of Earnings data. EBITDA from Discontinued Operations should not be considered as an alternative to net earnings or operating income as an indicator of the Company's operating performance, or as an alternative to net cash provided by operating activities as a measure of liquidity. The EBITDA from Discontinued Operations measure presented may not always be comparable to similarly titled measures reported by other companies due to differences in the components of the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133350</wp:posOffset>
            </wp:positionV>
            <wp:extent cx="28111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1145" cy="762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Arial" w:cs="Arial" w:eastAsia="Arial" w:hAnsi="Arial"/>
                <w:sz w:val="16"/>
                <w:szCs w:val="16"/>
                <w:color w:val="auto"/>
              </w:rPr>
              <w:t>Fiscal 2013</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Arial" w:cs="Arial" w:eastAsia="Arial" w:hAnsi="Arial"/>
                <w:sz w:val="16"/>
                <w:szCs w:val="16"/>
                <w:color w:val="auto"/>
              </w:rPr>
              <w:t>Q1</w:t>
            </w:r>
          </w:p>
        </w:tc>
        <w:tc>
          <w:tcPr>
            <w:tcW w:w="140" w:type="dxa"/>
            <w:vAlign w:val="bottom"/>
          </w:tcPr>
          <w:p>
            <w:pPr>
              <w:spacing w:after="0"/>
              <w:rPr>
                <w:sz w:val="24"/>
                <w:szCs w:val="24"/>
                <w:color w:val="auto"/>
              </w:rPr>
            </w:pPr>
          </w:p>
        </w:tc>
        <w:tc>
          <w:tcPr>
            <w:tcW w:w="780" w:type="dxa"/>
            <w:vAlign w:val="bottom"/>
            <w:gridSpan w:val="2"/>
          </w:tcPr>
          <w:p>
            <w:pPr>
              <w:ind w:left="180"/>
              <w:spacing w:after="0"/>
              <w:rPr>
                <w:sz w:val="20"/>
                <w:szCs w:val="20"/>
                <w:color w:val="auto"/>
              </w:rPr>
            </w:pPr>
            <w:r>
              <w:rPr>
                <w:rFonts w:ascii="Arial" w:cs="Arial" w:eastAsia="Arial" w:hAnsi="Arial"/>
                <w:sz w:val="16"/>
                <w:szCs w:val="16"/>
                <w:color w:val="auto"/>
              </w:rPr>
              <w:t>Q2</w:t>
            </w:r>
          </w:p>
        </w:tc>
        <w:tc>
          <w:tcPr>
            <w:tcW w:w="180" w:type="dxa"/>
            <w:vAlign w:val="bottom"/>
          </w:tcPr>
          <w:p>
            <w:pPr>
              <w:spacing w:after="0"/>
              <w:rPr>
                <w:sz w:val="24"/>
                <w:szCs w:val="24"/>
                <w:color w:val="auto"/>
              </w:rPr>
            </w:pPr>
          </w:p>
        </w:tc>
        <w:tc>
          <w:tcPr>
            <w:tcW w:w="740" w:type="dxa"/>
            <w:vAlign w:val="bottom"/>
            <w:gridSpan w:val="2"/>
          </w:tcPr>
          <w:p>
            <w:pPr>
              <w:ind w:left="140"/>
              <w:spacing w:after="0"/>
              <w:rPr>
                <w:sz w:val="20"/>
                <w:szCs w:val="20"/>
                <w:color w:val="auto"/>
              </w:rPr>
            </w:pPr>
            <w:r>
              <w:rPr>
                <w:rFonts w:ascii="Arial" w:cs="Arial" w:eastAsia="Arial" w:hAnsi="Arial"/>
                <w:sz w:val="16"/>
                <w:szCs w:val="16"/>
                <w:color w:val="auto"/>
              </w:rPr>
              <w:t>Q3</w:t>
            </w:r>
          </w:p>
        </w:tc>
        <w:tc>
          <w:tcPr>
            <w:tcW w:w="200" w:type="dxa"/>
            <w:vAlign w:val="bottom"/>
          </w:tcPr>
          <w:p>
            <w:pPr>
              <w:spacing w:after="0"/>
              <w:rPr>
                <w:sz w:val="24"/>
                <w:szCs w:val="24"/>
                <w:color w:val="auto"/>
              </w:rPr>
            </w:pPr>
          </w:p>
        </w:tc>
        <w:tc>
          <w:tcPr>
            <w:tcW w:w="700" w:type="dxa"/>
            <w:vAlign w:val="bottom"/>
            <w:gridSpan w:val="2"/>
          </w:tcPr>
          <w:p>
            <w:pPr>
              <w:ind w:left="100"/>
              <w:spacing w:after="0"/>
              <w:rPr>
                <w:sz w:val="20"/>
                <w:szCs w:val="20"/>
                <w:color w:val="auto"/>
              </w:rPr>
            </w:pPr>
            <w:r>
              <w:rPr>
                <w:rFonts w:ascii="Arial" w:cs="Arial" w:eastAsia="Arial" w:hAnsi="Arial"/>
                <w:sz w:val="16"/>
                <w:szCs w:val="16"/>
                <w:color w:val="auto"/>
              </w:rPr>
              <w:t>Q4</w:t>
            </w:r>
          </w:p>
        </w:tc>
        <w:tc>
          <w:tcPr>
            <w:tcW w:w="140" w:type="dxa"/>
            <w:vAlign w:val="bottom"/>
          </w:tcPr>
          <w:p>
            <w:pPr>
              <w:spacing w:after="0"/>
              <w:rPr>
                <w:sz w:val="24"/>
                <w:szCs w:val="24"/>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EBITDA from Discontinued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tcPr>
          <w:p>
            <w:pPr>
              <w:ind w:left="180"/>
              <w:spacing w:after="0"/>
              <w:rPr>
                <w:sz w:val="20"/>
                <w:szCs w:val="20"/>
                <w:color w:val="auto"/>
              </w:rPr>
            </w:pPr>
            <w:r>
              <w:rPr>
                <w:rFonts w:ascii="Arial" w:cs="Arial" w:eastAsia="Arial" w:hAnsi="Arial"/>
                <w:sz w:val="16"/>
                <w:szCs w:val="16"/>
                <w:color w:val="auto"/>
              </w:rPr>
              <w:t>Earnings (loss) from discontinued operations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1,403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2,680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(16,765)</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(13,719)</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60" w:type="dxa"/>
            <w:vAlign w:val="bottom"/>
          </w:tcPr>
          <w:p>
            <w:pPr>
              <w:ind w:left="380"/>
              <w:spacing w:after="0"/>
              <w:rPr>
                <w:sz w:val="20"/>
                <w:szCs w:val="20"/>
                <w:color w:val="auto"/>
              </w:rPr>
            </w:pPr>
            <w:r>
              <w:rPr>
                <w:rFonts w:ascii="Arial" w:cs="Arial" w:eastAsia="Arial" w:hAnsi="Arial"/>
                <w:sz w:val="16"/>
                <w:szCs w:val="16"/>
                <w:color w:val="auto"/>
              </w:rPr>
              <w:t>Income taxes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5,214</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8,798</w:t>
            </w:r>
          </w:p>
        </w:tc>
        <w:tc>
          <w:tcPr>
            <w:tcW w:w="0" w:type="dxa"/>
            <w:vAlign w:val="bottom"/>
          </w:tcPr>
          <w:p>
            <w:pPr>
              <w:spacing w:after="0"/>
              <w:rPr>
                <w:sz w:val="1"/>
                <w:szCs w:val="1"/>
                <w:color w:val="auto"/>
              </w:rPr>
            </w:pPr>
          </w:p>
        </w:tc>
      </w:tr>
      <w:tr>
        <w:trPr>
          <w:trHeight w:val="217"/>
        </w:trPr>
        <w:tc>
          <w:tcPr>
            <w:tcW w:w="4160" w:type="dxa"/>
            <w:vAlign w:val="bottom"/>
          </w:tcPr>
          <w:p>
            <w:pPr>
              <w:ind w:left="380"/>
              <w:spacing w:after="0"/>
              <w:rPr>
                <w:sz w:val="20"/>
                <w:szCs w:val="20"/>
                <w:color w:val="auto"/>
              </w:rPr>
            </w:pPr>
            <w:r>
              <w:rPr>
                <w:rFonts w:ascii="Arial" w:cs="Arial" w:eastAsia="Arial" w:hAnsi="Arial"/>
                <w:sz w:val="16"/>
                <w:szCs w:val="16"/>
                <w:color w:val="auto"/>
              </w:rPr>
              <w:t>Loss on write-down of assets held for sale</w:t>
            </w: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15,658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15,658</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charges</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4160" w:type="dxa"/>
            <w:vAlign w:val="bottom"/>
          </w:tcPr>
          <w:p>
            <w:pPr>
              <w:ind w:left="180"/>
              <w:spacing w:after="0"/>
              <w:rPr>
                <w:sz w:val="20"/>
                <w:szCs w:val="20"/>
                <w:color w:val="auto"/>
              </w:rPr>
            </w:pPr>
            <w:r>
              <w:rPr>
                <w:rFonts w:ascii="Arial" w:cs="Arial" w:eastAsia="Arial" w:hAnsi="Arial"/>
                <w:sz w:val="16"/>
                <w:szCs w:val="16"/>
                <w:color w:val="auto"/>
              </w:rPr>
              <w:t>EBITDA from Discontinued Operations (non-GAAP</w:t>
            </w:r>
          </w:p>
        </w:tc>
        <w:tc>
          <w:tcPr>
            <w:tcW w:w="20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4,798</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7,363</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3,349</w:t>
            </w:r>
          </w:p>
        </w:tc>
        <w:tc>
          <w:tcPr>
            <w:tcW w:w="100" w:type="dxa"/>
            <w:vAlign w:val="bottom"/>
          </w:tcPr>
          <w:p>
            <w:pPr>
              <w:spacing w:after="0"/>
              <w:rPr>
                <w:sz w:val="16"/>
                <w:szCs w:val="16"/>
                <w:color w:val="auto"/>
              </w:rPr>
            </w:pPr>
          </w:p>
        </w:tc>
        <w:tc>
          <w:tcPr>
            <w:tcW w:w="20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15,951</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measure)</w:t>
            </w:r>
          </w:p>
        </w:tc>
        <w:tc>
          <w:tcPr>
            <w:tcW w:w="2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ind w:left="60"/>
              <w:spacing w:after="0"/>
              <w:rPr>
                <w:sz w:val="20"/>
                <w:szCs w:val="20"/>
                <w:color w:val="auto"/>
              </w:rPr>
            </w:pPr>
            <w:r>
              <w:rPr>
                <w:rFonts w:ascii="Arial" w:cs="Arial" w:eastAsia="Arial" w:hAnsi="Arial"/>
                <w:sz w:val="16"/>
                <w:szCs w:val="16"/>
                <w:color w:val="auto"/>
              </w:rPr>
              <w:t>Fiscal 2012</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Arial" w:cs="Arial" w:eastAsia="Arial" w:hAnsi="Arial"/>
                <w:sz w:val="16"/>
                <w:szCs w:val="16"/>
                <w:color w:val="auto"/>
              </w:rPr>
              <w:t>Q1</w:t>
            </w:r>
          </w:p>
        </w:tc>
        <w:tc>
          <w:tcPr>
            <w:tcW w:w="140" w:type="dxa"/>
            <w:vAlign w:val="bottom"/>
          </w:tcPr>
          <w:p>
            <w:pPr>
              <w:spacing w:after="0"/>
              <w:rPr>
                <w:sz w:val="24"/>
                <w:szCs w:val="24"/>
                <w:color w:val="auto"/>
              </w:rPr>
            </w:pPr>
          </w:p>
        </w:tc>
        <w:tc>
          <w:tcPr>
            <w:tcW w:w="780" w:type="dxa"/>
            <w:vAlign w:val="bottom"/>
            <w:gridSpan w:val="2"/>
          </w:tcPr>
          <w:p>
            <w:pPr>
              <w:ind w:left="180"/>
              <w:spacing w:after="0"/>
              <w:rPr>
                <w:sz w:val="20"/>
                <w:szCs w:val="20"/>
                <w:color w:val="auto"/>
              </w:rPr>
            </w:pPr>
            <w:r>
              <w:rPr>
                <w:rFonts w:ascii="Arial" w:cs="Arial" w:eastAsia="Arial" w:hAnsi="Arial"/>
                <w:sz w:val="16"/>
                <w:szCs w:val="16"/>
                <w:color w:val="auto"/>
              </w:rPr>
              <w:t>Q2</w:t>
            </w:r>
          </w:p>
        </w:tc>
        <w:tc>
          <w:tcPr>
            <w:tcW w:w="180" w:type="dxa"/>
            <w:vAlign w:val="bottom"/>
          </w:tcPr>
          <w:p>
            <w:pPr>
              <w:spacing w:after="0"/>
              <w:rPr>
                <w:sz w:val="24"/>
                <w:szCs w:val="24"/>
                <w:color w:val="auto"/>
              </w:rPr>
            </w:pPr>
          </w:p>
        </w:tc>
        <w:tc>
          <w:tcPr>
            <w:tcW w:w="740" w:type="dxa"/>
            <w:vAlign w:val="bottom"/>
            <w:gridSpan w:val="2"/>
          </w:tcPr>
          <w:p>
            <w:pPr>
              <w:ind w:left="140"/>
              <w:spacing w:after="0"/>
              <w:rPr>
                <w:sz w:val="20"/>
                <w:szCs w:val="20"/>
                <w:color w:val="auto"/>
              </w:rPr>
            </w:pPr>
            <w:r>
              <w:rPr>
                <w:rFonts w:ascii="Arial" w:cs="Arial" w:eastAsia="Arial" w:hAnsi="Arial"/>
                <w:sz w:val="16"/>
                <w:szCs w:val="16"/>
                <w:color w:val="auto"/>
              </w:rPr>
              <w:t>Q3</w:t>
            </w:r>
          </w:p>
        </w:tc>
        <w:tc>
          <w:tcPr>
            <w:tcW w:w="200" w:type="dxa"/>
            <w:vAlign w:val="bottom"/>
          </w:tcPr>
          <w:p>
            <w:pPr>
              <w:spacing w:after="0"/>
              <w:rPr>
                <w:sz w:val="24"/>
                <w:szCs w:val="24"/>
                <w:color w:val="auto"/>
              </w:rPr>
            </w:pPr>
          </w:p>
        </w:tc>
        <w:tc>
          <w:tcPr>
            <w:tcW w:w="700" w:type="dxa"/>
            <w:vAlign w:val="bottom"/>
            <w:gridSpan w:val="2"/>
          </w:tcPr>
          <w:p>
            <w:pPr>
              <w:ind w:left="100"/>
              <w:spacing w:after="0"/>
              <w:rPr>
                <w:sz w:val="20"/>
                <w:szCs w:val="20"/>
                <w:color w:val="auto"/>
              </w:rPr>
            </w:pPr>
            <w:r>
              <w:rPr>
                <w:rFonts w:ascii="Arial" w:cs="Arial" w:eastAsia="Arial" w:hAnsi="Arial"/>
                <w:sz w:val="16"/>
                <w:szCs w:val="16"/>
                <w:color w:val="auto"/>
              </w:rPr>
              <w:t>Q4</w:t>
            </w:r>
          </w:p>
        </w:tc>
        <w:tc>
          <w:tcPr>
            <w:tcW w:w="140" w:type="dxa"/>
            <w:vAlign w:val="bottom"/>
          </w:tcPr>
          <w:p>
            <w:pPr>
              <w:spacing w:after="0"/>
              <w:rPr>
                <w:sz w:val="24"/>
                <w:szCs w:val="24"/>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EBITDA from Discontinued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tcPr>
          <w:p>
            <w:pPr>
              <w:ind w:left="180"/>
              <w:spacing w:after="0"/>
              <w:rPr>
                <w:sz w:val="20"/>
                <w:szCs w:val="20"/>
                <w:color w:val="auto"/>
              </w:rPr>
            </w:pPr>
            <w:r>
              <w:rPr>
                <w:rFonts w:ascii="Arial" w:cs="Arial" w:eastAsia="Arial" w:hAnsi="Arial"/>
                <w:sz w:val="16"/>
                <w:szCs w:val="16"/>
                <w:color w:val="auto"/>
              </w:rPr>
              <w:t>Earnings (loss) from discontinued operations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4,876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(116,390)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(120,382)</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60" w:type="dxa"/>
            <w:vAlign w:val="bottom"/>
          </w:tcPr>
          <w:p>
            <w:pPr>
              <w:ind w:left="380"/>
              <w:spacing w:after="0"/>
              <w:rPr>
                <w:sz w:val="20"/>
                <w:szCs w:val="20"/>
                <w:color w:val="auto"/>
              </w:rPr>
            </w:pPr>
            <w:r>
              <w:rPr>
                <w:rFonts w:ascii="Arial" w:cs="Arial" w:eastAsia="Arial" w:hAnsi="Arial"/>
                <w:sz w:val="16"/>
                <w:szCs w:val="16"/>
                <w:color w:val="auto"/>
              </w:rPr>
              <w:t>Income taxes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12,906</w:t>
            </w:r>
          </w:p>
        </w:tc>
        <w:tc>
          <w:tcPr>
            <w:tcW w:w="0" w:type="dxa"/>
            <w:vAlign w:val="bottom"/>
          </w:tcPr>
          <w:p>
            <w:pPr>
              <w:spacing w:after="0"/>
              <w:rPr>
                <w:sz w:val="1"/>
                <w:szCs w:val="1"/>
                <w:color w:val="auto"/>
              </w:rPr>
            </w:pPr>
          </w:p>
        </w:tc>
      </w:tr>
      <w:tr>
        <w:trPr>
          <w:trHeight w:val="217"/>
        </w:trPr>
        <w:tc>
          <w:tcPr>
            <w:tcW w:w="4160" w:type="dxa"/>
            <w:vAlign w:val="bottom"/>
          </w:tcPr>
          <w:p>
            <w:pPr>
              <w:ind w:left="380"/>
              <w:spacing w:after="0"/>
              <w:rPr>
                <w:sz w:val="20"/>
                <w:szCs w:val="20"/>
                <w:color w:val="auto"/>
              </w:rPr>
            </w:pPr>
            <w:r>
              <w:rPr>
                <w:rFonts w:ascii="Arial" w:cs="Arial" w:eastAsia="Arial" w:hAnsi="Arial"/>
                <w:sz w:val="16"/>
                <w:szCs w:val="16"/>
                <w:color w:val="auto"/>
              </w:rPr>
              <w:t>Impairment charges</w:t>
            </w: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115,688</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 from Discontinued Operations (non-GAAP</w:t>
            </w:r>
          </w:p>
        </w:tc>
        <w:tc>
          <w:tcPr>
            <w:tcW w:w="2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9,762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4,483</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(3,745)</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11,920</w:t>
            </w:r>
          </w:p>
        </w:tc>
        <w:tc>
          <w:tcPr>
            <w:tcW w:w="0" w:type="dxa"/>
            <w:vAlign w:val="bottom"/>
          </w:tcPr>
          <w:p>
            <w:pPr>
              <w:spacing w:after="0"/>
              <w:rPr>
                <w:sz w:val="1"/>
                <w:szCs w:val="1"/>
                <w:color w:val="auto"/>
              </w:rPr>
            </w:pPr>
          </w:p>
        </w:tc>
      </w:tr>
      <w:tr>
        <w:trPr>
          <w:trHeight w:val="211"/>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measure)</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79"/>
          </w:cols>
          <w:pgMar w:left="280" w:top="678" w:right="1440" w:bottom="1440" w:gutter="0" w:footer="0" w:header="0"/>
        </w:sectPr>
      </w:pPr>
    </w:p>
    <w:bookmarkStart w:id="13" w:name="page14"/>
    <w:bookmarkEnd w:id="13"/>
    <w:p>
      <w:pPr>
        <w:ind w:left="20"/>
        <w:spacing w:after="0"/>
        <w:rPr>
          <w:sz w:val="20"/>
          <w:szCs w:val="20"/>
          <w:color w:val="auto"/>
        </w:rPr>
      </w:pPr>
      <w:r>
        <w:rPr>
          <w:rFonts w:ascii="Arial" w:cs="Arial" w:eastAsia="Arial" w:hAnsi="Arial"/>
          <w:sz w:val="16"/>
          <w:szCs w:val="16"/>
          <w:b w:val="1"/>
          <w:bCs w:val="1"/>
          <w:color w:val="auto"/>
        </w:rPr>
        <w:t>EBITDA:</w:t>
      </w:r>
    </w:p>
    <w:p>
      <w:pPr>
        <w:spacing w:after="0" w:line="61" w:lineRule="exact"/>
        <w:rPr>
          <w:sz w:val="20"/>
          <w:szCs w:val="20"/>
          <w:color w:val="auto"/>
        </w:rPr>
      </w:pPr>
    </w:p>
    <w:p>
      <w:pPr>
        <w:jc w:val="both"/>
        <w:ind w:left="20" w:right="1619"/>
        <w:spacing w:after="0" w:line="298" w:lineRule="auto"/>
        <w:rPr>
          <w:sz w:val="20"/>
          <w:szCs w:val="20"/>
          <w:color w:val="auto"/>
        </w:rPr>
      </w:pPr>
      <w:r>
        <w:rPr>
          <w:rFonts w:ascii="Arial" w:cs="Arial" w:eastAsia="Arial" w:hAnsi="Arial"/>
          <w:sz w:val="14"/>
          <w:szCs w:val="14"/>
          <w:color w:val="auto"/>
        </w:rPr>
        <w:t>Brady is presenting EBITDA because it is used by many of our investors and lenders, and is presented as a convenience to them. EBITDA represents net earnings before interest expense, income taxes, depreciation, amortization and impairment charges. EBITDA is not a calculation based on generally accepted accounting principles ("GAAP"). The amounts included in the EBITDA calculation, however, are derived from amounts included in the Consolidated Statements of Earnings data. EBITDA should not be considered as an alternative to net earnings or operating income as an indicator of the Company's operating performance, or as an alternative to net cash provided by operating activities as a measure of liquidity. The EBITDA measure presented may not always be comparable to similarly titled measures reported by other companies due to differences in the components of the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130175</wp:posOffset>
            </wp:positionV>
            <wp:extent cx="27882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88285" cy="762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ind w:left="40"/>
              <w:spacing w:after="0"/>
              <w:rPr>
                <w:sz w:val="20"/>
                <w:szCs w:val="20"/>
                <w:color w:val="auto"/>
              </w:rPr>
            </w:pPr>
            <w:r>
              <w:rPr>
                <w:rFonts w:ascii="Arial" w:cs="Arial" w:eastAsia="Arial" w:hAnsi="Arial"/>
                <w:sz w:val="16"/>
                <w:szCs w:val="16"/>
                <w:color w:val="auto"/>
                <w:w w:val="97"/>
              </w:rPr>
              <w:t>Fiscal 2013</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4"/>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426"/>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6"/>
                <w:szCs w:val="16"/>
                <w:color w:val="auto"/>
              </w:rPr>
              <w:t>Q1</w:t>
            </w:r>
          </w:p>
        </w:tc>
        <w:tc>
          <w:tcPr>
            <w:tcW w:w="16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6"/>
                <w:szCs w:val="16"/>
                <w:color w:val="auto"/>
              </w:rPr>
              <w:t>Q2</w:t>
            </w:r>
          </w:p>
        </w:tc>
        <w:tc>
          <w:tcPr>
            <w:tcW w:w="18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6"/>
                <w:szCs w:val="16"/>
                <w:color w:val="auto"/>
              </w:rPr>
              <w:t>Q3</w:t>
            </w:r>
          </w:p>
        </w:tc>
        <w:tc>
          <w:tcPr>
            <w:tcW w:w="140" w:type="dxa"/>
            <w:vAlign w:val="bottom"/>
          </w:tcPr>
          <w:p>
            <w:pPr>
              <w:spacing w:after="0"/>
              <w:rPr>
                <w:sz w:val="24"/>
                <w:szCs w:val="24"/>
                <w:color w:val="auto"/>
              </w:rPr>
            </w:pPr>
          </w:p>
        </w:tc>
        <w:tc>
          <w:tcPr>
            <w:tcW w:w="780" w:type="dxa"/>
            <w:vAlign w:val="bottom"/>
            <w:gridSpan w:val="2"/>
          </w:tcPr>
          <w:p>
            <w:pPr>
              <w:ind w:left="180"/>
              <w:spacing w:after="0"/>
              <w:rPr>
                <w:sz w:val="20"/>
                <w:szCs w:val="20"/>
                <w:color w:val="auto"/>
              </w:rPr>
            </w:pPr>
            <w:r>
              <w:rPr>
                <w:rFonts w:ascii="Arial" w:cs="Arial" w:eastAsia="Arial" w:hAnsi="Arial"/>
                <w:sz w:val="16"/>
                <w:szCs w:val="16"/>
                <w:color w:val="auto"/>
              </w:rPr>
              <w:t>Q4</w:t>
            </w:r>
          </w:p>
        </w:tc>
        <w:tc>
          <w:tcPr>
            <w:tcW w:w="140" w:type="dxa"/>
            <w:vAlign w:val="bottom"/>
          </w:tcPr>
          <w:p>
            <w:pPr>
              <w:spacing w:after="0"/>
              <w:rPr>
                <w:sz w:val="24"/>
                <w:szCs w:val="24"/>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Total</w:t>
            </w:r>
          </w:p>
        </w:tc>
      </w:tr>
      <w:tr>
        <w:trPr>
          <w:trHeight w:val="24"/>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217"/>
        </w:trPr>
        <w:tc>
          <w:tcPr>
            <w:tcW w:w="4200" w:type="dxa"/>
            <w:vAlign w:val="bottom"/>
          </w:tcPr>
          <w:p>
            <w:pPr>
              <w:ind w:left="180"/>
              <w:spacing w:after="0"/>
              <w:rPr>
                <w:sz w:val="20"/>
                <w:szCs w:val="20"/>
                <w:color w:val="auto"/>
              </w:rPr>
            </w:pPr>
            <w:r>
              <w:rPr>
                <w:rFonts w:ascii="Arial" w:cs="Arial" w:eastAsia="Arial" w:hAnsi="Arial"/>
                <w:sz w:val="16"/>
                <w:szCs w:val="16"/>
                <w:color w:val="auto"/>
              </w:rPr>
              <w:t>Net earnings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(8,685)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4,233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(177,271)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(154,535)</w:t>
            </w:r>
          </w:p>
        </w:tc>
      </w:tr>
      <w:tr>
        <w:trPr>
          <w:trHeight w:val="24"/>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r>
      <w:tr>
        <w:trPr>
          <w:trHeight w:val="217"/>
        </w:trPr>
        <w:tc>
          <w:tcPr>
            <w:tcW w:w="4200" w:type="dxa"/>
            <w:vAlign w:val="bottom"/>
          </w:tcPr>
          <w:p>
            <w:pPr>
              <w:ind w:left="38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13,481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30,625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47,284</w:t>
            </w:r>
          </w:p>
        </w:tc>
      </w:tr>
      <w:tr>
        <w:trPr>
          <w:trHeight w:val="24"/>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48,725</w:t>
            </w:r>
          </w:p>
        </w:tc>
      </w:tr>
      <w:tr>
        <w:trPr>
          <w:trHeight w:val="217"/>
        </w:trPr>
        <w:tc>
          <w:tcPr>
            <w:tcW w:w="4200" w:type="dxa"/>
            <w:vAlign w:val="bottom"/>
          </w:tcPr>
          <w:p>
            <w:pPr>
              <w:ind w:left="380"/>
              <w:spacing w:after="0"/>
              <w:rPr>
                <w:sz w:val="20"/>
                <w:szCs w:val="20"/>
                <w:color w:val="auto"/>
              </w:rPr>
            </w:pPr>
            <w:r>
              <w:rPr>
                <w:rFonts w:ascii="Arial" w:cs="Arial" w:eastAsia="Arial" w:hAnsi="Arial"/>
                <w:sz w:val="16"/>
                <w:szCs w:val="16"/>
                <w:color w:val="auto"/>
              </w:rPr>
              <w:t>Intangible asset write-down in restructuring charges</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3,207</w:t>
            </w:r>
          </w:p>
        </w:tc>
      </w:tr>
      <w:tr>
        <w:trPr>
          <w:trHeight w:val="24"/>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write-down of assets held for sale</w:t>
            </w: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15,658</w:t>
            </w:r>
          </w:p>
        </w:tc>
      </w:tr>
      <w:tr>
        <w:trPr>
          <w:trHeight w:val="217"/>
        </w:trPr>
        <w:tc>
          <w:tcPr>
            <w:tcW w:w="4200" w:type="dxa"/>
            <w:vAlign w:val="bottom"/>
          </w:tcPr>
          <w:p>
            <w:pPr>
              <w:ind w:left="380"/>
              <w:spacing w:after="0"/>
              <w:rPr>
                <w:sz w:val="20"/>
                <w:szCs w:val="20"/>
                <w:color w:val="auto"/>
              </w:rPr>
            </w:pPr>
            <w:r>
              <w:rPr>
                <w:rFonts w:ascii="Arial" w:cs="Arial" w:eastAsia="Arial" w:hAnsi="Arial"/>
                <w:sz w:val="16"/>
                <w:szCs w:val="16"/>
                <w:color w:val="auto"/>
              </w:rPr>
              <w:t>Impairment charges</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204,448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204,448</w:t>
            </w:r>
          </w:p>
        </w:tc>
      </w:tr>
      <w:tr>
        <w:trPr>
          <w:trHeight w:val="24"/>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7"/>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EBITDA (non-GAAP measure)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55,507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181,428</w:t>
            </w:r>
          </w:p>
        </w:tc>
      </w:tr>
      <w:tr>
        <w:trPr>
          <w:trHeight w:val="20"/>
        </w:trPr>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7"/>
        </w:trPr>
        <w:tc>
          <w:tcPr>
            <w:tcW w:w="42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r>
      <w:tr>
        <w:trPr>
          <w:trHeight w:val="209"/>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40"/>
              <w:spacing w:after="0"/>
              <w:rPr>
                <w:sz w:val="20"/>
                <w:szCs w:val="20"/>
                <w:color w:val="auto"/>
              </w:rPr>
            </w:pPr>
            <w:r>
              <w:rPr>
                <w:rFonts w:ascii="Arial" w:cs="Arial" w:eastAsia="Arial" w:hAnsi="Arial"/>
                <w:sz w:val="16"/>
                <w:szCs w:val="16"/>
                <w:color w:val="auto"/>
                <w:w w:val="97"/>
              </w:rPr>
              <w:t>Fiscal 2012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426"/>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6"/>
                <w:szCs w:val="16"/>
                <w:color w:val="auto"/>
              </w:rPr>
              <w:t>Q1</w:t>
            </w:r>
          </w:p>
        </w:tc>
        <w:tc>
          <w:tcPr>
            <w:tcW w:w="16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6"/>
                <w:szCs w:val="16"/>
                <w:color w:val="auto"/>
              </w:rPr>
              <w:t>Q2</w:t>
            </w:r>
          </w:p>
        </w:tc>
        <w:tc>
          <w:tcPr>
            <w:tcW w:w="18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6"/>
                <w:szCs w:val="16"/>
                <w:color w:val="auto"/>
              </w:rPr>
              <w:t>Q3</w:t>
            </w:r>
          </w:p>
        </w:tc>
        <w:tc>
          <w:tcPr>
            <w:tcW w:w="140" w:type="dxa"/>
            <w:vAlign w:val="bottom"/>
          </w:tcPr>
          <w:p>
            <w:pPr>
              <w:spacing w:after="0"/>
              <w:rPr>
                <w:sz w:val="24"/>
                <w:szCs w:val="24"/>
                <w:color w:val="auto"/>
              </w:rPr>
            </w:pPr>
          </w:p>
        </w:tc>
        <w:tc>
          <w:tcPr>
            <w:tcW w:w="780" w:type="dxa"/>
            <w:vAlign w:val="bottom"/>
            <w:gridSpan w:val="2"/>
          </w:tcPr>
          <w:p>
            <w:pPr>
              <w:ind w:left="180"/>
              <w:spacing w:after="0"/>
              <w:rPr>
                <w:sz w:val="20"/>
                <w:szCs w:val="20"/>
                <w:color w:val="auto"/>
              </w:rPr>
            </w:pPr>
            <w:r>
              <w:rPr>
                <w:rFonts w:ascii="Arial" w:cs="Arial" w:eastAsia="Arial" w:hAnsi="Arial"/>
                <w:sz w:val="16"/>
                <w:szCs w:val="16"/>
                <w:color w:val="auto"/>
              </w:rPr>
              <w:t>Q4</w:t>
            </w:r>
          </w:p>
        </w:tc>
        <w:tc>
          <w:tcPr>
            <w:tcW w:w="140" w:type="dxa"/>
            <w:vAlign w:val="bottom"/>
          </w:tcPr>
          <w:p>
            <w:pPr>
              <w:spacing w:after="0"/>
              <w:rPr>
                <w:sz w:val="24"/>
                <w:szCs w:val="24"/>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Total</w:t>
            </w:r>
          </w:p>
        </w:tc>
      </w:tr>
      <w:tr>
        <w:trPr>
          <w:trHeight w:val="24"/>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217"/>
        </w:trPr>
        <w:tc>
          <w:tcPr>
            <w:tcW w:w="4200" w:type="dxa"/>
            <w:vAlign w:val="bottom"/>
          </w:tcPr>
          <w:p>
            <w:pPr>
              <w:ind w:left="180"/>
              <w:spacing w:after="0"/>
              <w:rPr>
                <w:sz w:val="20"/>
                <w:szCs w:val="20"/>
                <w:color w:val="auto"/>
              </w:rPr>
            </w:pPr>
            <w:r>
              <w:rPr>
                <w:rFonts w:ascii="Arial" w:cs="Arial" w:eastAsia="Arial" w:hAnsi="Arial"/>
                <w:sz w:val="16"/>
                <w:szCs w:val="16"/>
                <w:color w:val="auto"/>
              </w:rPr>
              <w:t>Net earnings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32,732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(89,954)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27,652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11,659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(17,911)</w:t>
            </w:r>
          </w:p>
        </w:tc>
      </w:tr>
      <w:tr>
        <w:trPr>
          <w:trHeight w:val="24"/>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r>
      <w:tr>
        <w:trPr>
          <w:trHeight w:val="217"/>
        </w:trPr>
        <w:tc>
          <w:tcPr>
            <w:tcW w:w="4200" w:type="dxa"/>
            <w:vAlign w:val="bottom"/>
          </w:tcPr>
          <w:p>
            <w:pPr>
              <w:ind w:left="38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40,661</w:t>
            </w:r>
          </w:p>
        </w:tc>
      </w:tr>
      <w:tr>
        <w:trPr>
          <w:trHeight w:val="24"/>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43,987</w:t>
            </w:r>
          </w:p>
        </w:tc>
      </w:tr>
      <w:tr>
        <w:trPr>
          <w:trHeight w:val="217"/>
        </w:trPr>
        <w:tc>
          <w:tcPr>
            <w:tcW w:w="4200" w:type="dxa"/>
            <w:vAlign w:val="bottom"/>
          </w:tcPr>
          <w:p>
            <w:pPr>
              <w:ind w:left="380"/>
              <w:spacing w:after="0"/>
              <w:rPr>
                <w:sz w:val="20"/>
                <w:szCs w:val="20"/>
                <w:color w:val="auto"/>
              </w:rPr>
            </w:pPr>
            <w:r>
              <w:rPr>
                <w:rFonts w:ascii="Arial" w:cs="Arial" w:eastAsia="Arial" w:hAnsi="Arial"/>
                <w:sz w:val="16"/>
                <w:szCs w:val="16"/>
                <w:color w:val="auto"/>
              </w:rPr>
              <w:t>Impairment charge</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6"/>
              </w:rPr>
              <w:t>115,688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115,688</w:t>
            </w:r>
          </w:p>
        </w:tc>
      </w:tr>
      <w:tr>
        <w:trPr>
          <w:trHeight w:val="24"/>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7"/>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EBITDA (non-GAAP measure)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201,515</w:t>
            </w: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179"/>
          </w:cols>
          <w:pgMar w:left="280" w:top="678" w:right="1440"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t>(Loss) Earnings from Continuing Operations Before Income Taxes Excluding Certain Items:</w:t>
      </w:r>
    </w:p>
    <w:p>
      <w:pPr>
        <w:spacing w:after="0" w:line="61" w:lineRule="exact"/>
        <w:rPr>
          <w:sz w:val="20"/>
          <w:szCs w:val="20"/>
          <w:color w:val="auto"/>
        </w:rPr>
      </w:pPr>
    </w:p>
    <w:p>
      <w:pPr>
        <w:jc w:val="both"/>
        <w:ind w:left="20" w:right="1619"/>
        <w:spacing w:after="0" w:line="277" w:lineRule="auto"/>
        <w:rPr>
          <w:sz w:val="20"/>
          <w:szCs w:val="20"/>
          <w:color w:val="auto"/>
        </w:rPr>
      </w:pPr>
      <w:r>
        <w:rPr>
          <w:rFonts w:ascii="Arial" w:cs="Arial" w:eastAsia="Arial" w:hAnsi="Arial"/>
          <w:sz w:val="15"/>
          <w:szCs w:val="15"/>
          <w:color w:val="auto"/>
        </w:rPr>
        <w:t>Brady is presenting the Non-GAAP measure "(Loss) Earnings from Continuing Operations Before Income Taxes Excluding Certain Items." This is not a calculation based upon GAAP. The amounts included in this Non-GAAP measure are derived from amounts included in the Consolidated Statements of Earnings data. We do not view these items to be part of our sustainable results. We believe this profit measure provides an important perspective of underlying business trends and results and provides a more comparable measure from year to year. The table below provides a reconciliation of (Loss) Earnings from Continuing Operations Before Income Taxes to (Loss) Earnings from Continuing Operations Before Income Taxes Excluding Certain Items: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1820" w:type="dxa"/>
            <w:vAlign w:val="bottom"/>
            <w:gridSpan w:val="6"/>
          </w:tcPr>
          <w:p>
            <w:pPr>
              <w:ind w:left="40"/>
              <w:spacing w:after="0"/>
              <w:rPr>
                <w:sz w:val="20"/>
                <w:szCs w:val="20"/>
                <w:color w:val="auto"/>
              </w:rPr>
            </w:pPr>
            <w:r>
              <w:rPr>
                <w:rFonts w:ascii="Arial" w:cs="Arial" w:eastAsia="Arial" w:hAnsi="Arial"/>
                <w:sz w:val="16"/>
                <w:szCs w:val="16"/>
                <w:color w:val="auto"/>
                <w:w w:val="96"/>
              </w:rPr>
              <w:t>Three Months Ended July</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6"/>
                <w:szCs w:val="16"/>
                <w:color w:val="auto"/>
                <w:w w:val="94"/>
              </w:rPr>
              <w:t>Year Ended July 31,</w:t>
            </w: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60"/>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4"/>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w w:val="98"/>
              </w:rPr>
              <w:t>(Loss) Earnings from Continuing Operations Before Income Taxes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measure)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(182,129)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30,054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(98,746)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139,424</w:t>
            </w:r>
          </w:p>
        </w:tc>
        <w:tc>
          <w:tcPr>
            <w:tcW w:w="0" w:type="dxa"/>
            <w:vAlign w:val="bottom"/>
          </w:tcPr>
          <w:p>
            <w:pPr>
              <w:spacing w:after="0"/>
              <w:rPr>
                <w:sz w:val="1"/>
                <w:szCs w:val="1"/>
                <w:color w:val="auto"/>
              </w:rPr>
            </w:pPr>
          </w:p>
        </w:tc>
      </w:tr>
      <w:tr>
        <w:trPr>
          <w:trHeight w:val="217"/>
        </w:trPr>
        <w:tc>
          <w:tcPr>
            <w:tcW w:w="502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accounting expense related to inventory</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PDC acquisition-related expenses</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20" w:type="dxa"/>
            <w:vAlign w:val="bottom"/>
          </w:tcPr>
          <w:p>
            <w:pPr>
              <w:ind w:left="380"/>
              <w:spacing w:after="0"/>
              <w:rPr>
                <w:sz w:val="20"/>
                <w:szCs w:val="20"/>
                <w:color w:val="auto"/>
              </w:rPr>
            </w:pPr>
            <w:r>
              <w:rPr>
                <w:rFonts w:ascii="Arial" w:cs="Arial" w:eastAsia="Arial" w:hAnsi="Arial"/>
                <w:sz w:val="16"/>
                <w:szCs w:val="16"/>
                <w:color w:val="auto"/>
              </w:rPr>
              <w:t>Reversal of restricted stock grant expense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6,084</w:t>
            </w:r>
          </w:p>
        </w:tc>
        <w:tc>
          <w:tcPr>
            <w:tcW w:w="0" w:type="dxa"/>
            <w:vAlign w:val="bottom"/>
          </w:tcPr>
          <w:p>
            <w:pPr>
              <w:spacing w:after="0"/>
              <w:rPr>
                <w:sz w:val="1"/>
                <w:szCs w:val="1"/>
                <w:color w:val="auto"/>
              </w:rPr>
            </w:pPr>
          </w:p>
        </w:tc>
      </w:tr>
      <w:tr>
        <w:trPr>
          <w:trHeight w:val="217"/>
        </w:trPr>
        <w:tc>
          <w:tcPr>
            <w:tcW w:w="5020" w:type="dxa"/>
            <w:vAlign w:val="bottom"/>
          </w:tcPr>
          <w:p>
            <w:pPr>
              <w:ind w:left="180"/>
              <w:spacing w:after="0"/>
              <w:rPr>
                <w:sz w:val="20"/>
                <w:szCs w:val="20"/>
                <w:color w:val="auto"/>
              </w:rPr>
            </w:pPr>
            <w:r>
              <w:rPr>
                <w:rFonts w:ascii="Arial" w:cs="Arial" w:eastAsia="Arial" w:hAnsi="Arial"/>
                <w:sz w:val="16"/>
                <w:szCs w:val="16"/>
                <w:color w:val="auto"/>
              </w:rPr>
              <w:t>Impairment charges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204,448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6"/>
              </w:rPr>
              <w:t>204,448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income tax charges related to PDC funding and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certain valuation allowances</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8"/>
              </w:rPr>
              <w:t>(Loss) Earnings from Continuing Operations Before Income Taxes</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33,660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34,161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132,646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145,508</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Excluding Certain Items (non-GAAP measure)</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Taxes on Continuing Operations Excluding Certain Items:</w:t>
      </w:r>
    </w:p>
    <w:p>
      <w:pPr>
        <w:spacing w:after="0" w:line="61" w:lineRule="exact"/>
        <w:rPr>
          <w:sz w:val="20"/>
          <w:szCs w:val="20"/>
          <w:color w:val="auto"/>
        </w:rPr>
      </w:pPr>
    </w:p>
    <w:p>
      <w:pPr>
        <w:jc w:val="both"/>
        <w:ind w:left="20" w:right="1619"/>
        <w:spacing w:after="0" w:line="257" w:lineRule="auto"/>
        <w:rPr>
          <w:sz w:val="20"/>
          <w:szCs w:val="20"/>
          <w:color w:val="auto"/>
        </w:rPr>
      </w:pPr>
      <w:r>
        <w:rPr>
          <w:rFonts w:ascii="Arial" w:cs="Arial" w:eastAsia="Arial" w:hAnsi="Arial"/>
          <w:sz w:val="16"/>
          <w:szCs w:val="16"/>
          <w:color w:val="auto"/>
        </w:rPr>
        <w:t>Brady is presenting the Non-GAAP measure "Income Taxes on Continuing Operations Excluding Certain Items." This is not a calculation based upon GAAP. The amounts included in this Non-GAAP measure are derived from amounts included in the Consolidated Statements of Earnings data.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1820" w:type="dxa"/>
            <w:vAlign w:val="bottom"/>
            <w:gridSpan w:val="6"/>
          </w:tcPr>
          <w:p>
            <w:pPr>
              <w:ind w:left="40"/>
              <w:spacing w:after="0"/>
              <w:rPr>
                <w:sz w:val="20"/>
                <w:szCs w:val="20"/>
                <w:color w:val="auto"/>
              </w:rPr>
            </w:pPr>
            <w:r>
              <w:rPr>
                <w:rFonts w:ascii="Arial" w:cs="Arial" w:eastAsia="Arial" w:hAnsi="Arial"/>
                <w:sz w:val="16"/>
                <w:szCs w:val="16"/>
                <w:color w:val="auto"/>
                <w:w w:val="96"/>
              </w:rPr>
              <w:t>Three Months Ended July</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4"/>
          </w:tcPr>
          <w:p>
            <w:pPr>
              <w:jc w:val="right"/>
              <w:ind w:right="120"/>
              <w:spacing w:after="0"/>
              <w:rPr>
                <w:sz w:val="20"/>
                <w:szCs w:val="20"/>
                <w:color w:val="auto"/>
              </w:rPr>
            </w:pPr>
            <w:r>
              <w:rPr>
                <w:rFonts w:ascii="Arial" w:cs="Arial" w:eastAsia="Arial" w:hAnsi="Arial"/>
                <w:sz w:val="16"/>
                <w:szCs w:val="16"/>
                <w:color w:val="auto"/>
                <w:w w:val="92"/>
              </w:rPr>
              <w:t>Year Ended July 31,</w:t>
            </w: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60"/>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4"/>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Taxes on Continuing Operations (GAAP measure)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36,953</w:t>
            </w:r>
          </w:p>
        </w:tc>
        <w:tc>
          <w:tcPr>
            <w:tcW w:w="0" w:type="dxa"/>
            <w:vAlign w:val="bottom"/>
          </w:tcPr>
          <w:p>
            <w:pPr>
              <w:spacing w:after="0"/>
              <w:rPr>
                <w:sz w:val="1"/>
                <w:szCs w:val="1"/>
                <w:color w:val="auto"/>
              </w:rPr>
            </w:pPr>
          </w:p>
        </w:tc>
      </w:tr>
      <w:tr>
        <w:trPr>
          <w:trHeight w:val="217"/>
        </w:trPr>
        <w:tc>
          <w:tcPr>
            <w:tcW w:w="502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accounting expense related to inventory</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PDC acquisition-related expenses</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20" w:type="dxa"/>
            <w:vAlign w:val="bottom"/>
          </w:tcPr>
          <w:p>
            <w:pPr>
              <w:ind w:left="380"/>
              <w:spacing w:after="0"/>
              <w:rPr>
                <w:sz w:val="20"/>
                <w:szCs w:val="20"/>
                <w:color w:val="auto"/>
              </w:rPr>
            </w:pPr>
            <w:r>
              <w:rPr>
                <w:rFonts w:ascii="Arial" w:cs="Arial" w:eastAsia="Arial" w:hAnsi="Arial"/>
                <w:sz w:val="16"/>
                <w:szCs w:val="16"/>
                <w:color w:val="auto"/>
              </w:rPr>
              <w:t>Reversal of restricted stock grant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17"/>
        </w:trPr>
        <w:tc>
          <w:tcPr>
            <w:tcW w:w="5020" w:type="dxa"/>
            <w:vAlign w:val="bottom"/>
          </w:tcPr>
          <w:p>
            <w:pPr>
              <w:ind w:left="180"/>
              <w:spacing w:after="0"/>
              <w:rPr>
                <w:sz w:val="20"/>
                <w:szCs w:val="20"/>
                <w:color w:val="auto"/>
              </w:rPr>
            </w:pPr>
            <w:r>
              <w:rPr>
                <w:rFonts w:ascii="Arial" w:cs="Arial" w:eastAsia="Arial" w:hAnsi="Arial"/>
                <w:sz w:val="16"/>
                <w:szCs w:val="16"/>
                <w:color w:val="auto"/>
              </w:rPr>
              <w:t>Impairment charges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income tax charges related to PDC funding and</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certain valuation allowances</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(5,616)</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Taxes on Continuing Operations Excluding Certain Items</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5,750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4,883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32,757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33,351</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(non-GAAP measure)</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79"/>
          </w:cols>
          <w:pgMar w:left="280" w:top="678" w:right="1440" w:bottom="1440" w:gutter="0" w:footer="0" w:header="0"/>
        </w:sectPr>
      </w:pPr>
    </w:p>
    <w:bookmarkStart w:id="15" w:name="page16"/>
    <w:bookmarkEnd w:id="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20"/>
        <w:spacing w:after="0"/>
        <w:rPr>
          <w:sz w:val="20"/>
          <w:szCs w:val="20"/>
          <w:color w:val="auto"/>
        </w:rPr>
      </w:pPr>
      <w:r>
        <w:rPr>
          <w:rFonts w:ascii="Arial" w:cs="Arial" w:eastAsia="Arial" w:hAnsi="Arial"/>
          <w:sz w:val="16"/>
          <w:szCs w:val="16"/>
          <w:b w:val="1"/>
          <w:bCs w:val="1"/>
          <w:color w:val="auto"/>
        </w:rPr>
        <w:t>Net (Loss) Earnings from Continuing Operations Excluding Certain Items:</w:t>
      </w:r>
    </w:p>
    <w:p>
      <w:pPr>
        <w:spacing w:after="0" w:line="61" w:lineRule="exact"/>
        <w:rPr>
          <w:sz w:val="20"/>
          <w:szCs w:val="20"/>
          <w:color w:val="auto"/>
        </w:rPr>
      </w:pPr>
    </w:p>
    <w:p>
      <w:pPr>
        <w:jc w:val="both"/>
        <w:ind w:left="20" w:right="1619"/>
        <w:spacing w:after="0" w:line="257" w:lineRule="auto"/>
        <w:rPr>
          <w:sz w:val="20"/>
          <w:szCs w:val="20"/>
          <w:color w:val="auto"/>
        </w:rPr>
      </w:pPr>
      <w:r>
        <w:rPr>
          <w:rFonts w:ascii="Arial" w:cs="Arial" w:eastAsia="Arial" w:hAnsi="Arial"/>
          <w:sz w:val="16"/>
          <w:szCs w:val="16"/>
          <w:color w:val="auto"/>
        </w:rPr>
        <w:t>Brady is presenting the Non-GAAP measure "Net (Loss) Earnings from Continuing Operations Excluding Certain Items." This is not a calculation based upon GAAP. The amounts included in this Non-GAAP measure are derived from amounts included in the Consolidated Statements of Earnings data. We do not view these items to be part of our sustainable results. We believe this measure provides an important perspective of underlying business trends and results and provides a more comparable measure from year to year. The table below provides a reconciliation of Net (Loss) Earnings from Continuing Operations to Net (Loss) Earnings from Continuing Operations Excluding Certain Items: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80" w:type="dxa"/>
            <w:vAlign w:val="bottom"/>
          </w:tcPr>
          <w:p>
            <w:pPr>
              <w:spacing w:after="0"/>
              <w:rPr>
                <w:sz w:val="16"/>
                <w:szCs w:val="16"/>
                <w:color w:val="auto"/>
              </w:rPr>
            </w:pPr>
          </w:p>
        </w:tc>
        <w:tc>
          <w:tcPr>
            <w:tcW w:w="1800" w:type="dxa"/>
            <w:vAlign w:val="bottom"/>
            <w:gridSpan w:val="6"/>
          </w:tcPr>
          <w:p>
            <w:pPr>
              <w:ind w:left="40"/>
              <w:spacing w:after="0"/>
              <w:rPr>
                <w:sz w:val="20"/>
                <w:szCs w:val="20"/>
                <w:color w:val="auto"/>
              </w:rPr>
            </w:pPr>
            <w:r>
              <w:rPr>
                <w:rFonts w:ascii="Arial" w:cs="Arial" w:eastAsia="Arial" w:hAnsi="Arial"/>
                <w:sz w:val="16"/>
                <w:szCs w:val="16"/>
                <w:color w:val="auto"/>
                <w:w w:val="95"/>
              </w:rPr>
              <w:t>Three Months Ended July</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4"/>
          </w:tcPr>
          <w:p>
            <w:pPr>
              <w:jc w:val="right"/>
              <w:ind w:right="100"/>
              <w:spacing w:after="0"/>
              <w:rPr>
                <w:sz w:val="20"/>
                <w:szCs w:val="20"/>
                <w:color w:val="auto"/>
              </w:rPr>
            </w:pPr>
            <w:r>
              <w:rPr>
                <w:rFonts w:ascii="Arial" w:cs="Arial" w:eastAsia="Arial" w:hAnsi="Arial"/>
                <w:sz w:val="16"/>
                <w:szCs w:val="16"/>
                <w:color w:val="auto"/>
                <w:w w:val="94"/>
              </w:rPr>
              <w:t>Year Ended July 31,</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40"/>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60"/>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4"/>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Earnings from Continuing Operations (GAAP measure)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(176,234)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20,869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(140,816)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102,471</w:t>
            </w:r>
          </w:p>
        </w:tc>
        <w:tc>
          <w:tcPr>
            <w:tcW w:w="0" w:type="dxa"/>
            <w:vAlign w:val="bottom"/>
          </w:tcPr>
          <w:p>
            <w:pPr>
              <w:spacing w:after="0"/>
              <w:rPr>
                <w:sz w:val="1"/>
                <w:szCs w:val="1"/>
                <w:color w:val="auto"/>
              </w:rPr>
            </w:pPr>
          </w:p>
        </w:tc>
      </w:tr>
      <w:tr>
        <w:trPr>
          <w:trHeight w:val="217"/>
        </w:trPr>
        <w:tc>
          <w:tcPr>
            <w:tcW w:w="508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Purchase accounting expense related to inventory</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PDC acquisition-related expenses</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80" w:type="dxa"/>
            <w:vAlign w:val="bottom"/>
          </w:tcPr>
          <w:p>
            <w:pPr>
              <w:ind w:left="400"/>
              <w:spacing w:after="0"/>
              <w:rPr>
                <w:sz w:val="20"/>
                <w:szCs w:val="20"/>
                <w:color w:val="auto"/>
              </w:rPr>
            </w:pPr>
            <w:r>
              <w:rPr>
                <w:rFonts w:ascii="Arial" w:cs="Arial" w:eastAsia="Arial" w:hAnsi="Arial"/>
                <w:sz w:val="16"/>
                <w:szCs w:val="16"/>
                <w:color w:val="auto"/>
              </w:rPr>
              <w:t>Reversal of restricted stock grant expense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18,889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0" w:type="dxa"/>
            <w:vAlign w:val="bottom"/>
          </w:tcPr>
          <w:p>
            <w:pPr>
              <w:spacing w:after="0"/>
              <w:rPr>
                <w:sz w:val="1"/>
                <w:szCs w:val="1"/>
                <w:color w:val="auto"/>
              </w:rPr>
            </w:pPr>
          </w:p>
        </w:tc>
      </w:tr>
      <w:tr>
        <w:trPr>
          <w:trHeight w:val="217"/>
        </w:trPr>
        <w:tc>
          <w:tcPr>
            <w:tcW w:w="5080" w:type="dxa"/>
            <w:vAlign w:val="bottom"/>
          </w:tcPr>
          <w:p>
            <w:pPr>
              <w:ind w:left="180"/>
              <w:spacing w:after="0"/>
              <w:rPr>
                <w:sz w:val="20"/>
                <w:szCs w:val="20"/>
                <w:color w:val="auto"/>
              </w:rPr>
            </w:pPr>
            <w:r>
              <w:rPr>
                <w:rFonts w:ascii="Arial" w:cs="Arial" w:eastAsia="Arial" w:hAnsi="Arial"/>
                <w:sz w:val="16"/>
                <w:szCs w:val="16"/>
                <w:color w:val="auto"/>
              </w:rPr>
              <w:t>Impairment charges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191,556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191,556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income tax charges related to PDC funding and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certain valuation allowances</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5,616</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from Continuing Operations Excluding Certain Items</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27,910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29,278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99,889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112,157</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(non-GAAP measure)</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Diluted Nonvoting Common Share Excluding Certain Items:</w:t>
      </w:r>
    </w:p>
    <w:p>
      <w:pPr>
        <w:spacing w:after="0" w:line="84" w:lineRule="exact"/>
        <w:rPr>
          <w:sz w:val="20"/>
          <w:szCs w:val="20"/>
          <w:color w:val="auto"/>
        </w:rPr>
      </w:pPr>
    </w:p>
    <w:p>
      <w:pPr>
        <w:jc w:val="both"/>
        <w:ind w:left="20" w:right="1619"/>
        <w:spacing w:after="0" w:line="276" w:lineRule="auto"/>
        <w:rPr>
          <w:sz w:val="20"/>
          <w:szCs w:val="20"/>
          <w:color w:val="auto"/>
        </w:rPr>
      </w:pPr>
      <w:r>
        <w:rPr>
          <w:rFonts w:ascii="Arial" w:cs="Arial" w:eastAsia="Arial" w:hAnsi="Arial"/>
          <w:sz w:val="15"/>
          <w:szCs w:val="15"/>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Statements of Earnings data. We do not view these items to be part of our sustainable results. We believe this measure provides an important perspective of underlying business trends and results and provides a more comparable measure from year to year. The table below provides a reconciliation of Net (Loss) Earnings from Continuing Operations Per Diluted Class A Nonvoting Common Share to Net Earnings from Continuing Operations Per Diluted Class A Nonvoting Common Share Excluding Certain Items: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80" w:type="dxa"/>
            <w:vAlign w:val="bottom"/>
          </w:tcPr>
          <w:p>
            <w:pPr>
              <w:spacing w:after="0"/>
              <w:rPr>
                <w:sz w:val="16"/>
                <w:szCs w:val="16"/>
                <w:color w:val="auto"/>
              </w:rPr>
            </w:pPr>
          </w:p>
        </w:tc>
        <w:tc>
          <w:tcPr>
            <w:tcW w:w="1800" w:type="dxa"/>
            <w:vAlign w:val="bottom"/>
            <w:gridSpan w:val="6"/>
          </w:tcPr>
          <w:p>
            <w:pPr>
              <w:ind w:left="40"/>
              <w:spacing w:after="0"/>
              <w:rPr>
                <w:sz w:val="20"/>
                <w:szCs w:val="20"/>
                <w:color w:val="auto"/>
              </w:rPr>
            </w:pPr>
            <w:r>
              <w:rPr>
                <w:rFonts w:ascii="Arial" w:cs="Arial" w:eastAsia="Arial" w:hAnsi="Arial"/>
                <w:sz w:val="16"/>
                <w:szCs w:val="16"/>
                <w:color w:val="auto"/>
                <w:w w:val="95"/>
              </w:rPr>
              <w:t>Three Months Ended July</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4"/>
          </w:tcPr>
          <w:p>
            <w:pPr>
              <w:jc w:val="right"/>
              <w:ind w:right="100"/>
              <w:spacing w:after="0"/>
              <w:rPr>
                <w:sz w:val="20"/>
                <w:szCs w:val="20"/>
                <w:color w:val="auto"/>
              </w:rPr>
            </w:pPr>
            <w:r>
              <w:rPr>
                <w:rFonts w:ascii="Arial" w:cs="Arial" w:eastAsia="Arial" w:hAnsi="Arial"/>
                <w:sz w:val="16"/>
                <w:szCs w:val="16"/>
                <w:color w:val="auto"/>
                <w:w w:val="92"/>
              </w:rPr>
              <w:t>Year Ended July 31,</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40"/>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60"/>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4"/>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w w:val="96"/>
              </w:rPr>
              <w:t>Net (Loss) Earnings from Continuing Operations Per Class A Diluted</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Nonvoting Share (GAAP measure)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7"/>
        </w:trPr>
        <w:tc>
          <w:tcPr>
            <w:tcW w:w="508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Purchase accounting expense related to inventory</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PDC acquisition-related expenses</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80" w:type="dxa"/>
            <w:vAlign w:val="bottom"/>
          </w:tcPr>
          <w:p>
            <w:pPr>
              <w:ind w:left="400"/>
              <w:spacing w:after="0"/>
              <w:rPr>
                <w:sz w:val="20"/>
                <w:szCs w:val="20"/>
                <w:color w:val="auto"/>
              </w:rPr>
            </w:pPr>
            <w:r>
              <w:rPr>
                <w:rFonts w:ascii="Arial" w:cs="Arial" w:eastAsia="Arial" w:hAnsi="Arial"/>
                <w:sz w:val="16"/>
                <w:szCs w:val="16"/>
                <w:color w:val="auto"/>
              </w:rPr>
              <w:t>Reversal of restricted stock grant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7"/>
        </w:trPr>
        <w:tc>
          <w:tcPr>
            <w:tcW w:w="5080" w:type="dxa"/>
            <w:vAlign w:val="bottom"/>
          </w:tcPr>
          <w:p>
            <w:pPr>
              <w:ind w:left="180"/>
              <w:spacing w:after="0"/>
              <w:rPr>
                <w:sz w:val="20"/>
                <w:szCs w:val="20"/>
                <w:color w:val="auto"/>
              </w:rPr>
            </w:pPr>
            <w:r>
              <w:rPr>
                <w:rFonts w:ascii="Arial" w:cs="Arial" w:eastAsia="Arial" w:hAnsi="Arial"/>
                <w:sz w:val="16"/>
                <w:szCs w:val="16"/>
                <w:color w:val="auto"/>
              </w:rPr>
              <w:t>Impairment charges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income tax charges related to PDC funding and</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certain valuation allowances</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from Continuing Operations Per Class A Diluted</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0.53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0.56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2.12</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Nonvoting Share Excluding Certain Items (non-GAAP measure)</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79"/>
          </w:cols>
          <w:pgMar w:left="280" w:top="678" w:right="1440"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w:t>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84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(Dollars in</w:t>
            </w:r>
          </w:p>
        </w:tc>
        <w:tc>
          <w:tcPr>
            <w:tcW w:w="1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w w:val="99"/>
              </w:rPr>
              <w:t>Fiscal 2012</w:t>
            </w:r>
          </w:p>
        </w:tc>
        <w:tc>
          <w:tcPr>
            <w:tcW w:w="6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right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3"/>
                <w:szCs w:val="13"/>
                <w:color w:val="auto"/>
              </w:rPr>
              <w:t>Fiscal 2013</w:t>
            </w:r>
          </w:p>
        </w:tc>
        <w:tc>
          <w:tcPr>
            <w:tcW w:w="7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right w:val="single" w:sz="8" w:color="auto"/>
            </w:tcBorders>
          </w:tcPr>
          <w:p>
            <w:pPr>
              <w:spacing w:after="0"/>
              <w:rPr>
                <w:sz w:val="16"/>
                <w:szCs w:val="16"/>
                <w:color w:val="auto"/>
              </w:rPr>
            </w:pPr>
          </w:p>
        </w:tc>
      </w:tr>
      <w:tr>
        <w:trPr>
          <w:trHeight w:val="176"/>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Thousands)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gridSpan w:val="3"/>
          </w:tcPr>
          <w:p>
            <w:pPr>
              <w:jc w:val="right"/>
              <w:ind w:right="320"/>
              <w:spacing w:after="0"/>
              <w:rPr>
                <w:sz w:val="20"/>
                <w:szCs w:val="20"/>
                <w:color w:val="auto"/>
              </w:rPr>
            </w:pPr>
            <w:r>
              <w:rPr>
                <w:rFonts w:ascii="Arial" w:cs="Arial" w:eastAsia="Arial" w:hAnsi="Arial"/>
                <w:sz w:val="13"/>
                <w:szCs w:val="13"/>
                <w:color w:val="auto"/>
              </w:rPr>
              <w:t>Q1</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3"/>
          </w:tcPr>
          <w:p>
            <w:pPr>
              <w:jc w:val="right"/>
              <w:ind w:right="300"/>
              <w:spacing w:after="0"/>
              <w:rPr>
                <w:sz w:val="20"/>
                <w:szCs w:val="20"/>
                <w:color w:val="auto"/>
              </w:rPr>
            </w:pPr>
            <w:r>
              <w:rPr>
                <w:rFonts w:ascii="Arial" w:cs="Arial" w:eastAsia="Arial" w:hAnsi="Arial"/>
                <w:sz w:val="13"/>
                <w:szCs w:val="13"/>
                <w:color w:val="auto"/>
              </w:rPr>
              <w:t>Q2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3"/>
                <w:szCs w:val="13"/>
                <w:color w:val="auto"/>
              </w:rPr>
              <w:t>Q3</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ind w:right="256"/>
              <w:spacing w:after="0"/>
              <w:rPr>
                <w:sz w:val="20"/>
                <w:szCs w:val="20"/>
                <w:color w:val="auto"/>
              </w:rPr>
            </w:pPr>
            <w:r>
              <w:rPr>
                <w:rFonts w:ascii="Arial" w:cs="Arial" w:eastAsia="Arial" w:hAnsi="Arial"/>
                <w:sz w:val="13"/>
                <w:szCs w:val="13"/>
                <w:color w:val="auto"/>
              </w:rPr>
              <w:t>Q4</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ind w:right="276"/>
              <w:spacing w:after="0"/>
              <w:rPr>
                <w:sz w:val="20"/>
                <w:szCs w:val="20"/>
                <w:color w:val="auto"/>
              </w:rPr>
            </w:pPr>
            <w:r>
              <w:rPr>
                <w:rFonts w:ascii="Arial" w:cs="Arial" w:eastAsia="Arial" w:hAnsi="Arial"/>
                <w:sz w:val="13"/>
                <w:szCs w:val="13"/>
                <w:color w:val="auto"/>
              </w:rPr>
              <w:t>YTD</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ind w:right="256"/>
              <w:spacing w:after="0"/>
              <w:rPr>
                <w:sz w:val="20"/>
                <w:szCs w:val="20"/>
                <w:color w:val="auto"/>
              </w:rPr>
            </w:pPr>
            <w:r>
              <w:rPr>
                <w:rFonts w:ascii="Arial" w:cs="Arial" w:eastAsia="Arial" w:hAnsi="Arial"/>
                <w:sz w:val="13"/>
                <w:szCs w:val="13"/>
                <w:color w:val="auto"/>
              </w:rPr>
              <w:t>Q1</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3"/>
                <w:szCs w:val="13"/>
                <w:color w:val="auto"/>
              </w:rPr>
              <w:t>Q2</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276"/>
              <w:spacing w:after="0"/>
              <w:rPr>
                <w:sz w:val="20"/>
                <w:szCs w:val="20"/>
                <w:color w:val="auto"/>
              </w:rPr>
            </w:pPr>
            <w:r>
              <w:rPr>
                <w:rFonts w:ascii="Arial" w:cs="Arial" w:eastAsia="Arial" w:hAnsi="Arial"/>
                <w:sz w:val="13"/>
                <w:szCs w:val="13"/>
                <w:color w:val="auto"/>
              </w:rPr>
              <w:t>Q3</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296"/>
              <w:spacing w:after="0"/>
              <w:rPr>
                <w:sz w:val="20"/>
                <w:szCs w:val="20"/>
                <w:color w:val="auto"/>
              </w:rPr>
            </w:pPr>
            <w:r>
              <w:rPr>
                <w:rFonts w:ascii="Arial" w:cs="Arial" w:eastAsia="Arial" w:hAnsi="Arial"/>
                <w:sz w:val="13"/>
                <w:szCs w:val="13"/>
                <w:color w:val="auto"/>
              </w:rPr>
              <w:t>Q4</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ind w:right="276"/>
              <w:spacing w:after="0"/>
              <w:rPr>
                <w:sz w:val="20"/>
                <w:szCs w:val="20"/>
                <w:color w:val="auto"/>
              </w:rPr>
            </w:pPr>
            <w:r>
              <w:rPr>
                <w:rFonts w:ascii="Arial" w:cs="Arial" w:eastAsia="Arial" w:hAnsi="Arial"/>
                <w:sz w:val="13"/>
                <w:szCs w:val="13"/>
                <w:color w:val="auto"/>
              </w:rPr>
              <w:t>YTD</w:t>
            </w:r>
          </w:p>
        </w:tc>
      </w:tr>
      <w:tr>
        <w:trPr>
          <w:trHeight w:val="142"/>
        </w:trPr>
        <w:tc>
          <w:tcPr>
            <w:tcW w:w="2300" w:type="dxa"/>
            <w:vAlign w:val="bottom"/>
            <w:tcBorders>
              <w:left w:val="single" w:sz="8" w:color="auto"/>
            </w:tcBorders>
            <w:gridSpan w:val="10"/>
          </w:tcPr>
          <w:p>
            <w:pPr>
              <w:ind w:left="40"/>
              <w:spacing w:after="0" w:line="142" w:lineRule="exact"/>
              <w:rPr>
                <w:sz w:val="20"/>
                <w:szCs w:val="20"/>
                <w:color w:val="auto"/>
              </w:rPr>
            </w:pPr>
            <w:r>
              <w:rPr>
                <w:rFonts w:ascii="Arial" w:cs="Arial" w:eastAsia="Arial" w:hAnsi="Arial"/>
                <w:sz w:val="13"/>
                <w:szCs w:val="13"/>
                <w:color w:val="auto"/>
                <w:w w:val="99"/>
              </w:rPr>
              <w:t>SALES TO EXTERNAL CUSTOMERS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29"/>
        </w:trPr>
        <w:tc>
          <w:tcPr>
            <w:tcW w:w="840" w:type="dxa"/>
            <w:vAlign w:val="bottom"/>
            <w:tcBorders>
              <w:left w:val="single" w:sz="8" w:color="auto"/>
              <w:right w:val="single" w:sz="8" w:color="auto"/>
            </w:tcBorders>
            <w:gridSpan w:val="2"/>
          </w:tcPr>
          <w:p>
            <w:pPr>
              <w:ind w:left="40"/>
              <w:spacing w:after="0" w:line="129" w:lineRule="exact"/>
              <w:rPr>
                <w:sz w:val="20"/>
                <w:szCs w:val="20"/>
                <w:color w:val="auto"/>
              </w:rPr>
            </w:pPr>
            <w:r>
              <w:rPr>
                <w:rFonts w:ascii="Arial" w:cs="Arial" w:eastAsia="Arial" w:hAnsi="Arial"/>
                <w:sz w:val="13"/>
                <w:szCs w:val="13"/>
                <w:color w:val="auto"/>
              </w:rPr>
              <w:t>Identification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Solutions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w w:val="89"/>
              </w:rPr>
              <w:t>163,968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9"/>
              </w:rPr>
              <w:t>149,012</w:t>
            </w:r>
          </w:p>
        </w:tc>
        <w:tc>
          <w:tcPr>
            <w:tcW w:w="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gridSpan w:val="2"/>
          </w:tcPr>
          <w:p>
            <w:pPr>
              <w:jc w:val="right"/>
              <w:ind w:right="136"/>
              <w:spacing w:after="0"/>
              <w:rPr>
                <w:sz w:val="20"/>
                <w:szCs w:val="20"/>
                <w:color w:val="auto"/>
              </w:rPr>
            </w:pPr>
            <w:r>
              <w:rPr>
                <w:rFonts w:ascii="Arial" w:cs="Arial" w:eastAsia="Arial" w:hAnsi="Arial"/>
                <w:sz w:val="13"/>
                <w:szCs w:val="13"/>
                <w:color w:val="auto"/>
                <w:w w:val="89"/>
              </w:rPr>
              <w:t>160,481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w w:val="93"/>
              </w:rPr>
              <w:t>160,312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633,774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w w:val="89"/>
              </w:rPr>
              <w:t>161,244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w w:val="89"/>
              </w:rPr>
              <w:t>166,707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color w:val="auto"/>
                <w:w w:val="93"/>
              </w:rPr>
              <w:t>195,905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209,576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733,433</w:t>
            </w:r>
          </w:p>
        </w:tc>
      </w:tr>
      <w:tr>
        <w:trPr>
          <w:trHeight w:val="138"/>
        </w:trPr>
        <w:tc>
          <w:tcPr>
            <w:tcW w:w="840" w:type="dxa"/>
            <w:vAlign w:val="bottom"/>
            <w:tcBorders>
              <w:left w:val="single" w:sz="8" w:color="auto"/>
              <w:right w:val="single" w:sz="8" w:color="auto"/>
            </w:tcBorders>
            <w:gridSpan w:val="2"/>
          </w:tcPr>
          <w:p>
            <w:pPr>
              <w:ind w:left="40"/>
              <w:spacing w:after="0" w:line="138" w:lineRule="exact"/>
              <w:rPr>
                <w:sz w:val="20"/>
                <w:szCs w:val="20"/>
                <w:color w:val="auto"/>
              </w:rPr>
            </w:pPr>
            <w:r>
              <w:rPr>
                <w:rFonts w:ascii="Arial" w:cs="Arial" w:eastAsia="Arial" w:hAnsi="Arial"/>
                <w:sz w:val="13"/>
                <w:szCs w:val="13"/>
                <w:color w:val="auto"/>
              </w:rPr>
              <w:t>Workplace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Safety</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w w:val="89"/>
              </w:rPr>
              <w:t>109,428</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9"/>
              </w:rPr>
              <w:t>106,040</w:t>
            </w:r>
          </w:p>
        </w:tc>
        <w:tc>
          <w:tcPr>
            <w:tcW w:w="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jc w:val="right"/>
              <w:ind w:right="136"/>
              <w:spacing w:after="0"/>
              <w:rPr>
                <w:sz w:val="20"/>
                <w:szCs w:val="20"/>
                <w:color w:val="auto"/>
              </w:rPr>
            </w:pPr>
            <w:r>
              <w:rPr>
                <w:rFonts w:ascii="Arial" w:cs="Arial" w:eastAsia="Arial" w:hAnsi="Arial"/>
                <w:sz w:val="13"/>
                <w:szCs w:val="13"/>
                <w:color w:val="auto"/>
                <w:w w:val="89"/>
              </w:rPr>
              <w:t>110,669</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w w:val="93"/>
              </w:rPr>
              <w:t>108,777</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434,914</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w w:val="89"/>
              </w:rPr>
              <w:t>109,622</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w w:val="89"/>
              </w:rPr>
              <w:t>104,468</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color w:val="auto"/>
                <w:w w:val="93"/>
              </w:rPr>
              <w:t>105,066</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99,521</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418,676</w:t>
            </w:r>
          </w:p>
        </w:tc>
      </w:tr>
      <w:tr>
        <w:trPr>
          <w:trHeight w:val="138"/>
        </w:trPr>
        <w:tc>
          <w:tcPr>
            <w:tcW w:w="840" w:type="dxa"/>
            <w:vAlign w:val="bottom"/>
            <w:tcBorders>
              <w:left w:val="single" w:sz="8" w:color="auto"/>
              <w:right w:val="single" w:sz="8" w:color="auto"/>
            </w:tcBorders>
            <w:gridSpan w:val="2"/>
          </w:tcPr>
          <w:p>
            <w:pPr>
              <w:ind w:left="40"/>
              <w:spacing w:after="0" w:line="138" w:lineRule="exact"/>
              <w:rPr>
                <w:sz w:val="20"/>
                <w:szCs w:val="20"/>
                <w:color w:val="auto"/>
              </w:rPr>
            </w:pPr>
            <w:r>
              <w:rPr>
                <w:rFonts w:ascii="Arial" w:cs="Arial" w:eastAsia="Arial" w:hAnsi="Arial"/>
                <w:sz w:val="13"/>
                <w:szCs w:val="13"/>
                <w:color w:val="auto"/>
              </w:rPr>
              <w:t>Total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Company</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w w:val="89"/>
              </w:rPr>
              <w:t>273,396</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9"/>
              </w:rPr>
              <w:t>255,052</w:t>
            </w:r>
          </w:p>
        </w:tc>
        <w:tc>
          <w:tcPr>
            <w:tcW w:w="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jc w:val="right"/>
              <w:ind w:right="136"/>
              <w:spacing w:after="0"/>
              <w:rPr>
                <w:sz w:val="20"/>
                <w:szCs w:val="20"/>
                <w:color w:val="auto"/>
              </w:rPr>
            </w:pPr>
            <w:r>
              <w:rPr>
                <w:rFonts w:ascii="Arial" w:cs="Arial" w:eastAsia="Arial" w:hAnsi="Arial"/>
                <w:sz w:val="13"/>
                <w:szCs w:val="13"/>
                <w:color w:val="auto"/>
                <w:w w:val="89"/>
              </w:rPr>
              <w:t>271,150</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w w:val="93"/>
              </w:rPr>
              <w:t>269,089</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w w:val="93"/>
              </w:rPr>
              <w:t>1,068,688</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w w:val="89"/>
              </w:rPr>
              <w:t>270,866</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w w:val="89"/>
              </w:rPr>
              <w:t>271,175</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color w:val="auto"/>
                <w:w w:val="93"/>
              </w:rPr>
              <w:t>300,971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309,097</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w w:val="96"/>
              </w:rPr>
              <w:t>1,152,109</w:t>
            </w:r>
          </w:p>
        </w:tc>
      </w:tr>
      <w:tr>
        <w:trPr>
          <w:trHeight w:val="214"/>
        </w:trPr>
        <w:tc>
          <w:tcPr>
            <w:tcW w:w="40" w:type="dxa"/>
            <w:vAlign w:val="bottom"/>
            <w:tcBorders>
              <w:left w:val="single" w:sz="8" w:color="auto"/>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r>
      <w:tr>
        <w:trPr>
          <w:trHeight w:val="137"/>
        </w:trPr>
        <w:tc>
          <w:tcPr>
            <w:tcW w:w="1580" w:type="dxa"/>
            <w:vAlign w:val="bottom"/>
            <w:tcBorders>
              <w:left w:val="single" w:sz="8" w:color="auto"/>
            </w:tcBorders>
            <w:gridSpan w:val="6"/>
          </w:tcPr>
          <w:p>
            <w:pPr>
              <w:ind w:left="40"/>
              <w:spacing w:after="0" w:line="137" w:lineRule="exact"/>
              <w:rPr>
                <w:sz w:val="20"/>
                <w:szCs w:val="20"/>
                <w:color w:val="auto"/>
              </w:rPr>
            </w:pPr>
            <w:r>
              <w:rPr>
                <w:rFonts w:ascii="Arial" w:cs="Arial" w:eastAsia="Arial" w:hAnsi="Arial"/>
                <w:sz w:val="13"/>
                <w:szCs w:val="13"/>
                <w:color w:val="auto"/>
              </w:rPr>
              <w:t>SALES INFORMATION</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1580" w:type="dxa"/>
            <w:vAlign w:val="bottom"/>
            <w:tcBorders>
              <w:left w:val="single" w:sz="8" w:color="auto"/>
              <w:bottom w:val="single" w:sz="8" w:color="auto"/>
            </w:tcBorders>
            <w:gridSpan w:val="6"/>
          </w:tcPr>
          <w:p>
            <w:pPr>
              <w:ind w:left="40"/>
              <w:spacing w:after="0"/>
              <w:rPr>
                <w:sz w:val="20"/>
                <w:szCs w:val="20"/>
                <w:color w:val="auto"/>
              </w:rPr>
            </w:pPr>
            <w:r>
              <w:rPr>
                <w:rFonts w:ascii="Arial" w:cs="Arial" w:eastAsia="Arial" w:hAnsi="Arial"/>
                <w:sz w:val="13"/>
                <w:szCs w:val="13"/>
                <w:color w:val="auto"/>
              </w:rPr>
              <w:t>Identification Solutions</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73"/>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Organic</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5.5%</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(0.8)%</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3.8 %</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2.7 %</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0.4 %</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1.3 %</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2.1 %</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0.3 %</w:t>
            </w:r>
          </w:p>
        </w:tc>
      </w:tr>
      <w:tr>
        <w:trPr>
          <w:trHeight w:val="173"/>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Currency</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1.7%</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(0.8)%</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0.2 %</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(0.9)%</w:t>
            </w:r>
          </w:p>
        </w:tc>
      </w:tr>
      <w:tr>
        <w:trPr>
          <w:trHeight w:val="194"/>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Acquisitions</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0.3 %</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0.4 %</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0.2 %</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0.4 %</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11.1 %</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25.4 %</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28.4 %</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16.3 %</w:t>
            </w:r>
          </w:p>
        </w:tc>
      </w:tr>
      <w:tr>
        <w:trPr>
          <w:trHeight w:val="176"/>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Total</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7.2%</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0.6 %</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1.3 %</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11.9 %</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22.1 %</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30.7 %</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15.7 %</w:t>
            </w:r>
          </w:p>
        </w:tc>
      </w:tr>
      <w:tr>
        <w:trPr>
          <w:trHeight w:val="214"/>
        </w:trPr>
        <w:tc>
          <w:tcPr>
            <w:tcW w:w="40" w:type="dxa"/>
            <w:vAlign w:val="bottom"/>
            <w:tcBorders>
              <w:left w:val="single" w:sz="8" w:color="auto"/>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r>
      <w:tr>
        <w:trPr>
          <w:trHeight w:val="168"/>
        </w:trPr>
        <w:tc>
          <w:tcPr>
            <w:tcW w:w="9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3"/>
                <w:szCs w:val="13"/>
                <w:color w:val="auto"/>
                <w:w w:val="88"/>
              </w:rPr>
              <w:t>Workplace Safety</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73"/>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Organic</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4.4%</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173"/>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Currency</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3.7%</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0.4 %</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0.1 %</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(0.7)%</w:t>
            </w:r>
          </w:p>
        </w:tc>
      </w:tr>
      <w:tr>
        <w:trPr>
          <w:trHeight w:val="194"/>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Acquisitions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4.5 %</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1.6 %</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5.8 %</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5.1 %</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5 %</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4 %</w:t>
            </w:r>
          </w:p>
        </w:tc>
      </w:tr>
      <w:tr>
        <w:trPr>
          <w:trHeight w:val="176"/>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Total</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0.2 %</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0.2 %</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(5.1)%</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(3.7)%</w:t>
            </w:r>
          </w:p>
        </w:tc>
      </w:tr>
      <w:tr>
        <w:trPr>
          <w:trHeight w:val="214"/>
        </w:trPr>
        <w:tc>
          <w:tcPr>
            <w:tcW w:w="40" w:type="dxa"/>
            <w:vAlign w:val="bottom"/>
            <w:tcBorders>
              <w:left w:val="single" w:sz="8" w:color="auto"/>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r>
      <w:tr>
        <w:trPr>
          <w:trHeight w:val="168"/>
        </w:trPr>
        <w:tc>
          <w:tcPr>
            <w:tcW w:w="8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3"/>
                <w:szCs w:val="13"/>
                <w:color w:val="auto"/>
                <w:w w:val="86"/>
              </w:rPr>
              <w:t>Total Company</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73"/>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Organic</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5.1%</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(0.9)%</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0.6 %</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1.5 %</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1.5 %</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(2.6)%</w:t>
            </w:r>
          </w:p>
        </w:tc>
      </w:tr>
      <w:tr>
        <w:trPr>
          <w:trHeight w:val="173"/>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Currency</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2.4%</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(0.6)%</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0.3 %</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(0.9)%</w:t>
            </w:r>
          </w:p>
        </w:tc>
      </w:tr>
      <w:tr>
        <w:trPr>
          <w:trHeight w:val="194"/>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Acquisitions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0.8%</w:t>
            </w: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0.2 %</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2.1 %</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0.8 %</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2.6 %</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8.6 %</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17.1 %</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16.9 %</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11.3 %</w:t>
            </w:r>
          </w:p>
        </w:tc>
      </w:tr>
      <w:tr>
        <w:trPr>
          <w:trHeight w:val="176"/>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Total</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8.3%</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0.9 %</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6.3 %</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11 %</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14.9 %</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7.8 %</w:t>
            </w:r>
          </w:p>
        </w:tc>
      </w:tr>
      <w:tr>
        <w:trPr>
          <w:trHeight w:val="214"/>
        </w:trPr>
        <w:tc>
          <w:tcPr>
            <w:tcW w:w="40" w:type="dxa"/>
            <w:vAlign w:val="bottom"/>
            <w:tcBorders>
              <w:left w:val="single" w:sz="8" w:color="auto"/>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r>
      <w:tr>
        <w:trPr>
          <w:trHeight w:val="137"/>
        </w:trPr>
        <w:tc>
          <w:tcPr>
            <w:tcW w:w="1580" w:type="dxa"/>
            <w:vAlign w:val="bottom"/>
            <w:tcBorders>
              <w:left w:val="single" w:sz="8" w:color="auto"/>
            </w:tcBorders>
            <w:gridSpan w:val="6"/>
          </w:tcPr>
          <w:p>
            <w:pPr>
              <w:ind w:left="40"/>
              <w:spacing w:after="0" w:line="137" w:lineRule="exact"/>
              <w:rPr>
                <w:sz w:val="20"/>
                <w:szCs w:val="20"/>
                <w:color w:val="auto"/>
              </w:rPr>
            </w:pPr>
            <w:r>
              <w:rPr>
                <w:rFonts w:ascii="Arial" w:cs="Arial" w:eastAsia="Arial" w:hAnsi="Arial"/>
                <w:sz w:val="13"/>
                <w:szCs w:val="13"/>
                <w:color w:val="auto"/>
              </w:rPr>
              <w:t>SEGMENT PROFIT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29"/>
        </w:trPr>
        <w:tc>
          <w:tcPr>
            <w:tcW w:w="840" w:type="dxa"/>
            <w:vAlign w:val="bottom"/>
            <w:tcBorders>
              <w:left w:val="single" w:sz="8" w:color="auto"/>
              <w:right w:val="single" w:sz="8" w:color="auto"/>
            </w:tcBorders>
            <w:gridSpan w:val="2"/>
          </w:tcPr>
          <w:p>
            <w:pPr>
              <w:ind w:left="40"/>
              <w:spacing w:after="0" w:line="129" w:lineRule="exact"/>
              <w:rPr>
                <w:sz w:val="20"/>
                <w:szCs w:val="20"/>
                <w:color w:val="auto"/>
              </w:rPr>
            </w:pPr>
            <w:r>
              <w:rPr>
                <w:rFonts w:ascii="Arial" w:cs="Arial" w:eastAsia="Arial" w:hAnsi="Arial"/>
                <w:sz w:val="13"/>
                <w:szCs w:val="13"/>
                <w:color w:val="auto"/>
              </w:rPr>
              <w:t>Identification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Solutions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41,839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36,844</w:t>
            </w:r>
          </w:p>
        </w:tc>
        <w:tc>
          <w:tcPr>
            <w:tcW w:w="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gridSpan w:val="2"/>
          </w:tcPr>
          <w:p>
            <w:pPr>
              <w:jc w:val="right"/>
              <w:ind w:right="136"/>
              <w:spacing w:after="0"/>
              <w:rPr>
                <w:sz w:val="20"/>
                <w:szCs w:val="20"/>
                <w:color w:val="auto"/>
              </w:rPr>
            </w:pPr>
            <w:r>
              <w:rPr>
                <w:rFonts w:ascii="Arial" w:cs="Arial" w:eastAsia="Arial" w:hAnsi="Arial"/>
                <w:sz w:val="13"/>
                <w:szCs w:val="13"/>
                <w:color w:val="auto"/>
              </w:rPr>
              <w:t>40,711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40,034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159,427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43,973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33,813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color w:val="auto"/>
              </w:rPr>
              <w:t>45,967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47,565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171,319</w:t>
            </w:r>
          </w:p>
        </w:tc>
      </w:tr>
      <w:tr>
        <w:trPr>
          <w:trHeight w:val="138"/>
        </w:trPr>
        <w:tc>
          <w:tcPr>
            <w:tcW w:w="840" w:type="dxa"/>
            <w:vAlign w:val="bottom"/>
            <w:tcBorders>
              <w:left w:val="single" w:sz="8" w:color="auto"/>
              <w:right w:val="single" w:sz="8" w:color="auto"/>
            </w:tcBorders>
            <w:gridSpan w:val="2"/>
          </w:tcPr>
          <w:p>
            <w:pPr>
              <w:ind w:left="40"/>
              <w:spacing w:after="0" w:line="138" w:lineRule="exact"/>
              <w:rPr>
                <w:sz w:val="20"/>
                <w:szCs w:val="20"/>
                <w:color w:val="auto"/>
              </w:rPr>
            </w:pPr>
            <w:r>
              <w:rPr>
                <w:rFonts w:ascii="Arial" w:cs="Arial" w:eastAsia="Arial" w:hAnsi="Arial"/>
                <w:sz w:val="13"/>
                <w:szCs w:val="13"/>
                <w:color w:val="auto"/>
              </w:rPr>
              <w:t>Workplace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Safety</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30,321</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28,545</w:t>
            </w:r>
          </w:p>
        </w:tc>
        <w:tc>
          <w:tcPr>
            <w:tcW w:w="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jc w:val="right"/>
              <w:ind w:right="136"/>
              <w:spacing w:after="0"/>
              <w:rPr>
                <w:sz w:val="20"/>
                <w:szCs w:val="20"/>
                <w:color w:val="auto"/>
              </w:rPr>
            </w:pPr>
            <w:r>
              <w:rPr>
                <w:rFonts w:ascii="Arial" w:cs="Arial" w:eastAsia="Arial" w:hAnsi="Arial"/>
                <w:sz w:val="13"/>
                <w:szCs w:val="13"/>
                <w:color w:val="auto"/>
              </w:rPr>
              <w:t>29,141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29,179</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117,187</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27,829</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23,600</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color w:val="auto"/>
              </w:rPr>
              <w:t>23,453</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20,360</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95,241</w:t>
            </w:r>
          </w:p>
        </w:tc>
      </w:tr>
      <w:tr>
        <w:trPr>
          <w:trHeight w:val="138"/>
        </w:trPr>
        <w:tc>
          <w:tcPr>
            <w:tcW w:w="840" w:type="dxa"/>
            <w:vAlign w:val="bottom"/>
            <w:tcBorders>
              <w:left w:val="single" w:sz="8" w:color="auto"/>
              <w:right w:val="single" w:sz="8" w:color="auto"/>
            </w:tcBorders>
            <w:gridSpan w:val="2"/>
          </w:tcPr>
          <w:p>
            <w:pPr>
              <w:ind w:left="40"/>
              <w:spacing w:after="0" w:line="138" w:lineRule="exact"/>
              <w:rPr>
                <w:sz w:val="20"/>
                <w:szCs w:val="20"/>
                <w:color w:val="auto"/>
              </w:rPr>
            </w:pPr>
            <w:r>
              <w:rPr>
                <w:rFonts w:ascii="Arial" w:cs="Arial" w:eastAsia="Arial" w:hAnsi="Arial"/>
                <w:sz w:val="13"/>
                <w:szCs w:val="13"/>
                <w:color w:val="auto"/>
              </w:rPr>
              <w:t>Total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Company</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72,160</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65,389</w:t>
            </w:r>
          </w:p>
        </w:tc>
        <w:tc>
          <w:tcPr>
            <w:tcW w:w="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jc w:val="right"/>
              <w:ind w:right="136"/>
              <w:spacing w:after="0"/>
              <w:rPr>
                <w:sz w:val="20"/>
                <w:szCs w:val="20"/>
                <w:color w:val="auto"/>
              </w:rPr>
            </w:pPr>
            <w:r>
              <w:rPr>
                <w:rFonts w:ascii="Arial" w:cs="Arial" w:eastAsia="Arial" w:hAnsi="Arial"/>
                <w:sz w:val="13"/>
                <w:szCs w:val="13"/>
                <w:color w:val="auto"/>
              </w:rPr>
              <w:t>69,852</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69,213</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276,614</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71,802</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57,413</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color w:val="auto"/>
              </w:rPr>
              <w:t>69,420</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67,925</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266,560</w:t>
            </w:r>
          </w:p>
        </w:tc>
      </w:tr>
      <w:tr>
        <w:trPr>
          <w:trHeight w:val="214"/>
        </w:trPr>
        <w:tc>
          <w:tcPr>
            <w:tcW w:w="40" w:type="dxa"/>
            <w:vAlign w:val="bottom"/>
            <w:tcBorders>
              <w:left w:val="single" w:sz="8" w:color="auto"/>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r>
      <w:tr>
        <w:trPr>
          <w:trHeight w:val="137"/>
        </w:trPr>
        <w:tc>
          <w:tcPr>
            <w:tcW w:w="3040" w:type="dxa"/>
            <w:vAlign w:val="bottom"/>
            <w:tcBorders>
              <w:left w:val="single" w:sz="8" w:color="auto"/>
            </w:tcBorders>
            <w:gridSpan w:val="13"/>
          </w:tcPr>
          <w:p>
            <w:pPr>
              <w:ind w:left="40"/>
              <w:spacing w:after="0" w:line="137" w:lineRule="exact"/>
              <w:rPr>
                <w:sz w:val="20"/>
                <w:szCs w:val="20"/>
                <w:color w:val="auto"/>
              </w:rPr>
            </w:pPr>
            <w:r>
              <w:rPr>
                <w:rFonts w:ascii="Arial" w:cs="Arial" w:eastAsia="Arial" w:hAnsi="Arial"/>
                <w:sz w:val="13"/>
                <w:szCs w:val="13"/>
                <w:color w:val="auto"/>
              </w:rPr>
              <w:t>SEGMENT PROFIT AS PERCENT OF SALES</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29"/>
        </w:trPr>
        <w:tc>
          <w:tcPr>
            <w:tcW w:w="840" w:type="dxa"/>
            <w:vAlign w:val="bottom"/>
            <w:tcBorders>
              <w:left w:val="single" w:sz="8" w:color="auto"/>
              <w:right w:val="single" w:sz="8" w:color="auto"/>
            </w:tcBorders>
            <w:gridSpan w:val="2"/>
          </w:tcPr>
          <w:p>
            <w:pPr>
              <w:ind w:left="40"/>
              <w:spacing w:after="0" w:line="129" w:lineRule="exact"/>
              <w:rPr>
                <w:sz w:val="20"/>
                <w:szCs w:val="20"/>
                <w:color w:val="auto"/>
              </w:rPr>
            </w:pPr>
            <w:r>
              <w:rPr>
                <w:rFonts w:ascii="Arial" w:cs="Arial" w:eastAsia="Arial" w:hAnsi="Arial"/>
                <w:sz w:val="13"/>
                <w:szCs w:val="13"/>
                <w:color w:val="auto"/>
              </w:rPr>
              <w:t>Identification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Solutions</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25.5%</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24.7 %</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25.4 %</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25 %</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25.2 %</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27.3 %</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20.3 %</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23.5 %</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22.7 %</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23.4 %</w:t>
            </w:r>
          </w:p>
        </w:tc>
      </w:tr>
      <w:tr>
        <w:trPr>
          <w:trHeight w:val="138"/>
        </w:trPr>
        <w:tc>
          <w:tcPr>
            <w:tcW w:w="840" w:type="dxa"/>
            <w:vAlign w:val="bottom"/>
            <w:tcBorders>
              <w:left w:val="single" w:sz="8" w:color="auto"/>
              <w:right w:val="single" w:sz="8" w:color="auto"/>
            </w:tcBorders>
            <w:gridSpan w:val="2"/>
          </w:tcPr>
          <w:p>
            <w:pPr>
              <w:ind w:left="40"/>
              <w:spacing w:after="0" w:line="138" w:lineRule="exact"/>
              <w:rPr>
                <w:sz w:val="20"/>
                <w:szCs w:val="20"/>
                <w:color w:val="auto"/>
              </w:rPr>
            </w:pPr>
            <w:r>
              <w:rPr>
                <w:rFonts w:ascii="Arial" w:cs="Arial" w:eastAsia="Arial" w:hAnsi="Arial"/>
                <w:sz w:val="13"/>
                <w:szCs w:val="13"/>
                <w:color w:val="auto"/>
              </w:rPr>
              <w:t>Workplace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Safety</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27.7%</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26.9 %</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26.3 %</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26.8 %</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26.9 %</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25.4 %</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22.6 %</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22.3 %</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20.5 %</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22.7 %</w:t>
            </w:r>
          </w:p>
        </w:tc>
      </w:tr>
      <w:tr>
        <w:trPr>
          <w:trHeight w:val="138"/>
        </w:trPr>
        <w:tc>
          <w:tcPr>
            <w:tcW w:w="840" w:type="dxa"/>
            <w:vAlign w:val="bottom"/>
            <w:tcBorders>
              <w:left w:val="single" w:sz="8" w:color="auto"/>
              <w:right w:val="single" w:sz="8" w:color="auto"/>
            </w:tcBorders>
            <w:gridSpan w:val="2"/>
          </w:tcPr>
          <w:p>
            <w:pPr>
              <w:ind w:left="40"/>
              <w:spacing w:after="0" w:line="138" w:lineRule="exact"/>
              <w:rPr>
                <w:sz w:val="20"/>
                <w:szCs w:val="20"/>
                <w:color w:val="auto"/>
              </w:rPr>
            </w:pPr>
            <w:r>
              <w:rPr>
                <w:rFonts w:ascii="Arial" w:cs="Arial" w:eastAsia="Arial" w:hAnsi="Arial"/>
                <w:sz w:val="13"/>
                <w:szCs w:val="13"/>
                <w:color w:val="auto"/>
              </w:rPr>
              <w:t>Total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Company</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26.4%</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25.6 %</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25.8 %</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25.7 %</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25.9 %</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26.5 %</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21.2 %</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23.1 %</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22 %</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23.1 %</w:t>
            </w:r>
          </w:p>
        </w:tc>
      </w:tr>
      <w:tr>
        <w:trPr>
          <w:trHeight w:val="214"/>
        </w:trPr>
        <w:tc>
          <w:tcPr>
            <w:tcW w:w="40" w:type="dxa"/>
            <w:vAlign w:val="bottom"/>
            <w:tcBorders>
              <w:left w:val="single" w:sz="8" w:color="auto"/>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r>
      <w:tr>
        <w:trPr>
          <w:trHeight w:val="137"/>
        </w:trPr>
        <w:tc>
          <w:tcPr>
            <w:tcW w:w="2300" w:type="dxa"/>
            <w:vAlign w:val="bottom"/>
            <w:tcBorders>
              <w:left w:val="single" w:sz="8" w:color="auto"/>
            </w:tcBorders>
            <w:gridSpan w:val="10"/>
          </w:tcPr>
          <w:p>
            <w:pPr>
              <w:ind w:left="40"/>
              <w:spacing w:after="0" w:line="137" w:lineRule="exact"/>
              <w:rPr>
                <w:sz w:val="20"/>
                <w:szCs w:val="20"/>
                <w:color w:val="auto"/>
              </w:rPr>
            </w:pPr>
            <w:r>
              <w:rPr>
                <w:rFonts w:ascii="Arial" w:cs="Arial" w:eastAsia="Arial" w:hAnsi="Arial"/>
                <w:sz w:val="13"/>
                <w:szCs w:val="13"/>
                <w:color w:val="auto"/>
              </w:rPr>
              <w:t>NET EARNINGS RECONCILIATION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29"/>
        </w:trPr>
        <w:tc>
          <w:tcPr>
            <w:tcW w:w="840" w:type="dxa"/>
            <w:vAlign w:val="bottom"/>
            <w:tcBorders>
              <w:left w:val="single" w:sz="8" w:color="auto"/>
              <w:right w:val="single" w:sz="8" w:color="auto"/>
            </w:tcBorders>
            <w:gridSpan w:val="2"/>
          </w:tcPr>
          <w:p>
            <w:pPr>
              <w:ind w:left="40"/>
              <w:spacing w:after="0" w:line="129" w:lineRule="exact"/>
              <w:rPr>
                <w:sz w:val="20"/>
                <w:szCs w:val="20"/>
                <w:color w:val="auto"/>
              </w:rPr>
            </w:pPr>
            <w:r>
              <w:rPr>
                <w:rFonts w:ascii="Arial" w:cs="Arial" w:eastAsia="Arial" w:hAnsi="Arial"/>
                <w:sz w:val="13"/>
                <w:szCs w:val="13"/>
                <w:color w:val="auto"/>
                <w:w w:val="92"/>
              </w:rPr>
              <w:t>Total segment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72,160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65,389</w:t>
            </w:r>
          </w:p>
        </w:tc>
        <w:tc>
          <w:tcPr>
            <w:tcW w:w="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gridSpan w:val="2"/>
          </w:tcPr>
          <w:p>
            <w:pPr>
              <w:jc w:val="right"/>
              <w:ind w:right="136"/>
              <w:spacing w:after="0"/>
              <w:rPr>
                <w:sz w:val="20"/>
                <w:szCs w:val="20"/>
                <w:color w:val="auto"/>
              </w:rPr>
            </w:pPr>
            <w:r>
              <w:rPr>
                <w:rFonts w:ascii="Arial" w:cs="Arial" w:eastAsia="Arial" w:hAnsi="Arial"/>
                <w:sz w:val="13"/>
                <w:szCs w:val="13"/>
                <w:color w:val="auto"/>
              </w:rPr>
              <w:t>69,852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69,213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276,614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71,802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57,413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color w:val="auto"/>
              </w:rPr>
              <w:t>69,420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67,925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266,560</w:t>
            </w:r>
          </w:p>
        </w:tc>
      </w:tr>
      <w:tr>
        <w:trPr>
          <w:trHeight w:val="173"/>
        </w:trPr>
        <w:tc>
          <w:tcPr>
            <w:tcW w:w="1580" w:type="dxa"/>
            <w:vAlign w:val="bottom"/>
            <w:tcBorders>
              <w:left w:val="single" w:sz="8" w:color="auto"/>
              <w:bottom w:val="single" w:sz="8" w:color="auto"/>
            </w:tcBorders>
            <w:gridSpan w:val="6"/>
          </w:tcPr>
          <w:p>
            <w:pPr>
              <w:ind w:left="40"/>
              <w:spacing w:after="0"/>
              <w:rPr>
                <w:sz w:val="20"/>
                <w:szCs w:val="20"/>
                <w:color w:val="auto"/>
              </w:rPr>
            </w:pPr>
            <w:r>
              <w:rPr>
                <w:rFonts w:ascii="Arial" w:cs="Arial" w:eastAsia="Arial" w:hAnsi="Arial"/>
                <w:sz w:val="13"/>
                <w:szCs w:val="13"/>
                <w:color w:val="auto"/>
              </w:rPr>
              <w:t>Unallocated Amounts:</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r>
      <w:tr>
        <w:trPr>
          <w:trHeight w:val="138"/>
        </w:trPr>
        <w:tc>
          <w:tcPr>
            <w:tcW w:w="840" w:type="dxa"/>
            <w:vAlign w:val="bottom"/>
            <w:tcBorders>
              <w:left w:val="single" w:sz="8" w:color="auto"/>
              <w:right w:val="single" w:sz="8" w:color="auto"/>
            </w:tcBorders>
            <w:gridSpan w:val="2"/>
          </w:tcPr>
          <w:p>
            <w:pPr>
              <w:ind w:left="40"/>
              <w:spacing w:after="0" w:line="138" w:lineRule="exact"/>
              <w:rPr>
                <w:sz w:val="20"/>
                <w:szCs w:val="20"/>
                <w:color w:val="auto"/>
              </w:rPr>
            </w:pPr>
            <w:r>
              <w:rPr>
                <w:rFonts w:ascii="Arial" w:cs="Arial" w:eastAsia="Arial" w:hAnsi="Arial"/>
                <w:sz w:val="13"/>
                <w:szCs w:val="13"/>
                <w:color w:val="auto"/>
                <w:w w:val="93"/>
              </w:rPr>
              <w:t>Administrative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costs</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29,415</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27,996</w:t>
            </w:r>
          </w:p>
        </w:tc>
        <w:tc>
          <w:tcPr>
            <w:tcW w:w="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jc w:val="right"/>
              <w:ind w:right="136"/>
              <w:spacing w:after="0"/>
              <w:rPr>
                <w:sz w:val="20"/>
                <w:szCs w:val="20"/>
                <w:color w:val="auto"/>
              </w:rPr>
            </w:pPr>
            <w:r>
              <w:rPr>
                <w:rFonts w:ascii="Arial" w:cs="Arial" w:eastAsia="Arial" w:hAnsi="Arial"/>
                <w:sz w:val="13"/>
                <w:szCs w:val="13"/>
                <w:color w:val="auto"/>
              </w:rPr>
              <w:t>25,648</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31,039</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114,098</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29,173</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34,513</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color w:val="auto"/>
              </w:rPr>
              <w:t>30,765</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27,242</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121,693</w:t>
            </w:r>
          </w:p>
        </w:tc>
      </w:tr>
      <w:tr>
        <w:trPr>
          <w:trHeight w:val="138"/>
        </w:trPr>
        <w:tc>
          <w:tcPr>
            <w:tcW w:w="840" w:type="dxa"/>
            <w:vAlign w:val="bottom"/>
            <w:tcBorders>
              <w:left w:val="single" w:sz="8" w:color="auto"/>
              <w:right w:val="single" w:sz="8" w:color="auto"/>
            </w:tcBorders>
            <w:gridSpan w:val="2"/>
          </w:tcPr>
          <w:p>
            <w:pPr>
              <w:ind w:left="40"/>
              <w:spacing w:after="0" w:line="138" w:lineRule="exact"/>
              <w:rPr>
                <w:sz w:val="20"/>
                <w:szCs w:val="20"/>
                <w:color w:val="auto"/>
              </w:rPr>
            </w:pPr>
            <w:r>
              <w:rPr>
                <w:rFonts w:ascii="Arial" w:cs="Arial" w:eastAsia="Arial" w:hAnsi="Arial"/>
                <w:sz w:val="13"/>
                <w:szCs w:val="13"/>
                <w:color w:val="auto"/>
                <w:w w:val="98"/>
              </w:rPr>
              <w:t>Restructuring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charges</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jc w:val="right"/>
              <w:ind w:right="136"/>
              <w:spacing w:after="0"/>
              <w:rPr>
                <w:sz w:val="20"/>
                <w:szCs w:val="20"/>
                <w:color w:val="auto"/>
              </w:rPr>
            </w:pPr>
            <w:r>
              <w:rPr>
                <w:rFonts w:ascii="Arial" w:cs="Arial" w:eastAsia="Arial" w:hAnsi="Arial"/>
                <w:sz w:val="13"/>
                <w:szCs w:val="13"/>
                <w:color w:val="auto"/>
              </w:rPr>
              <w:t>1,977</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4,107</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6,084</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1,933</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color w:val="auto"/>
              </w:rPr>
              <w:t>8,540</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15,573</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26,046</w:t>
            </w:r>
          </w:p>
        </w:tc>
      </w:tr>
      <w:tr>
        <w:trPr>
          <w:trHeight w:val="138"/>
        </w:trPr>
        <w:tc>
          <w:tcPr>
            <w:tcW w:w="840" w:type="dxa"/>
            <w:vAlign w:val="bottom"/>
            <w:tcBorders>
              <w:left w:val="single" w:sz="8" w:color="auto"/>
              <w:right w:val="single" w:sz="8" w:color="auto"/>
            </w:tcBorders>
            <w:gridSpan w:val="2"/>
          </w:tcPr>
          <w:p>
            <w:pPr>
              <w:ind w:left="40"/>
              <w:spacing w:after="0" w:line="138" w:lineRule="exact"/>
              <w:rPr>
                <w:sz w:val="20"/>
                <w:szCs w:val="20"/>
                <w:color w:val="auto"/>
              </w:rPr>
            </w:pPr>
            <w:r>
              <w:rPr>
                <w:rFonts w:ascii="Arial" w:cs="Arial" w:eastAsia="Arial" w:hAnsi="Arial"/>
                <w:sz w:val="13"/>
                <w:szCs w:val="13"/>
                <w:color w:val="auto"/>
              </w:rPr>
              <w:t>Impairment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charges</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204,448</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204,448</w:t>
            </w:r>
          </w:p>
        </w:tc>
      </w:tr>
      <w:tr>
        <w:trPr>
          <w:trHeight w:val="138"/>
        </w:trPr>
        <w:tc>
          <w:tcPr>
            <w:tcW w:w="840" w:type="dxa"/>
            <w:vAlign w:val="bottom"/>
            <w:tcBorders>
              <w:left w:val="single" w:sz="8" w:color="auto"/>
              <w:right w:val="single" w:sz="8" w:color="auto"/>
            </w:tcBorders>
            <w:gridSpan w:val="2"/>
          </w:tcPr>
          <w:p>
            <w:pPr>
              <w:ind w:left="40"/>
              <w:spacing w:after="0" w:line="138" w:lineRule="exact"/>
              <w:rPr>
                <w:sz w:val="20"/>
                <w:szCs w:val="20"/>
                <w:color w:val="auto"/>
              </w:rPr>
            </w:pPr>
            <w:r>
              <w:rPr>
                <w:rFonts w:ascii="Arial" w:cs="Arial" w:eastAsia="Arial" w:hAnsi="Arial"/>
                <w:sz w:val="13"/>
                <w:szCs w:val="13"/>
                <w:color w:val="auto"/>
              </w:rPr>
              <w:t>Investment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gridSpan w:val="2"/>
          </w:tcPr>
          <w:p>
            <w:pPr>
              <w:ind w:left="40"/>
              <w:spacing w:after="0" w:line="133" w:lineRule="exact"/>
              <w:rPr>
                <w:sz w:val="20"/>
                <w:szCs w:val="20"/>
                <w:color w:val="auto"/>
              </w:rPr>
            </w:pPr>
            <w:r>
              <w:rPr>
                <w:rFonts w:ascii="Arial" w:cs="Arial" w:eastAsia="Arial" w:hAnsi="Arial"/>
                <w:sz w:val="13"/>
                <w:szCs w:val="13"/>
                <w:color w:val="auto"/>
              </w:rPr>
              <w:t>and 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gridSpan w:val="2"/>
          </w:tcPr>
          <w:p>
            <w:pPr>
              <w:ind w:left="40"/>
              <w:spacing w:after="0" w:line="133" w:lineRule="exact"/>
              <w:rPr>
                <w:sz w:val="20"/>
                <w:szCs w:val="20"/>
                <w:color w:val="auto"/>
              </w:rPr>
            </w:pPr>
            <w:r>
              <w:rPr>
                <w:rFonts w:ascii="Arial" w:cs="Arial" w:eastAsia="Arial" w:hAnsi="Arial"/>
                <w:sz w:val="13"/>
                <w:szCs w:val="13"/>
                <w:color w:val="auto"/>
              </w:rPr>
              <w:t>expense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(income)</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203</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(813)</w:t>
            </w:r>
          </w:p>
        </w:tc>
        <w:tc>
          <w:tcPr>
            <w:tcW w:w="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jc w:val="right"/>
              <w:ind w:right="96"/>
              <w:spacing w:after="0"/>
              <w:rPr>
                <w:sz w:val="20"/>
                <w:szCs w:val="20"/>
                <w:color w:val="auto"/>
              </w:rPr>
            </w:pPr>
            <w:r>
              <w:rPr>
                <w:rFonts w:ascii="Arial" w:cs="Arial" w:eastAsia="Arial" w:hAnsi="Arial"/>
                <w:sz w:val="13"/>
                <w:szCs w:val="13"/>
                <w:color w:val="auto"/>
              </w:rPr>
              <w:t>(1,109)</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color w:val="auto"/>
              </w:rPr>
              <w:t>(362)</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76"/>
              <w:spacing w:after="0"/>
              <w:rPr>
                <w:sz w:val="20"/>
                <w:szCs w:val="20"/>
                <w:color w:val="auto"/>
              </w:rPr>
            </w:pPr>
            <w:r>
              <w:rPr>
                <w:rFonts w:ascii="Arial" w:cs="Arial" w:eastAsia="Arial" w:hAnsi="Arial"/>
                <w:sz w:val="13"/>
                <w:szCs w:val="13"/>
                <w:color w:val="auto"/>
              </w:rPr>
              <w:t>(2,082)</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color w:val="auto"/>
              </w:rPr>
              <w:t>(396)</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color w:val="auto"/>
              </w:rPr>
              <w:t>(898)</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116"/>
              <w:spacing w:after="0"/>
              <w:rPr>
                <w:sz w:val="20"/>
                <w:szCs w:val="20"/>
                <w:color w:val="auto"/>
              </w:rPr>
            </w:pPr>
            <w:r>
              <w:rPr>
                <w:rFonts w:ascii="Arial" w:cs="Arial" w:eastAsia="Arial" w:hAnsi="Arial"/>
                <w:sz w:val="13"/>
                <w:szCs w:val="13"/>
                <w:color w:val="auto"/>
              </w:rPr>
              <w:t>(1,132)</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color w:val="auto"/>
              </w:rPr>
              <w:t>(1,095)</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color w:val="auto"/>
              </w:rPr>
              <w:t>(3,522)</w:t>
            </w:r>
          </w:p>
        </w:tc>
      </w:tr>
      <w:tr>
        <w:trPr>
          <w:trHeight w:val="138"/>
        </w:trPr>
        <w:tc>
          <w:tcPr>
            <w:tcW w:w="840" w:type="dxa"/>
            <w:vAlign w:val="bottom"/>
            <w:tcBorders>
              <w:left w:val="single" w:sz="8" w:color="auto"/>
              <w:right w:val="single" w:sz="8" w:color="auto"/>
            </w:tcBorders>
            <w:gridSpan w:val="2"/>
          </w:tcPr>
          <w:p>
            <w:pPr>
              <w:ind w:left="40"/>
              <w:spacing w:after="0" w:line="138" w:lineRule="exact"/>
              <w:rPr>
                <w:sz w:val="20"/>
                <w:szCs w:val="20"/>
                <w:color w:val="auto"/>
              </w:rPr>
            </w:pPr>
            <w:r>
              <w:rPr>
                <w:rFonts w:ascii="Arial" w:cs="Arial" w:eastAsia="Arial" w:hAnsi="Arial"/>
                <w:sz w:val="13"/>
                <w:szCs w:val="13"/>
                <w:color w:val="auto"/>
              </w:rPr>
              <w:t>Interest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expense</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5,047</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4,933</w:t>
            </w:r>
          </w:p>
        </w:tc>
        <w:tc>
          <w:tcPr>
            <w:tcW w:w="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jc w:val="right"/>
              <w:ind w:right="136"/>
              <w:spacing w:after="0"/>
              <w:rPr>
                <w:sz w:val="20"/>
                <w:szCs w:val="20"/>
                <w:color w:val="auto"/>
              </w:rPr>
            </w:pPr>
            <w:r>
              <w:rPr>
                <w:rFonts w:ascii="Arial" w:cs="Arial" w:eastAsia="Arial" w:hAnsi="Arial"/>
                <w:sz w:val="13"/>
                <w:szCs w:val="13"/>
                <w:color w:val="auto"/>
              </w:rPr>
              <w:t>4,735</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4,375</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19,090</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4,163</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4,406</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color w:val="auto"/>
              </w:rPr>
              <w:t>4,186</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3,886</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16,641</w:t>
            </w:r>
          </w:p>
        </w:tc>
      </w:tr>
      <w:tr>
        <w:trPr>
          <w:trHeight w:val="138"/>
        </w:trPr>
        <w:tc>
          <w:tcPr>
            <w:tcW w:w="840" w:type="dxa"/>
            <w:vAlign w:val="bottom"/>
            <w:tcBorders>
              <w:left w:val="single" w:sz="8" w:color="auto"/>
              <w:right w:val="single" w:sz="8" w:color="auto"/>
            </w:tcBorders>
            <w:gridSpan w:val="2"/>
          </w:tcPr>
          <w:p>
            <w:pPr>
              <w:ind w:left="40"/>
              <w:spacing w:after="0" w:line="138" w:lineRule="exact"/>
              <w:rPr>
                <w:sz w:val="20"/>
                <w:szCs w:val="20"/>
                <w:color w:val="auto"/>
              </w:rPr>
            </w:pPr>
            <w:r>
              <w:rPr>
                <w:rFonts w:ascii="Arial" w:cs="Arial" w:eastAsia="Arial" w:hAnsi="Arial"/>
                <w:sz w:val="13"/>
                <w:szCs w:val="13"/>
                <w:color w:val="auto"/>
              </w:rPr>
              <w:t>Earnings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gridSpan w:val="2"/>
          </w:tcPr>
          <w:p>
            <w:pPr>
              <w:ind w:left="40"/>
              <w:spacing w:after="0" w:line="133" w:lineRule="exact"/>
              <w:rPr>
                <w:sz w:val="20"/>
                <w:szCs w:val="20"/>
                <w:color w:val="auto"/>
              </w:rPr>
            </w:pPr>
            <w:r>
              <w:rPr>
                <w:rFonts w:ascii="Arial" w:cs="Arial" w:eastAsia="Arial" w:hAnsi="Arial"/>
                <w:sz w:val="13"/>
                <w:szCs w:val="13"/>
                <w:color w:val="auto"/>
              </w:rPr>
              <w:t>(loss) from</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gridSpan w:val="2"/>
          </w:tcPr>
          <w:p>
            <w:pPr>
              <w:ind w:left="40"/>
              <w:spacing w:after="0" w:line="133" w:lineRule="exact"/>
              <w:rPr>
                <w:sz w:val="20"/>
                <w:szCs w:val="20"/>
                <w:color w:val="auto"/>
              </w:rPr>
            </w:pPr>
            <w:r>
              <w:rPr>
                <w:rFonts w:ascii="Arial" w:cs="Arial" w:eastAsia="Arial" w:hAnsi="Arial"/>
                <w:sz w:val="13"/>
                <w:szCs w:val="13"/>
                <w:color w:val="auto"/>
              </w:rPr>
              <w:t>continuing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gridSpan w:val="2"/>
          </w:tcPr>
          <w:p>
            <w:pPr>
              <w:ind w:left="40"/>
              <w:spacing w:after="0" w:line="133" w:lineRule="exact"/>
              <w:rPr>
                <w:sz w:val="20"/>
                <w:szCs w:val="20"/>
                <w:color w:val="auto"/>
              </w:rPr>
            </w:pPr>
            <w:r>
              <w:rPr>
                <w:rFonts w:ascii="Arial" w:cs="Arial" w:eastAsia="Arial" w:hAnsi="Arial"/>
                <w:sz w:val="13"/>
                <w:szCs w:val="13"/>
                <w:color w:val="auto"/>
              </w:rPr>
              <w:t>operations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gridSpan w:val="2"/>
          </w:tcPr>
          <w:p>
            <w:pPr>
              <w:ind w:left="40"/>
              <w:spacing w:after="0" w:line="133" w:lineRule="exact"/>
              <w:rPr>
                <w:sz w:val="20"/>
                <w:szCs w:val="20"/>
                <w:color w:val="auto"/>
              </w:rPr>
            </w:pPr>
            <w:r>
              <w:rPr>
                <w:rFonts w:ascii="Arial" w:cs="Arial" w:eastAsia="Arial" w:hAnsi="Arial"/>
                <w:sz w:val="13"/>
                <w:szCs w:val="13"/>
                <w:color w:val="auto"/>
                <w:w w:val="92"/>
              </w:rPr>
              <w:t>before income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8"/>
        </w:trPr>
        <w:tc>
          <w:tcPr>
            <w:tcW w:w="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37,495</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33,273</w:t>
            </w:r>
          </w:p>
        </w:tc>
        <w:tc>
          <w:tcPr>
            <w:tcW w:w="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gridSpan w:val="2"/>
          </w:tcPr>
          <w:p>
            <w:pPr>
              <w:jc w:val="right"/>
              <w:ind w:right="136"/>
              <w:spacing w:after="0"/>
              <w:rPr>
                <w:sz w:val="20"/>
                <w:szCs w:val="20"/>
                <w:color w:val="auto"/>
              </w:rPr>
            </w:pPr>
            <w:r>
              <w:rPr>
                <w:rFonts w:ascii="Arial" w:cs="Arial" w:eastAsia="Arial" w:hAnsi="Arial"/>
                <w:sz w:val="13"/>
                <w:szCs w:val="13"/>
                <w:color w:val="auto"/>
              </w:rPr>
              <w:t>38,601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30,054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139,424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38,862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3"/>
                <w:szCs w:val="13"/>
                <w:color w:val="auto"/>
              </w:rPr>
              <w:t>17,459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color w:val="auto"/>
              </w:rPr>
              <w:t>27,061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color w:val="auto"/>
                <w:w w:val="96"/>
              </w:rPr>
              <w:t>(182,129)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color w:val="auto"/>
              </w:rPr>
              <w:t>(98,746)</w:t>
            </w:r>
          </w:p>
        </w:tc>
      </w:tr>
    </w:tbl>
    <w:p>
      <w:pPr>
        <w:sectPr>
          <w:pgSz w:w="11900" w:h="16838" w:orient="portrait"/>
          <w:cols w:equalWidth="0" w:num="1">
            <w:col w:w="10219"/>
          </w:cols>
          <w:pgMar w:left="240" w:top="537"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Aaron Pearce (414) 438-6895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increases dividend to shareholders for the 28th straight year</w:t>
      </w:r>
    </w:p>
    <w:p>
      <w:pPr>
        <w:spacing w:after="0" w:line="330" w:lineRule="exact"/>
        <w:rPr>
          <w:sz w:val="20"/>
          <w:szCs w:val="20"/>
          <w:color w:val="auto"/>
        </w:rPr>
      </w:pPr>
    </w:p>
    <w:p>
      <w:pPr>
        <w:jc w:val="both"/>
        <w:ind w:right="140"/>
        <w:spacing w:after="0" w:line="419" w:lineRule="auto"/>
        <w:rPr>
          <w:sz w:val="20"/>
          <w:szCs w:val="20"/>
          <w:color w:val="auto"/>
        </w:rPr>
      </w:pPr>
      <w:r>
        <w:rPr>
          <w:rFonts w:ascii="Arial" w:cs="Arial" w:eastAsia="Arial" w:hAnsi="Arial"/>
          <w:sz w:val="15"/>
          <w:szCs w:val="15"/>
          <w:color w:val="auto"/>
        </w:rPr>
        <w:t>MILWAUKEE (September 11, 2013)---Brady Corporation's (NYSE: BRC) Board of Directors has announced an increase in its annual dividend to shareholders of the company's Class A Common stock from $0.76 per share to $0.78 per share. A quarterly dividend of $0.195 per share will be paid on October 31, 2013 to shareholders of record at the close of business on October 10, 2013. This dividend represents the 28th consecutive annual increase in dividends.</w:t>
      </w:r>
    </w:p>
    <w:p>
      <w:pPr>
        <w:spacing w:after="0" w:line="1" w:lineRule="exact"/>
        <w:rPr>
          <w:sz w:val="20"/>
          <w:szCs w:val="20"/>
          <w:color w:val="auto"/>
        </w:rPr>
      </w:pPr>
    </w:p>
    <w:p>
      <w:pPr>
        <w:ind w:right="140" w:firstLine="740"/>
        <w:spacing w:after="0" w:line="353" w:lineRule="auto"/>
        <w:rPr>
          <w:sz w:val="20"/>
          <w:szCs w:val="20"/>
          <w:color w:val="auto"/>
        </w:rPr>
      </w:pPr>
      <w:r>
        <w:rPr>
          <w:rFonts w:ascii="Arial" w:cs="Arial" w:eastAsia="Arial" w:hAnsi="Arial"/>
          <w:sz w:val="18"/>
          <w:szCs w:val="18"/>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signs, safety devices, printing systems and software, and precision die-cut materials. Founded in 1914, the company has a diverse customer base in electronics, telecommunications, manufacturing, electrical, construction, education, medical and a variety of other industries. Brady is headquartered in Milwaukee, Wisconsin and as of July 31, 2013 employed approximately 7,400 people in its worldwide businesses. Brady stock trades on the New York Stock Exchange under the symbol BRC. More information is available on the Internet at </w:t>
      </w:r>
      <w:r>
        <w:rPr>
          <w:rFonts w:ascii="Arial" w:cs="Arial" w:eastAsia="Arial" w:hAnsi="Arial"/>
          <w:sz w:val="18"/>
          <w:szCs w:val="18"/>
          <w:u w:val="single" w:color="auto"/>
          <w:color w:val="0000FF"/>
        </w:rPr>
        <w:t>www.bradycorp.com.</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40"/>
          </w:cols>
          <w:pgMar w:left="240" w:top="529" w:right="219" w:bottom="1440"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5861685</wp:posOffset>
            </wp:positionV>
            <wp:extent cx="719709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2019-12-05T21:16:54Z</dcterms:created>
  <dcterms:modified xsi:type="dcterms:W3CDTF">2019-12-05T21:16:54Z</dcterms:modified>
</cp:coreProperties>
</file>