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No.31)*</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12/31/2015</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4,553,062</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4,956,917</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4,956,917</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4,956,917/47,041,462=10.5%</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1,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5" w:lineRule="exact"/>
        <w:rPr>
          <w:sz w:val="20"/>
          <w:szCs w:val="20"/>
          <w:color w:val="auto"/>
        </w:rPr>
      </w:pPr>
    </w:p>
    <w:p>
      <w:pPr>
        <w:ind w:left="1700" w:right="431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1, No. 5)</w:t>
      </w:r>
    </w:p>
    <w:p>
      <w:pPr>
        <w:spacing w:after="0" w:line="5" w:lineRule="exact"/>
        <w:rPr>
          <w:rFonts w:ascii="Courier New" w:cs="Courier New" w:eastAsia="Courier New" w:hAnsi="Courier New"/>
          <w:sz w:val="18"/>
          <w:szCs w:val="18"/>
          <w:color w:val="auto"/>
        </w:rPr>
      </w:pPr>
    </w:p>
    <w:p>
      <w:pPr>
        <w:ind w:left="1700" w:right="409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1, No. 6)</w:t>
      </w:r>
    </w:p>
    <w:p>
      <w:pPr>
        <w:spacing w:after="0" w:line="5"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1, No. 7)</w:t>
      </w:r>
    </w:p>
    <w:p>
      <w:pPr>
        <w:spacing w:after="0" w:line="5"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1,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tbl>
      <w:tblPr>
        <w:tblLayout w:type="fixed"/>
        <w:tblInd w:w="0" w:type="dxa"/>
        <w:tblCellMar>
          <w:top w:w="0" w:type="dxa"/>
          <w:left w:w="0" w:type="dxa"/>
          <w:bottom w:w="0" w:type="dxa"/>
          <w:right w:w="0" w:type="dxa"/>
        </w:tblCellMar>
      </w:tblPr>
      <w:tr>
        <w:trPr>
          <w:trHeight w:val="203"/>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date hereof the reporting</w:t>
            </w:r>
          </w:p>
        </w:tc>
        <w:tc>
          <w:tcPr>
            <w:tcW w:w="1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person has ceased</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8"/>
              </w:rPr>
              <w:t>to be the beneficial</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owner of more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class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securities check the following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 Ownership</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on Behalf of Another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w:t>
            </w:r>
          </w:p>
        </w:tc>
      </w:tr>
    </w:tbl>
    <w:p>
      <w:pPr>
        <w:ind w:left="860"/>
        <w:spacing w:after="0" w:line="238" w:lineRule="auto"/>
        <w:rPr>
          <w:sz w:val="20"/>
          <w:szCs w:val="20"/>
          <w:color w:val="auto"/>
        </w:rPr>
      </w:pPr>
      <w:r>
        <w:rPr>
          <w:rFonts w:ascii="Courier New" w:cs="Courier New" w:eastAsia="Courier New" w:hAnsi="Courier New"/>
          <w:sz w:val="18"/>
          <w:szCs w:val="18"/>
          <w:color w:val="auto"/>
        </w:rPr>
        <w:t>Ariel Investments, LLC's adviser clients have the right to receive</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Ariel Fund, a series of Ariel Investment Trust, an open-end management investment company, has an economic interest in more than 5% of the subject securities reported upon this Schedule.</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ind w:left="86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the securities referred to above were acquired and are held in the ordinary</w:t>
      </w:r>
    </w:p>
    <w:p>
      <w:pPr>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w:t>
      </w:r>
    </w:p>
    <w:p>
      <w:pPr>
        <w:spacing w:after="0"/>
        <w:rPr>
          <w:sz w:val="20"/>
          <w:szCs w:val="20"/>
          <w:color w:val="auto"/>
        </w:rPr>
      </w:pPr>
      <w:r>
        <w:rPr>
          <w:rFonts w:ascii="Courier New" w:cs="Courier New" w:eastAsia="Courier New" w:hAnsi="Courier New"/>
          <w:sz w:val="18"/>
          <w:szCs w:val="18"/>
          <w:color w:val="auto"/>
        </w:rPr>
        <w:t>of or with the effect of changing or influencing the control of the issuer of</w:t>
      </w:r>
    </w:p>
    <w:p>
      <w:pPr>
        <w:spacing w:after="0" w:line="237"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w:t>
      </w:r>
    </w:p>
    <w:p>
      <w:pPr>
        <w:spacing w:after="0" w:line="238" w:lineRule="auto"/>
        <w:rPr>
          <w:sz w:val="20"/>
          <w:szCs w:val="20"/>
          <w:color w:val="auto"/>
        </w:rPr>
      </w:pPr>
      <w:r>
        <w:rPr>
          <w:rFonts w:ascii="Courier New" w:cs="Courier New" w:eastAsia="Courier New" w:hAnsi="Courier New"/>
          <w:sz w:val="18"/>
          <w:szCs w:val="18"/>
          <w:color w:val="auto"/>
        </w:rPr>
        <w:t>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999" w:firstLine="843"/>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38" w:lineRule="auto"/>
        <w:rPr>
          <w:sz w:val="20"/>
          <w:szCs w:val="20"/>
          <w:color w:val="auto"/>
        </w:rPr>
      </w:pPr>
      <w:r>
        <w:rPr>
          <w:rFonts w:ascii="Courier New" w:cs="Courier New" w:eastAsia="Courier New" w:hAnsi="Courier New"/>
          <w:sz w:val="18"/>
          <w:szCs w:val="18"/>
          <w:color w:val="auto"/>
        </w:rPr>
        <w:t>ARIEL INVESTMENTS, LLC</w:t>
      </w: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line="237" w:lineRule="auto"/>
        <w:rPr>
          <w:sz w:val="20"/>
          <w:szCs w:val="20"/>
          <w:color w:val="auto"/>
        </w:rPr>
      </w:pPr>
      <w:r>
        <w:rPr>
          <w:rFonts w:ascii="Courier New" w:cs="Courier New" w:eastAsia="Courier New" w:hAnsi="Courier New"/>
          <w:sz w:val="18"/>
          <w:szCs w:val="18"/>
          <w:color w:val="auto"/>
        </w:rPr>
        <w:t>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Wendy D. Fox</w:t>
      </w:r>
    </w:p>
    <w:p>
      <w:pPr>
        <w:ind w:left="860"/>
        <w:spacing w:after="0"/>
        <w:rPr>
          <w:sz w:val="20"/>
          <w:szCs w:val="20"/>
          <w:color w:val="auto"/>
        </w:rPr>
      </w:pPr>
      <w:r>
        <w:rPr>
          <w:rFonts w:ascii="Courier New" w:cs="Courier New" w:eastAsia="Courier New" w:hAnsi="Courier New"/>
          <w:sz w:val="18"/>
          <w:szCs w:val="18"/>
          <w:color w:val="auto"/>
        </w:rPr>
        <w:t>Vice President/Chief Compliance Officer</w:t>
      </w:r>
    </w:p>
    <w:p>
      <w:pPr>
        <w:spacing w:after="0" w:line="20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2019-12-05T16:57:02Z</dcterms:created>
  <dcterms:modified xsi:type="dcterms:W3CDTF">2019-12-05T16:57:02Z</dcterms:modified>
</cp:coreProperties>
</file>