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13G</w:t>
      </w:r>
    </w:p>
    <w:p>
      <w:pPr>
        <w:ind w:left="3580"/>
        <w:spacing w:after="0" w:line="238" w:lineRule="auto"/>
        <w:rPr>
          <w:sz w:val="20"/>
          <w:szCs w:val="20"/>
          <w:color w:val="auto"/>
        </w:rPr>
      </w:pPr>
      <w:r>
        <w:rPr>
          <w:rFonts w:ascii="Courier New" w:cs="Courier New" w:eastAsia="Courier New" w:hAnsi="Courier New"/>
          <w:sz w:val="18"/>
          <w:szCs w:val="18"/>
          <w:color w:val="auto"/>
        </w:rPr>
        <w:t>Rule 13d-102</w:t>
      </w:r>
    </w:p>
    <w:p>
      <w:pPr>
        <w:spacing w:after="0" w:line="202"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779"/>
        <w:spacing w:after="0" w:line="238" w:lineRule="auto"/>
        <w:rPr>
          <w:sz w:val="20"/>
          <w:szCs w:val="20"/>
          <w:color w:val="auto"/>
        </w:rPr>
      </w:pPr>
      <w:r>
        <w:rPr>
          <w:rFonts w:ascii="Courier New" w:cs="Courier New" w:eastAsia="Courier New" w:hAnsi="Courier New"/>
          <w:sz w:val="18"/>
          <w:szCs w:val="18"/>
          <w:color w:val="auto"/>
        </w:rPr>
        <w:t>(Amendment No. 5)*</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Brady Corp</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Common Stock</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104674106</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12/31/2008</w:t>
      </w:r>
    </w:p>
    <w:p>
      <w:pPr>
        <w:spacing w:after="0" w:line="4"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2739" w:firstLine="632"/>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tbl>
      <w:tblPr>
        <w:tblLayout w:type="fixed"/>
        <w:tblInd w:w="3280" w:type="dxa"/>
        <w:tblCellMar>
          <w:top w:w="0" w:type="dxa"/>
          <w:left w:w="0" w:type="dxa"/>
          <w:bottom w:w="0" w:type="dxa"/>
          <w:right w:w="0" w:type="dxa"/>
        </w:tblCellMar>
      </w:tblPr>
      <w:tr>
        <w:trPr>
          <w:trHeight w:val="204"/>
        </w:trPr>
        <w:tc>
          <w:tcPr>
            <w:tcW w:w="1520" w:type="dxa"/>
            <w:vAlign w:val="bottom"/>
            <w:gridSpan w:val="3"/>
          </w:tcPr>
          <w:p>
            <w:pPr>
              <w:spacing w:after="0"/>
              <w:rPr>
                <w:sz w:val="20"/>
                <w:szCs w:val="20"/>
                <w:color w:val="auto"/>
              </w:rPr>
            </w:pPr>
            <w:r>
              <w:rPr>
                <w:rFonts w:ascii="Courier New" w:cs="Courier New" w:eastAsia="Courier New" w:hAnsi="Courier New"/>
                <w:sz w:val="18"/>
                <w:szCs w:val="18"/>
                <w:color w:val="auto"/>
                <w:w w:val="99"/>
              </w:rPr>
              <w:t>|X| Rule 13d-1</w:t>
            </w:r>
          </w:p>
        </w:tc>
        <w:tc>
          <w:tcPr>
            <w:tcW w:w="360" w:type="dxa"/>
            <w:vAlign w:val="bottom"/>
          </w:tcPr>
          <w:p>
            <w:pPr>
              <w:ind w:left="60"/>
              <w:spacing w:after="0"/>
              <w:rPr>
                <w:sz w:val="20"/>
                <w:szCs w:val="20"/>
                <w:color w:val="auto"/>
              </w:rPr>
            </w:pPr>
            <w:r>
              <w:rPr>
                <w:rFonts w:ascii="Courier New" w:cs="Courier New" w:eastAsia="Courier New" w:hAnsi="Courier New"/>
                <w:sz w:val="18"/>
                <w:szCs w:val="18"/>
                <w:color w:val="auto"/>
                <w:w w:val="86"/>
              </w:rPr>
              <w:t>(b)</w:t>
            </w:r>
          </w:p>
        </w:tc>
      </w:tr>
      <w:tr>
        <w:trPr>
          <w:trHeight w:val="203"/>
        </w:trPr>
        <w:tc>
          <w:tcPr>
            <w:tcW w:w="360" w:type="dxa"/>
            <w:vAlign w:val="bottom"/>
          </w:tcPr>
          <w:p>
            <w:pPr>
              <w:spacing w:after="0" w:line="203" w:lineRule="exact"/>
              <w:rPr>
                <w:sz w:val="20"/>
                <w:szCs w:val="20"/>
                <w:color w:val="auto"/>
              </w:rPr>
            </w:pPr>
            <w:r>
              <w:rPr>
                <w:rFonts w:ascii="Courier New" w:cs="Courier New" w:eastAsia="Courier New" w:hAnsi="Courier New"/>
                <w:sz w:val="18"/>
                <w:szCs w:val="18"/>
                <w:color w:val="auto"/>
              </w:rPr>
              <w:t>|_|</w:t>
            </w:r>
          </w:p>
        </w:tc>
        <w:tc>
          <w:tcPr>
            <w:tcW w:w="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Rule</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w:t>
            </w:r>
          </w:p>
        </w:tc>
        <w:tc>
          <w:tcPr>
            <w:tcW w:w="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86"/>
              </w:rPr>
              <w:t>(c)</w:t>
            </w:r>
          </w:p>
        </w:tc>
      </w:tr>
      <w:tr>
        <w:trPr>
          <w:trHeight w:val="203"/>
        </w:trPr>
        <w:tc>
          <w:tcPr>
            <w:tcW w:w="360" w:type="dxa"/>
            <w:vAlign w:val="bottom"/>
          </w:tcPr>
          <w:p>
            <w:pPr>
              <w:spacing w:after="0" w:line="203" w:lineRule="exact"/>
              <w:rPr>
                <w:sz w:val="20"/>
                <w:szCs w:val="20"/>
                <w:color w:val="auto"/>
              </w:rPr>
            </w:pPr>
            <w:r>
              <w:rPr>
                <w:rFonts w:ascii="Courier New" w:cs="Courier New" w:eastAsia="Courier New" w:hAnsi="Courier New"/>
                <w:sz w:val="18"/>
                <w:szCs w:val="18"/>
                <w:color w:val="auto"/>
              </w:rPr>
              <w:t>|_|</w:t>
            </w:r>
          </w:p>
        </w:tc>
        <w:tc>
          <w:tcPr>
            <w:tcW w:w="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Rule</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w:t>
            </w:r>
          </w:p>
        </w:tc>
        <w:tc>
          <w:tcPr>
            <w:tcW w:w="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86"/>
              </w:rPr>
              <w:t>(d)</w:t>
            </w:r>
          </w:p>
        </w:tc>
      </w:tr>
    </w:tbl>
    <w:p>
      <w:pPr>
        <w:spacing w:after="0" w:line="201"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right="2199" w:firstLine="632"/>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7" w:lineRule="exact"/>
        <w:rPr>
          <w:sz w:val="24"/>
          <w:szCs w:val="24"/>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Page 1 of 7 Pages</w:t>
      </w:r>
    </w:p>
    <w:p>
      <w:pPr>
        <w:spacing w:after="0" w:line="200" w:lineRule="exact"/>
        <w:rPr>
          <w:sz w:val="24"/>
          <w:szCs w:val="24"/>
          <w:color w:val="auto"/>
        </w:rPr>
      </w:pPr>
    </w:p>
    <w:p>
      <w:pPr>
        <w:spacing w:after="0" w:line="37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104674106</w:t>
      </w:r>
    </w:p>
    <w:p>
      <w:pPr>
        <w:spacing w:after="0" w:line="4" w:lineRule="exact"/>
        <w:rPr>
          <w:sz w:val="24"/>
          <w:szCs w:val="24"/>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Names of reporting persons.</w:t>
      </w:r>
    </w:p>
    <w:p>
      <w:pPr>
        <w:spacing w:after="0" w:line="202"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Neuberger Berman Inc.</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4"/>
          <w:szCs w:val="24"/>
          <w:color w:val="auto"/>
        </w:rPr>
      </w:pPr>
    </w:p>
    <w:p>
      <w:pPr>
        <w:jc w:val="right"/>
        <w:ind w:right="1779"/>
        <w:spacing w:after="0" w:line="235" w:lineRule="auto"/>
        <w:rPr>
          <w:sz w:val="20"/>
          <w:szCs w:val="20"/>
          <w:color w:val="auto"/>
        </w:rPr>
      </w:pPr>
      <w:r>
        <w:rPr>
          <w:rFonts w:ascii="Courier New" w:cs="Courier New" w:eastAsia="Courier New" w:hAnsi="Courier New"/>
          <w:sz w:val="18"/>
          <w:szCs w:val="18"/>
          <w:color w:val="auto"/>
        </w:rPr>
        <w:t>(2) Check the appropriate box if a member of a group (see instructions)   (a)|_| (b)|X|</w:t>
      </w:r>
    </w:p>
    <w:p>
      <w:pPr>
        <w:spacing w:after="0" w:line="6" w:lineRule="exact"/>
        <w:rPr>
          <w:sz w:val="24"/>
          <w:szCs w:val="24"/>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w:t>
      </w:r>
    </w:p>
    <w:p>
      <w:pPr>
        <w:spacing w:after="0" w:line="202"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Number of shares beneficially owned by each reporting person with:</w:t>
      </w:r>
    </w:p>
    <w:p>
      <w:pPr>
        <w:spacing w:after="0" w:line="207" w:lineRule="exact"/>
        <w:rPr>
          <w:rFonts w:ascii="Courier New" w:cs="Courier New" w:eastAsia="Courier New" w:hAnsi="Courier New"/>
          <w:sz w:val="16"/>
          <w:szCs w:val="16"/>
          <w:color w:val="auto"/>
        </w:rPr>
      </w:pPr>
    </w:p>
    <w:p>
      <w:pPr>
        <w:ind w:left="860" w:right="7479" w:hanging="431"/>
        <w:spacing w:after="0" w:line="235" w:lineRule="auto"/>
        <w:tabs>
          <w:tab w:leader="none" w:pos="8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63629</w:t>
      </w:r>
    </w:p>
    <w:p>
      <w:pPr>
        <w:spacing w:after="0" w:line="208" w:lineRule="exact"/>
        <w:rPr>
          <w:rFonts w:ascii="Courier New" w:cs="Courier New" w:eastAsia="Courier New" w:hAnsi="Courier New"/>
          <w:sz w:val="18"/>
          <w:szCs w:val="18"/>
          <w:color w:val="auto"/>
        </w:rPr>
      </w:pPr>
    </w:p>
    <w:p>
      <w:pPr>
        <w:ind w:left="860" w:right="7259" w:hanging="431"/>
        <w:spacing w:after="0" w:line="235" w:lineRule="auto"/>
        <w:tabs>
          <w:tab w:leader="none" w:pos="8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2610689</w:t>
      </w:r>
    </w:p>
    <w:p>
      <w:pPr>
        <w:spacing w:after="0" w:line="208" w:lineRule="exact"/>
        <w:rPr>
          <w:rFonts w:ascii="Courier New" w:cs="Courier New" w:eastAsia="Courier New" w:hAnsi="Courier New"/>
          <w:sz w:val="18"/>
          <w:szCs w:val="18"/>
          <w:color w:val="auto"/>
        </w:rPr>
      </w:pPr>
    </w:p>
    <w:p>
      <w:pPr>
        <w:ind w:left="860" w:right="6939" w:hanging="431"/>
        <w:spacing w:after="0" w:line="235" w:lineRule="auto"/>
        <w:tabs>
          <w:tab w:leader="none" w:pos="8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w:t>
      </w:r>
    </w:p>
    <w:p>
      <w:pPr>
        <w:spacing w:after="0" w:line="208" w:lineRule="exact"/>
        <w:rPr>
          <w:rFonts w:ascii="Courier New" w:cs="Courier New" w:eastAsia="Courier New" w:hAnsi="Courier New"/>
          <w:sz w:val="18"/>
          <w:szCs w:val="18"/>
          <w:color w:val="auto"/>
        </w:rPr>
      </w:pPr>
    </w:p>
    <w:p>
      <w:pPr>
        <w:ind w:left="860" w:right="6739" w:hanging="431"/>
        <w:spacing w:after="0" w:line="235" w:lineRule="auto"/>
        <w:tabs>
          <w:tab w:leader="none" w:pos="8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3098828</w:t>
      </w:r>
    </w:p>
    <w:p>
      <w:pPr>
        <w:spacing w:after="0" w:line="208"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spacing w:after="0" w:line="202"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3098828</w:t>
      </w:r>
    </w:p>
    <w:p>
      <w:pPr>
        <w:sectPr>
          <w:pgSz w:w="11900" w:h="16838" w:orient="portrait"/>
          <w:cols w:equalWidth="0" w:num="1">
            <w:col w:w="10219"/>
          </w:cols>
          <w:pgMar w:left="240" w:top="244"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540" w:right="1879" w:hanging="539"/>
        <w:spacing w:after="0" w:line="235" w:lineRule="auto"/>
        <w:tabs>
          <w:tab w:leader="none" w:pos="520" w:val="left"/>
        </w:tabs>
        <w:rPr>
          <w:sz w:val="20"/>
          <w:szCs w:val="20"/>
          <w:color w:val="auto"/>
        </w:rPr>
      </w:pPr>
      <w:r>
        <w:rPr>
          <w:rFonts w:ascii="Courier New" w:cs="Courier New" w:eastAsia="Courier New" w:hAnsi="Courier New"/>
          <w:sz w:val="18"/>
          <w:szCs w:val="18"/>
          <w:color w:val="auto"/>
        </w:rPr>
        <w:t>(10)</w:t>
        <w:tab/>
        <w:t>Check if the aggregate amount in Row (9) excludes certain shares |_| (see instructions).</w:t>
      </w:r>
    </w:p>
    <w:p>
      <w:pPr>
        <w:spacing w:after="0" w:line="6"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6.355%</w:t>
      </w:r>
    </w:p>
    <w:p>
      <w:pPr>
        <w:spacing w:after="0" w:line="4"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 (see instructions).</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HC</w:t>
      </w:r>
    </w:p>
    <w:p>
      <w:pPr>
        <w:spacing w:after="0" w:line="4"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Page 2 of 7 Pages</w:t>
      </w:r>
    </w:p>
    <w:p>
      <w:pPr>
        <w:sectPr>
          <w:pgSz w:w="11900" w:h="16838" w:orient="portrait"/>
          <w:cols w:equalWidth="0" w:num="1">
            <w:col w:w="10219"/>
          </w:cols>
          <w:pgMar w:left="240" w:top="142"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CUSIP No. 104674106</w:t>
      </w:r>
    </w:p>
    <w:p>
      <w:pPr>
        <w:spacing w:after="0" w:line="4"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Names of reporting persons.</w:t>
      </w:r>
    </w:p>
    <w:p>
      <w:pPr>
        <w:spacing w:after="0" w:line="20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Neuberger Berman, LLC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jc w:val="right"/>
        <w:ind w:right="1779"/>
        <w:spacing w:after="0" w:line="235" w:lineRule="auto"/>
        <w:rPr>
          <w:sz w:val="20"/>
          <w:szCs w:val="20"/>
          <w:color w:val="auto"/>
        </w:rPr>
      </w:pPr>
      <w:r>
        <w:rPr>
          <w:rFonts w:ascii="Courier New" w:cs="Courier New" w:eastAsia="Courier New" w:hAnsi="Courier New"/>
          <w:sz w:val="18"/>
          <w:szCs w:val="18"/>
          <w:color w:val="auto"/>
        </w:rPr>
        <w:t>(2) Check the appropriate box if a member of a group (see instructions)   (a)|_| (b)|X|</w:t>
      </w:r>
    </w:p>
    <w:p>
      <w:pPr>
        <w:spacing w:after="0" w:line="6"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w:t>
      </w:r>
    </w:p>
    <w:p>
      <w:pPr>
        <w:spacing w:after="0" w:line="20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0"/>
          <w:szCs w:val="20"/>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Number of shares beneficially owned by each reporting person with:</w:t>
      </w:r>
    </w:p>
    <w:p>
      <w:pPr>
        <w:spacing w:after="0" w:line="207" w:lineRule="exact"/>
        <w:rPr>
          <w:rFonts w:ascii="Courier New" w:cs="Courier New" w:eastAsia="Courier New" w:hAnsi="Courier New"/>
          <w:sz w:val="16"/>
          <w:szCs w:val="16"/>
          <w:color w:val="auto"/>
        </w:rPr>
      </w:pPr>
    </w:p>
    <w:p>
      <w:pPr>
        <w:ind w:left="860" w:right="7479" w:hanging="431"/>
        <w:spacing w:after="0" w:line="235" w:lineRule="auto"/>
        <w:tabs>
          <w:tab w:leader="none" w:pos="86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63629</w:t>
      </w:r>
    </w:p>
    <w:p>
      <w:pPr>
        <w:spacing w:after="0" w:line="208" w:lineRule="exact"/>
        <w:rPr>
          <w:rFonts w:ascii="Courier New" w:cs="Courier New" w:eastAsia="Courier New" w:hAnsi="Courier New"/>
          <w:sz w:val="18"/>
          <w:szCs w:val="18"/>
          <w:color w:val="auto"/>
        </w:rPr>
      </w:pPr>
    </w:p>
    <w:p>
      <w:pPr>
        <w:ind w:left="860" w:right="7259" w:hanging="431"/>
        <w:spacing w:after="0" w:line="235" w:lineRule="auto"/>
        <w:tabs>
          <w:tab w:leader="none" w:pos="86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2610689</w:t>
      </w:r>
    </w:p>
    <w:p>
      <w:pPr>
        <w:spacing w:after="0" w:line="208" w:lineRule="exact"/>
        <w:rPr>
          <w:rFonts w:ascii="Courier New" w:cs="Courier New" w:eastAsia="Courier New" w:hAnsi="Courier New"/>
          <w:sz w:val="18"/>
          <w:szCs w:val="18"/>
          <w:color w:val="auto"/>
        </w:rPr>
      </w:pPr>
    </w:p>
    <w:p>
      <w:pPr>
        <w:ind w:left="860" w:right="6939" w:hanging="431"/>
        <w:spacing w:after="0" w:line="235" w:lineRule="auto"/>
        <w:tabs>
          <w:tab w:leader="none" w:pos="86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w:t>
      </w:r>
    </w:p>
    <w:p>
      <w:pPr>
        <w:spacing w:after="0" w:line="208" w:lineRule="exact"/>
        <w:rPr>
          <w:rFonts w:ascii="Courier New" w:cs="Courier New" w:eastAsia="Courier New" w:hAnsi="Courier New"/>
          <w:sz w:val="18"/>
          <w:szCs w:val="18"/>
          <w:color w:val="auto"/>
        </w:rPr>
      </w:pPr>
    </w:p>
    <w:p>
      <w:pPr>
        <w:ind w:left="860" w:right="6739" w:hanging="431"/>
        <w:spacing w:after="0" w:line="235" w:lineRule="auto"/>
        <w:tabs>
          <w:tab w:leader="none" w:pos="86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3098828</w:t>
      </w:r>
    </w:p>
    <w:p>
      <w:pPr>
        <w:spacing w:after="0" w:line="208"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spacing w:after="0" w:line="20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3098828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540" w:right="1879" w:hanging="539"/>
        <w:spacing w:after="0" w:line="235" w:lineRule="auto"/>
        <w:tabs>
          <w:tab w:leader="none" w:pos="520" w:val="left"/>
        </w:tabs>
        <w:rPr>
          <w:sz w:val="20"/>
          <w:szCs w:val="20"/>
          <w:color w:val="auto"/>
        </w:rPr>
      </w:pPr>
      <w:r>
        <w:rPr>
          <w:rFonts w:ascii="Courier New" w:cs="Courier New" w:eastAsia="Courier New" w:hAnsi="Courier New"/>
          <w:sz w:val="18"/>
          <w:szCs w:val="18"/>
          <w:color w:val="auto"/>
        </w:rPr>
        <w:t>(10)</w:t>
        <w:tab/>
        <w:t>Check if the aggregate amount in Row (9) excludes certain shares |_| (see instructions).</w:t>
      </w:r>
    </w:p>
    <w:p>
      <w:pPr>
        <w:spacing w:after="0" w:line="6" w:lineRule="exact"/>
        <w:rPr>
          <w:sz w:val="20"/>
          <w:szCs w:val="20"/>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6.355%</w:t>
      </w:r>
    </w:p>
    <w:p>
      <w:pPr>
        <w:spacing w:after="0" w:line="4" w:lineRule="exact"/>
        <w:rPr>
          <w:sz w:val="20"/>
          <w:szCs w:val="20"/>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 (see instructions).</w:t>
      </w:r>
    </w:p>
    <w:p>
      <w:pPr>
        <w:spacing w:after="0" w:line="202" w:lineRule="exact"/>
        <w:rPr>
          <w:sz w:val="20"/>
          <w:szCs w:val="20"/>
          <w:color w:val="auto"/>
        </w:rPr>
      </w:pPr>
    </w:p>
    <w:p>
      <w:pPr>
        <w:ind w:left="540"/>
        <w:spacing w:after="0"/>
        <w:tabs>
          <w:tab w:leader="none" w:pos="1560" w:val="left"/>
        </w:tabs>
        <w:rPr>
          <w:sz w:val="20"/>
          <w:szCs w:val="20"/>
          <w:color w:val="auto"/>
        </w:rPr>
      </w:pPr>
      <w:r>
        <w:rPr>
          <w:rFonts w:ascii="Courier New" w:cs="Courier New" w:eastAsia="Courier New" w:hAnsi="Courier New"/>
          <w:sz w:val="18"/>
          <w:szCs w:val="18"/>
          <w:color w:val="auto"/>
        </w:rPr>
        <w:t>BD</w:t>
      </w:r>
      <w:r>
        <w:rPr>
          <w:sz w:val="20"/>
          <w:szCs w:val="20"/>
          <w:color w:val="auto"/>
        </w:rPr>
        <w:tab/>
      </w:r>
      <w:r>
        <w:rPr>
          <w:rFonts w:ascii="Courier New" w:cs="Courier New" w:eastAsia="Courier New" w:hAnsi="Courier New"/>
          <w:sz w:val="18"/>
          <w:szCs w:val="18"/>
          <w:color w:val="auto"/>
        </w:rPr>
        <w:t>IA</w:t>
      </w:r>
    </w:p>
    <w:p>
      <w:pPr>
        <w:spacing w:after="0" w:line="4" w:lineRule="exact"/>
        <w:rPr>
          <w:sz w:val="20"/>
          <w:szCs w:val="20"/>
          <w:color w:val="auto"/>
        </w:rPr>
      </w:pPr>
    </w:p>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Page 3 of 7 Pages</w:t>
      </w:r>
    </w:p>
    <w:p>
      <w:pPr>
        <w:sectPr>
          <w:pgSz w:w="11900" w:h="16838" w:orient="portrait"/>
          <w:cols w:equalWidth="0" w:num="1">
            <w:col w:w="10219"/>
          </w:cols>
          <w:pgMar w:left="240" w:top="717"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CUSIP No. 104674106</w:t>
      </w:r>
    </w:p>
    <w:p>
      <w:pPr>
        <w:spacing w:after="0" w:line="4" w:lineRule="exact"/>
        <w:rPr>
          <w:sz w:val="20"/>
          <w:szCs w:val="20"/>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Names of reporting persons.</w:t>
      </w:r>
    </w:p>
    <w:p>
      <w:pPr>
        <w:spacing w:after="0" w:line="20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Neuberger Berman Management LLC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jc w:val="right"/>
        <w:ind w:right="1779"/>
        <w:spacing w:after="0" w:line="235" w:lineRule="auto"/>
        <w:rPr>
          <w:sz w:val="20"/>
          <w:szCs w:val="20"/>
          <w:color w:val="auto"/>
        </w:rPr>
      </w:pPr>
      <w:r>
        <w:rPr>
          <w:rFonts w:ascii="Courier New" w:cs="Courier New" w:eastAsia="Courier New" w:hAnsi="Courier New"/>
          <w:sz w:val="18"/>
          <w:szCs w:val="18"/>
          <w:color w:val="auto"/>
        </w:rPr>
        <w:t>(2) Check the appropriate box if a member of a group (see instructions)   (a)|_| (b)|X|</w:t>
      </w:r>
    </w:p>
    <w:p>
      <w:pPr>
        <w:spacing w:after="0" w:line="6" w:lineRule="exact"/>
        <w:rPr>
          <w:sz w:val="20"/>
          <w:szCs w:val="20"/>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w:t>
      </w:r>
    </w:p>
    <w:p>
      <w:pPr>
        <w:spacing w:after="0" w:line="20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New York</w:t>
      </w:r>
    </w:p>
    <w:p>
      <w:pPr>
        <w:spacing w:after="0" w:line="4" w:lineRule="exact"/>
        <w:rPr>
          <w:sz w:val="20"/>
          <w:szCs w:val="20"/>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Number of shares beneficially owned by each reporting person with:</w:t>
      </w:r>
    </w:p>
    <w:p>
      <w:pPr>
        <w:spacing w:after="0" w:line="207" w:lineRule="exact"/>
        <w:rPr>
          <w:rFonts w:ascii="Courier New" w:cs="Courier New" w:eastAsia="Courier New" w:hAnsi="Courier New"/>
          <w:sz w:val="16"/>
          <w:szCs w:val="16"/>
          <w:color w:val="auto"/>
        </w:rPr>
      </w:pPr>
    </w:p>
    <w:p>
      <w:pPr>
        <w:ind w:left="860" w:right="7479" w:hanging="431"/>
        <w:spacing w:after="0" w:line="235" w:lineRule="auto"/>
        <w:tabs>
          <w:tab w:leader="none" w:pos="86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w:t>
      </w:r>
    </w:p>
    <w:p>
      <w:pPr>
        <w:spacing w:after="0" w:line="208" w:lineRule="exact"/>
        <w:rPr>
          <w:rFonts w:ascii="Courier New" w:cs="Courier New" w:eastAsia="Courier New" w:hAnsi="Courier New"/>
          <w:sz w:val="18"/>
          <w:szCs w:val="18"/>
          <w:color w:val="auto"/>
        </w:rPr>
      </w:pPr>
    </w:p>
    <w:p>
      <w:pPr>
        <w:ind w:left="860" w:right="7259" w:hanging="431"/>
        <w:spacing w:after="0" w:line="235" w:lineRule="auto"/>
        <w:tabs>
          <w:tab w:leader="none" w:pos="86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2610689</w:t>
      </w:r>
    </w:p>
    <w:p>
      <w:pPr>
        <w:spacing w:after="0" w:line="208" w:lineRule="exact"/>
        <w:rPr>
          <w:rFonts w:ascii="Courier New" w:cs="Courier New" w:eastAsia="Courier New" w:hAnsi="Courier New"/>
          <w:sz w:val="18"/>
          <w:szCs w:val="18"/>
          <w:color w:val="auto"/>
        </w:rPr>
      </w:pPr>
    </w:p>
    <w:p>
      <w:pPr>
        <w:ind w:left="860" w:right="6939" w:hanging="431"/>
        <w:spacing w:after="0" w:line="235" w:lineRule="auto"/>
        <w:tabs>
          <w:tab w:leader="none" w:pos="86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w:t>
      </w:r>
    </w:p>
    <w:p>
      <w:pPr>
        <w:spacing w:after="0" w:line="208" w:lineRule="exact"/>
        <w:rPr>
          <w:rFonts w:ascii="Courier New" w:cs="Courier New" w:eastAsia="Courier New" w:hAnsi="Courier New"/>
          <w:sz w:val="18"/>
          <w:szCs w:val="18"/>
          <w:color w:val="auto"/>
        </w:rPr>
      </w:pPr>
    </w:p>
    <w:p>
      <w:pPr>
        <w:ind w:left="860" w:right="6739" w:hanging="431"/>
        <w:spacing w:after="0" w:line="235" w:lineRule="auto"/>
        <w:tabs>
          <w:tab w:leader="none" w:pos="86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2610689</w:t>
      </w:r>
    </w:p>
    <w:p>
      <w:pPr>
        <w:spacing w:after="0" w:line="208"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spacing w:after="0" w:line="20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2610689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540" w:right="1879" w:hanging="539"/>
        <w:spacing w:after="0" w:line="235" w:lineRule="auto"/>
        <w:tabs>
          <w:tab w:leader="none" w:pos="520" w:val="left"/>
        </w:tabs>
        <w:rPr>
          <w:sz w:val="20"/>
          <w:szCs w:val="20"/>
          <w:color w:val="auto"/>
        </w:rPr>
      </w:pPr>
      <w:r>
        <w:rPr>
          <w:rFonts w:ascii="Courier New" w:cs="Courier New" w:eastAsia="Courier New" w:hAnsi="Courier New"/>
          <w:sz w:val="18"/>
          <w:szCs w:val="18"/>
          <w:color w:val="auto"/>
        </w:rPr>
        <w:t>(10)</w:t>
        <w:tab/>
        <w:t>Check if the aggregate amount in Row (9) excludes certain shares |_| (see instructions).</w:t>
      </w:r>
    </w:p>
    <w:p>
      <w:pPr>
        <w:spacing w:after="0" w:line="6" w:lineRule="exact"/>
        <w:rPr>
          <w:sz w:val="20"/>
          <w:szCs w:val="20"/>
          <w:color w:val="auto"/>
        </w:rPr>
      </w:pPr>
    </w:p>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5.3543%</w:t>
      </w:r>
    </w:p>
    <w:p>
      <w:pPr>
        <w:spacing w:after="0" w:line="4" w:lineRule="exact"/>
        <w:rPr>
          <w:sz w:val="20"/>
          <w:szCs w:val="20"/>
          <w:color w:val="auto"/>
        </w:rPr>
      </w:pPr>
    </w:p>
    <w:p>
      <w:pPr>
        <w:ind w:left="220" w:hanging="212"/>
        <w:spacing w:after="0"/>
        <w:tabs>
          <w:tab w:leader="none" w:pos="2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 (see instructions).</w:t>
      </w:r>
    </w:p>
    <w:p>
      <w:pPr>
        <w:spacing w:after="0" w:line="202" w:lineRule="exact"/>
        <w:rPr>
          <w:sz w:val="20"/>
          <w:szCs w:val="20"/>
          <w:color w:val="auto"/>
        </w:rPr>
      </w:pPr>
    </w:p>
    <w:p>
      <w:pPr>
        <w:ind w:left="540"/>
        <w:spacing w:after="0"/>
        <w:tabs>
          <w:tab w:leader="none" w:pos="1560" w:val="left"/>
        </w:tabs>
        <w:rPr>
          <w:sz w:val="20"/>
          <w:szCs w:val="20"/>
          <w:color w:val="auto"/>
        </w:rPr>
      </w:pPr>
      <w:r>
        <w:rPr>
          <w:rFonts w:ascii="Courier New" w:cs="Courier New" w:eastAsia="Courier New" w:hAnsi="Courier New"/>
          <w:sz w:val="18"/>
          <w:szCs w:val="18"/>
          <w:color w:val="auto"/>
        </w:rPr>
        <w:t>BD</w:t>
      </w:r>
      <w:r>
        <w:rPr>
          <w:sz w:val="20"/>
          <w:szCs w:val="20"/>
          <w:color w:val="auto"/>
        </w:rPr>
        <w:tab/>
      </w:r>
      <w:r>
        <w:rPr>
          <w:rFonts w:ascii="Courier New" w:cs="Courier New" w:eastAsia="Courier New" w:hAnsi="Courier New"/>
          <w:sz w:val="18"/>
          <w:szCs w:val="18"/>
          <w:color w:val="auto"/>
        </w:rPr>
        <w:t>IA</w:t>
      </w:r>
    </w:p>
    <w:p>
      <w:pPr>
        <w:spacing w:after="0" w:line="4" w:lineRule="exact"/>
        <w:rPr>
          <w:sz w:val="20"/>
          <w:szCs w:val="20"/>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Page 4 of 7 Pages</w:t>
      </w:r>
    </w:p>
    <w:p>
      <w:pPr>
        <w:sectPr>
          <w:pgSz w:w="11900" w:h="16838" w:orient="portrait"/>
          <w:cols w:equalWidth="0" w:num="1">
            <w:col w:w="10219"/>
          </w:cols>
          <w:pgMar w:left="240" w:top="717"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CUSIP No. 104674106</w:t>
      </w:r>
    </w:p>
    <w:p>
      <w:pPr>
        <w:spacing w:after="0" w:line="4" w:lineRule="exact"/>
        <w:rPr>
          <w:sz w:val="20"/>
          <w:szCs w:val="20"/>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Names of reporting persons.</w:t>
      </w:r>
    </w:p>
    <w:p>
      <w:pPr>
        <w:spacing w:after="0" w:line="20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Neuberger Berman Equity Funds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jc w:val="right"/>
        <w:ind w:right="1779"/>
        <w:spacing w:after="0" w:line="235" w:lineRule="auto"/>
        <w:rPr>
          <w:sz w:val="20"/>
          <w:szCs w:val="20"/>
          <w:color w:val="auto"/>
        </w:rPr>
      </w:pPr>
      <w:r>
        <w:rPr>
          <w:rFonts w:ascii="Courier New" w:cs="Courier New" w:eastAsia="Courier New" w:hAnsi="Courier New"/>
          <w:sz w:val="18"/>
          <w:szCs w:val="18"/>
          <w:color w:val="auto"/>
        </w:rPr>
        <w:t>(2) Check the appropriate box if a member of a group (see instructions)   (a)|_| (b)|X|</w:t>
      </w:r>
    </w:p>
    <w:p>
      <w:pPr>
        <w:spacing w:after="0" w:line="6" w:lineRule="exact"/>
        <w:rPr>
          <w:sz w:val="20"/>
          <w:szCs w:val="20"/>
          <w:color w:val="auto"/>
        </w:rPr>
      </w:pP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w:t>
      </w:r>
    </w:p>
    <w:p>
      <w:pPr>
        <w:spacing w:after="0" w:line="20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0"/>
          <w:szCs w:val="20"/>
          <w:color w:val="auto"/>
        </w:rPr>
      </w:pPr>
    </w:p>
    <w:p>
      <w:pPr>
        <w:ind w:left="220" w:hanging="212"/>
        <w:spacing w:after="0"/>
        <w:tabs>
          <w:tab w:leader="none" w:pos="22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Number of shares beneficially owned by each reporting person with:</w:t>
      </w:r>
    </w:p>
    <w:p>
      <w:pPr>
        <w:spacing w:after="0" w:line="207" w:lineRule="exact"/>
        <w:rPr>
          <w:rFonts w:ascii="Courier New" w:cs="Courier New" w:eastAsia="Courier New" w:hAnsi="Courier New"/>
          <w:sz w:val="16"/>
          <w:szCs w:val="16"/>
          <w:color w:val="auto"/>
        </w:rPr>
      </w:pPr>
    </w:p>
    <w:p>
      <w:pPr>
        <w:ind w:left="860" w:right="7479" w:hanging="431"/>
        <w:spacing w:after="0" w:line="235" w:lineRule="auto"/>
        <w:tabs>
          <w:tab w:leader="none" w:pos="860"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w:t>
      </w:r>
    </w:p>
    <w:p>
      <w:pPr>
        <w:spacing w:after="0" w:line="208" w:lineRule="exact"/>
        <w:rPr>
          <w:rFonts w:ascii="Courier New" w:cs="Courier New" w:eastAsia="Courier New" w:hAnsi="Courier New"/>
          <w:sz w:val="18"/>
          <w:szCs w:val="18"/>
          <w:color w:val="auto"/>
        </w:rPr>
      </w:pPr>
    </w:p>
    <w:p>
      <w:pPr>
        <w:ind w:left="860" w:right="7259" w:hanging="431"/>
        <w:spacing w:after="0" w:line="235" w:lineRule="auto"/>
        <w:tabs>
          <w:tab w:leader="none" w:pos="860"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2610689</w:t>
      </w:r>
    </w:p>
    <w:p>
      <w:pPr>
        <w:spacing w:after="0" w:line="208" w:lineRule="exact"/>
        <w:rPr>
          <w:rFonts w:ascii="Courier New" w:cs="Courier New" w:eastAsia="Courier New" w:hAnsi="Courier New"/>
          <w:sz w:val="18"/>
          <w:szCs w:val="18"/>
          <w:color w:val="auto"/>
        </w:rPr>
      </w:pPr>
    </w:p>
    <w:p>
      <w:pPr>
        <w:ind w:left="860" w:right="6939" w:hanging="431"/>
        <w:spacing w:after="0" w:line="235" w:lineRule="auto"/>
        <w:tabs>
          <w:tab w:leader="none" w:pos="860"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w:t>
      </w:r>
    </w:p>
    <w:p>
      <w:pPr>
        <w:spacing w:after="0" w:line="208" w:lineRule="exact"/>
        <w:rPr>
          <w:rFonts w:ascii="Courier New" w:cs="Courier New" w:eastAsia="Courier New" w:hAnsi="Courier New"/>
          <w:sz w:val="18"/>
          <w:szCs w:val="18"/>
          <w:color w:val="auto"/>
        </w:rPr>
      </w:pPr>
    </w:p>
    <w:p>
      <w:pPr>
        <w:ind w:left="860" w:right="6739" w:hanging="431"/>
        <w:spacing w:after="0" w:line="235" w:lineRule="auto"/>
        <w:tabs>
          <w:tab w:leader="none" w:pos="860"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2610689</w:t>
      </w:r>
    </w:p>
    <w:p>
      <w:pPr>
        <w:spacing w:after="0" w:line="208"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spacing w:after="0" w:line="20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2610689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540" w:right="1879" w:hanging="539"/>
        <w:spacing w:after="0" w:line="235" w:lineRule="auto"/>
        <w:tabs>
          <w:tab w:leader="none" w:pos="520" w:val="left"/>
        </w:tabs>
        <w:rPr>
          <w:sz w:val="20"/>
          <w:szCs w:val="20"/>
          <w:color w:val="auto"/>
        </w:rPr>
      </w:pPr>
      <w:r>
        <w:rPr>
          <w:rFonts w:ascii="Courier New" w:cs="Courier New" w:eastAsia="Courier New" w:hAnsi="Courier New"/>
          <w:sz w:val="18"/>
          <w:szCs w:val="18"/>
          <w:color w:val="auto"/>
        </w:rPr>
        <w:t>(10)</w:t>
        <w:tab/>
        <w:t>Check if the aggregate amount in Row (9) excludes certain shares |_| (see instructions).</w:t>
      </w:r>
    </w:p>
    <w:p>
      <w:pPr>
        <w:spacing w:after="0" w:line="6" w:lineRule="exact"/>
        <w:rPr>
          <w:sz w:val="20"/>
          <w:szCs w:val="20"/>
          <w:color w:val="auto"/>
        </w:rPr>
      </w:pPr>
    </w:p>
    <w:p>
      <w:pPr>
        <w:ind w:left="220" w:hanging="212"/>
        <w:spacing w:after="0"/>
        <w:tabs>
          <w:tab w:leader="none" w:pos="22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5.3543%</w:t>
      </w:r>
    </w:p>
    <w:p>
      <w:pPr>
        <w:spacing w:after="0" w:line="4" w:lineRule="exact"/>
        <w:rPr>
          <w:sz w:val="20"/>
          <w:szCs w:val="20"/>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 (see instructions).</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IV</w:t>
      </w:r>
    </w:p>
    <w:p>
      <w:pPr>
        <w:spacing w:after="0" w:line="4" w:lineRule="exact"/>
        <w:rPr>
          <w:sz w:val="20"/>
          <w:szCs w:val="20"/>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Page 5 of 7 Pages</w:t>
      </w:r>
    </w:p>
    <w:p>
      <w:pPr>
        <w:sectPr>
          <w:pgSz w:w="11900" w:h="16838" w:orient="portrait"/>
          <w:cols w:equalWidth="0" w:num="1">
            <w:col w:w="10219"/>
          </w:cols>
          <w:pgMar w:left="240" w:top="717"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Brady Corp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6555 W Good Hope Rd</w:t>
      </w:r>
    </w:p>
    <w:p>
      <w:pPr>
        <w:ind w:left="1160"/>
        <w:spacing w:after="0" w:line="238" w:lineRule="auto"/>
        <w:rPr>
          <w:sz w:val="20"/>
          <w:szCs w:val="20"/>
          <w:color w:val="auto"/>
        </w:rPr>
      </w:pPr>
      <w:r>
        <w:rPr>
          <w:rFonts w:ascii="Courier New" w:cs="Courier New" w:eastAsia="Courier New" w:hAnsi="Courier New"/>
          <w:sz w:val="18"/>
          <w:szCs w:val="18"/>
          <w:color w:val="auto"/>
        </w:rPr>
        <w:t>PO Box 571</w:t>
      </w:r>
    </w:p>
    <w:p>
      <w:pPr>
        <w:ind w:left="1160"/>
        <w:spacing w:after="0"/>
        <w:rPr>
          <w:sz w:val="20"/>
          <w:szCs w:val="20"/>
          <w:color w:val="auto"/>
        </w:rPr>
      </w:pPr>
      <w:r>
        <w:rPr>
          <w:rFonts w:ascii="Courier New" w:cs="Courier New" w:eastAsia="Courier New" w:hAnsi="Courier New"/>
          <w:sz w:val="18"/>
          <w:szCs w:val="18"/>
          <w:color w:val="auto"/>
        </w:rPr>
        <w:t>Milwaukee, WI 53201-0571</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Neuberger Berman Inc.</w:t>
      </w:r>
    </w:p>
    <w:p>
      <w:pPr>
        <w:ind w:left="1160"/>
        <w:spacing w:after="0" w:line="238" w:lineRule="auto"/>
        <w:rPr>
          <w:sz w:val="20"/>
          <w:szCs w:val="20"/>
          <w:color w:val="auto"/>
        </w:rPr>
      </w:pPr>
      <w:r>
        <w:rPr>
          <w:rFonts w:ascii="Courier New" w:cs="Courier New" w:eastAsia="Courier New" w:hAnsi="Courier New"/>
          <w:sz w:val="18"/>
          <w:szCs w:val="18"/>
          <w:color w:val="auto"/>
        </w:rPr>
        <w:t>Neuberger Berman, LLC</w:t>
      </w:r>
    </w:p>
    <w:p>
      <w:pPr>
        <w:ind w:left="1160"/>
        <w:spacing w:after="0"/>
        <w:rPr>
          <w:sz w:val="20"/>
          <w:szCs w:val="20"/>
          <w:color w:val="auto"/>
        </w:rPr>
      </w:pPr>
      <w:r>
        <w:rPr>
          <w:rFonts w:ascii="Courier New" w:cs="Courier New" w:eastAsia="Courier New" w:hAnsi="Courier New"/>
          <w:sz w:val="18"/>
          <w:szCs w:val="18"/>
          <w:color w:val="auto"/>
        </w:rPr>
        <w:t>Neuberger Berman Management LLC</w:t>
      </w:r>
    </w:p>
    <w:p>
      <w:pPr>
        <w:ind w:left="1160"/>
        <w:spacing w:after="0" w:line="237" w:lineRule="auto"/>
        <w:rPr>
          <w:sz w:val="20"/>
          <w:szCs w:val="20"/>
          <w:color w:val="auto"/>
        </w:rPr>
      </w:pPr>
      <w:r>
        <w:rPr>
          <w:rFonts w:ascii="Courier New" w:cs="Courier New" w:eastAsia="Courier New" w:hAnsi="Courier New"/>
          <w:sz w:val="18"/>
          <w:szCs w:val="18"/>
          <w:color w:val="auto"/>
        </w:rPr>
        <w:t>Neuberger Berman Equity Funds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605 Third Avenue</w:t>
      </w:r>
    </w:p>
    <w:p>
      <w:pPr>
        <w:ind w:left="1160"/>
        <w:spacing w:after="0" w:line="238" w:lineRule="auto"/>
        <w:rPr>
          <w:sz w:val="20"/>
          <w:szCs w:val="20"/>
          <w:color w:val="auto"/>
        </w:rPr>
      </w:pPr>
      <w:r>
        <w:rPr>
          <w:rFonts w:ascii="Courier New" w:cs="Courier New" w:eastAsia="Courier New" w:hAnsi="Courier New"/>
          <w:sz w:val="18"/>
          <w:szCs w:val="18"/>
          <w:color w:val="auto"/>
        </w:rPr>
        <w:t>New York, NY 10158</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0"/>
          <w:szCs w:val="20"/>
          <w:color w:val="auto"/>
        </w:rPr>
      </w:pPr>
    </w:p>
    <w:p>
      <w:pPr>
        <w:jc w:val="center"/>
        <w:ind w:right="5999"/>
        <w:spacing w:after="0"/>
        <w:rPr>
          <w:sz w:val="20"/>
          <w:szCs w:val="20"/>
          <w:color w:val="auto"/>
        </w:rPr>
      </w:pPr>
      <w:r>
        <w:rPr>
          <w:rFonts w:ascii="Courier New" w:cs="Courier New" w:eastAsia="Courier New" w:hAnsi="Courier New"/>
          <w:sz w:val="18"/>
          <w:szCs w:val="18"/>
          <w:color w:val="auto"/>
        </w:rPr>
        <w:t>Delaware, New York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 CUSIP No.:</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104674106</w:t>
      </w:r>
    </w:p>
    <w:p>
      <w:pPr>
        <w:spacing w:after="0" w:line="207" w:lineRule="exact"/>
        <w:rPr>
          <w:sz w:val="20"/>
          <w:szCs w:val="20"/>
          <w:color w:val="auto"/>
        </w:rPr>
      </w:pPr>
    </w:p>
    <w:p>
      <w:pPr>
        <w:ind w:left="860" w:right="2199" w:hanging="842"/>
        <w:spacing w:after="0" w:line="235" w:lineRule="auto"/>
        <w:rPr>
          <w:sz w:val="20"/>
          <w:szCs w:val="20"/>
          <w:color w:val="auto"/>
        </w:rPr>
      </w:pPr>
      <w:r>
        <w:rPr>
          <w:rFonts w:ascii="Courier New" w:cs="Courier New" w:eastAsia="Courier New" w:hAnsi="Courier New"/>
          <w:sz w:val="18"/>
          <w:szCs w:val="18"/>
          <w:color w:val="auto"/>
        </w:rPr>
        <w:t>Item 3. If This Statement is Filed Pursuant to Rule 13d-1(b), or 13d-2(b) or (c), Check Whether the Person Filing is a:</w:t>
      </w:r>
    </w:p>
    <w:p>
      <w:pPr>
        <w:spacing w:after="0" w:line="208" w:lineRule="exact"/>
        <w:rPr>
          <w:sz w:val="20"/>
          <w:szCs w:val="20"/>
          <w:color w:val="auto"/>
        </w:rPr>
      </w:pPr>
    </w:p>
    <w:p>
      <w:pPr>
        <w:ind w:left="1700" w:right="2739" w:hanging="849"/>
        <w:spacing w:after="0" w:line="235" w:lineRule="auto"/>
        <w:tabs>
          <w:tab w:leader="none" w:pos="1279"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Broker or dealer registered under section 15 of the Act (15 U.S.C. 78o).</w:t>
      </w:r>
    </w:p>
    <w:p>
      <w:pPr>
        <w:spacing w:after="0" w:line="208" w:lineRule="exact"/>
        <w:rPr>
          <w:rFonts w:ascii="Courier New" w:cs="Courier New" w:eastAsia="Courier New" w:hAnsi="Courier New"/>
          <w:sz w:val="18"/>
          <w:szCs w:val="18"/>
          <w:color w:val="auto"/>
        </w:rPr>
      </w:pPr>
    </w:p>
    <w:p>
      <w:pPr>
        <w:ind w:left="1280" w:hanging="429"/>
        <w:spacing w:after="0"/>
        <w:tabs>
          <w:tab w:leader="none" w:pos="128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|_| Bank as defined in section 3(a)(6) of the Act (15 U.S.C. 78c).</w:t>
      </w:r>
    </w:p>
    <w:p>
      <w:pPr>
        <w:spacing w:after="0" w:line="223" w:lineRule="exact"/>
        <w:rPr>
          <w:rFonts w:ascii="Courier New" w:cs="Courier New" w:eastAsia="Courier New" w:hAnsi="Courier New"/>
          <w:sz w:val="16"/>
          <w:szCs w:val="16"/>
          <w:color w:val="auto"/>
        </w:rPr>
      </w:pPr>
    </w:p>
    <w:p>
      <w:pPr>
        <w:ind w:left="1700" w:right="2319" w:hanging="849"/>
        <w:spacing w:after="0" w:line="235" w:lineRule="auto"/>
        <w:tabs>
          <w:tab w:leader="none" w:pos="1279"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Insurance company as defined in section 3(a)(19) of the Act (15 U.S.C. 78c).</w:t>
      </w:r>
    </w:p>
    <w:p>
      <w:pPr>
        <w:spacing w:after="0" w:line="208" w:lineRule="exact"/>
        <w:rPr>
          <w:rFonts w:ascii="Courier New" w:cs="Courier New" w:eastAsia="Courier New" w:hAnsi="Courier New"/>
          <w:sz w:val="18"/>
          <w:szCs w:val="18"/>
          <w:color w:val="auto"/>
        </w:rPr>
      </w:pPr>
    </w:p>
    <w:p>
      <w:pPr>
        <w:ind w:left="1700" w:right="1879" w:hanging="849"/>
        <w:spacing w:after="0" w:line="235" w:lineRule="auto"/>
        <w:tabs>
          <w:tab w:leader="none" w:pos="1279"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Investment company registered under section 8 of the Investment Company Act of 1940 (15 U.S.C 80a-8).</w:t>
      </w:r>
    </w:p>
    <w:p>
      <w:pPr>
        <w:spacing w:after="0" w:line="208" w:lineRule="exact"/>
        <w:rPr>
          <w:rFonts w:ascii="Courier New" w:cs="Courier New" w:eastAsia="Courier New" w:hAnsi="Courier New"/>
          <w:sz w:val="18"/>
          <w:szCs w:val="18"/>
          <w:color w:val="auto"/>
        </w:rPr>
      </w:pPr>
    </w:p>
    <w:p>
      <w:pPr>
        <w:ind w:left="1700" w:right="4319" w:hanging="849"/>
        <w:spacing w:after="0" w:line="235" w:lineRule="auto"/>
        <w:tabs>
          <w:tab w:leader="none" w:pos="1279"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An investment adviser in accordance with ss. 240.13d-1(b)(1)(ii)(E);</w:t>
      </w:r>
    </w:p>
    <w:p>
      <w:pPr>
        <w:spacing w:after="0" w:line="208" w:lineRule="exact"/>
        <w:rPr>
          <w:rFonts w:ascii="Courier New" w:cs="Courier New" w:eastAsia="Courier New" w:hAnsi="Courier New"/>
          <w:sz w:val="18"/>
          <w:szCs w:val="18"/>
          <w:color w:val="auto"/>
        </w:rPr>
      </w:pPr>
    </w:p>
    <w:p>
      <w:pPr>
        <w:ind w:left="1700" w:right="2099" w:hanging="849"/>
        <w:spacing w:after="0" w:line="235" w:lineRule="auto"/>
        <w:tabs>
          <w:tab w:leader="none" w:pos="1279"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An employee benefit plan or endowment fund in accordance with ss.240.13d-1(b)(1)(ii)(F);</w:t>
      </w:r>
    </w:p>
    <w:p>
      <w:pPr>
        <w:spacing w:after="0" w:line="208" w:lineRule="exact"/>
        <w:rPr>
          <w:rFonts w:ascii="Courier New" w:cs="Courier New" w:eastAsia="Courier New" w:hAnsi="Courier New"/>
          <w:sz w:val="18"/>
          <w:szCs w:val="18"/>
          <w:color w:val="auto"/>
        </w:rPr>
      </w:pPr>
    </w:p>
    <w:p>
      <w:pPr>
        <w:ind w:left="1700" w:right="2099" w:hanging="849"/>
        <w:spacing w:after="0" w:line="235" w:lineRule="auto"/>
        <w:tabs>
          <w:tab w:leader="none" w:pos="1279"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parent holding company or control person in accordance with ss.240.13d- 1(b)(1)(ii)(G);</w:t>
      </w:r>
    </w:p>
    <w:p>
      <w:pPr>
        <w:spacing w:after="0" w:line="208" w:lineRule="exact"/>
        <w:rPr>
          <w:rFonts w:ascii="Courier New" w:cs="Courier New" w:eastAsia="Courier New" w:hAnsi="Courier New"/>
          <w:sz w:val="18"/>
          <w:szCs w:val="18"/>
          <w:color w:val="auto"/>
        </w:rPr>
      </w:pPr>
    </w:p>
    <w:p>
      <w:pPr>
        <w:ind w:left="1700" w:right="2619" w:hanging="849"/>
        <w:spacing w:after="0" w:line="235" w:lineRule="auto"/>
        <w:tabs>
          <w:tab w:leader="none" w:pos="1279"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savings associations as defined in Section 3(b) of the Federal Deposit Insurance Act (12 U.S.C. 1813);</w:t>
      </w:r>
    </w:p>
    <w:p>
      <w:pPr>
        <w:spacing w:after="0" w:line="208" w:lineRule="exact"/>
        <w:rPr>
          <w:rFonts w:ascii="Courier New" w:cs="Courier New" w:eastAsia="Courier New" w:hAnsi="Courier New"/>
          <w:sz w:val="18"/>
          <w:szCs w:val="18"/>
          <w:color w:val="auto"/>
        </w:rPr>
      </w:pPr>
    </w:p>
    <w:p>
      <w:pPr>
        <w:ind w:left="1700" w:right="2319" w:hanging="849"/>
        <w:spacing w:after="0" w:line="236" w:lineRule="auto"/>
        <w:tabs>
          <w:tab w:leader="none" w:pos="1279"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church plan that is excluded from the definition of an investment company under section 3(c)(14) of the Investment Company Act of 1940 (15 U.S.C. 80a-3);</w:t>
      </w:r>
    </w:p>
    <w:p>
      <w:pPr>
        <w:spacing w:after="0" w:line="203" w:lineRule="exact"/>
        <w:rPr>
          <w:rFonts w:ascii="Courier New" w:cs="Courier New" w:eastAsia="Courier New" w:hAnsi="Courier New"/>
          <w:sz w:val="18"/>
          <w:szCs w:val="18"/>
          <w:color w:val="auto"/>
        </w:rPr>
      </w:pPr>
    </w:p>
    <w:p>
      <w:pPr>
        <w:ind w:left="1280" w:hanging="429"/>
        <w:spacing w:after="0"/>
        <w:tabs>
          <w:tab w:leader="none" w:pos="128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Group, in accordance with ss. 240.13d-1(b)(1)(ii)(J).</w:t>
      </w:r>
    </w:p>
    <w:p>
      <w:pPr>
        <w:spacing w:after="0" w:line="207" w:lineRule="exact"/>
        <w:rPr>
          <w:sz w:val="20"/>
          <w:szCs w:val="20"/>
          <w:color w:val="auto"/>
        </w:rPr>
      </w:pPr>
    </w:p>
    <w:p>
      <w:pPr>
        <w:ind w:left="860" w:right="3779"/>
        <w:spacing w:after="0" w:line="235" w:lineRule="auto"/>
        <w:rPr>
          <w:sz w:val="20"/>
          <w:szCs w:val="20"/>
          <w:color w:val="auto"/>
        </w:rPr>
      </w:pPr>
      <w:r>
        <w:rPr>
          <w:rFonts w:ascii="Courier New" w:cs="Courier New" w:eastAsia="Courier New" w:hAnsi="Courier New"/>
          <w:sz w:val="18"/>
          <w:szCs w:val="18"/>
          <w:color w:val="auto"/>
        </w:rPr>
        <w:t>If this statement is filed pursuant to Rule 13d-1(c), check this box. |_|</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7" w:lineRule="exact"/>
        <w:rPr>
          <w:sz w:val="20"/>
          <w:szCs w:val="20"/>
          <w:color w:val="auto"/>
        </w:rPr>
      </w:pPr>
    </w:p>
    <w:p>
      <w:pPr>
        <w:ind w:left="860" w:right="6639" w:hanging="431"/>
        <w:spacing w:after="0" w:line="235" w:lineRule="auto"/>
        <w:tabs>
          <w:tab w:leader="none" w:pos="8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3098828</w:t>
      </w:r>
    </w:p>
    <w:p>
      <w:pPr>
        <w:spacing w:after="0" w:line="202"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6.355</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ectPr>
          <w:pgSz w:w="11900" w:h="16838" w:orient="portrait"/>
          <w:cols w:equalWidth="0" w:num="1">
            <w:col w:w="10219"/>
          </w:cols>
          <w:pgMar w:left="240" w:top="717" w:right="1440" w:bottom="0" w:gutter="0" w:footer="0" w:header="0"/>
        </w:sectPr>
      </w:pPr>
    </w:p>
    <w:bookmarkStart w:id="6" w:name="page7"/>
    <w:bookmarkEnd w:id="6"/>
    <w:p>
      <w:pPr>
        <w:ind w:left="1480" w:right="5679" w:hanging="629"/>
        <w:spacing w:after="0" w:line="235" w:lineRule="auto"/>
        <w:tabs>
          <w:tab w:leader="none" w:pos="148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direct the vote 63629</w:t>
      </w:r>
    </w:p>
    <w:p>
      <w:pPr>
        <w:spacing w:after="0" w:line="208" w:lineRule="exact"/>
        <w:rPr>
          <w:rFonts w:ascii="Courier New" w:cs="Courier New" w:eastAsia="Courier New" w:hAnsi="Courier New"/>
          <w:sz w:val="18"/>
          <w:szCs w:val="18"/>
          <w:color w:val="auto"/>
        </w:rPr>
      </w:pPr>
    </w:p>
    <w:p>
      <w:pPr>
        <w:ind w:left="1480" w:right="5479" w:hanging="629"/>
        <w:spacing w:after="0" w:line="235" w:lineRule="auto"/>
        <w:tabs>
          <w:tab w:leader="none" w:pos="148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direct the vote 2610689</w:t>
      </w:r>
    </w:p>
    <w:p>
      <w:pPr>
        <w:spacing w:after="0" w:line="208" w:lineRule="exact"/>
        <w:rPr>
          <w:rFonts w:ascii="Courier New" w:cs="Courier New" w:eastAsia="Courier New" w:hAnsi="Courier New"/>
          <w:sz w:val="18"/>
          <w:szCs w:val="18"/>
          <w:color w:val="auto"/>
        </w:rPr>
      </w:pPr>
    </w:p>
    <w:p>
      <w:pPr>
        <w:ind w:left="1480" w:right="3479" w:hanging="629"/>
        <w:spacing w:after="0" w:line="235" w:lineRule="auto"/>
        <w:tabs>
          <w:tab w:leader="none" w:pos="148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direct the disposition of 0</w:t>
      </w:r>
    </w:p>
    <w:p>
      <w:pPr>
        <w:spacing w:after="0" w:line="208" w:lineRule="exact"/>
        <w:rPr>
          <w:rFonts w:ascii="Courier New" w:cs="Courier New" w:eastAsia="Courier New" w:hAnsi="Courier New"/>
          <w:sz w:val="18"/>
          <w:szCs w:val="18"/>
          <w:color w:val="auto"/>
        </w:rPr>
      </w:pPr>
    </w:p>
    <w:p>
      <w:pPr>
        <w:ind w:left="1480" w:right="3259" w:hanging="629"/>
        <w:spacing w:after="0" w:line="235" w:lineRule="auto"/>
        <w:tabs>
          <w:tab w:leader="none" w:pos="148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direct the disposition of 3098828</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5 Percent or Less of a Class.</w:t>
      </w:r>
    </w:p>
    <w:p>
      <w:pPr>
        <w:spacing w:after="0" w:line="207" w:lineRule="exact"/>
        <w:rPr>
          <w:sz w:val="20"/>
          <w:szCs w:val="20"/>
          <w:color w:val="auto"/>
        </w:rPr>
      </w:pPr>
    </w:p>
    <w:p>
      <w:pPr>
        <w:ind w:left="860" w:right="1779"/>
        <w:spacing w:after="0" w:line="279" w:lineRule="auto"/>
        <w:rPr>
          <w:sz w:val="20"/>
          <w:szCs w:val="20"/>
          <w:color w:val="auto"/>
        </w:rPr>
      </w:pPr>
      <w:r>
        <w:rPr>
          <w:rFonts w:ascii="Courier New" w:cs="Courier New" w:eastAsia="Courier New" w:hAnsi="Courier New"/>
          <w:sz w:val="16"/>
          <w:szCs w:val="16"/>
          <w:color w:val="auto"/>
        </w:rPr>
        <w:t>If this statement is being filed to report the fact that as of the date hereof the reporting person has ceased to be the beneficial owner of more than 5 percent of the class of securities, check the following |_|</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860" w:right="1779"/>
        <w:spacing w:after="0" w:line="237" w:lineRule="auto"/>
        <w:rPr>
          <w:sz w:val="20"/>
          <w:szCs w:val="20"/>
          <w:color w:val="auto"/>
        </w:rPr>
      </w:pPr>
      <w:r>
        <w:rPr>
          <w:rFonts w:ascii="Courier New" w:cs="Courier New" w:eastAsia="Courier New" w:hAnsi="Courier New"/>
          <w:sz w:val="18"/>
          <w:szCs w:val="18"/>
          <w:color w:val="auto"/>
        </w:rPr>
        <w:t>Neuberger Berman, LLC is deemed to be a beneficial owner for purpose of Rule 13(d) since it has shared power to make decisions whether to retain or dispose, and in some cases the sole power to vote, the securities of many unrelated clients. Neuberger Berman, LLC does not, however, have any economic interest in the securities of those clients. The clients are the actual owners of the securities and have the sole right to receive and the power to direct the receipt of dividends from or proceeds from the sale of such securities.</w:t>
      </w:r>
    </w:p>
    <w:p>
      <w:pPr>
        <w:spacing w:after="0" w:line="212" w:lineRule="exact"/>
        <w:rPr>
          <w:sz w:val="20"/>
          <w:szCs w:val="20"/>
          <w:color w:val="auto"/>
        </w:rPr>
      </w:pPr>
    </w:p>
    <w:p>
      <w:pPr>
        <w:ind w:left="860" w:right="1779"/>
        <w:spacing w:after="0" w:line="238" w:lineRule="auto"/>
        <w:rPr>
          <w:sz w:val="20"/>
          <w:szCs w:val="20"/>
          <w:color w:val="auto"/>
        </w:rPr>
      </w:pPr>
      <w:r>
        <w:rPr>
          <w:rFonts w:ascii="Courier New" w:cs="Courier New" w:eastAsia="Courier New" w:hAnsi="Courier New"/>
          <w:sz w:val="18"/>
          <w:szCs w:val="18"/>
          <w:color w:val="auto"/>
        </w:rPr>
        <w:t>With regard to the shares set forth under item 4. (c) (II), Neuberger Berman, LLC and Neuberger Berman Management LLC are deemed to be beneficial owners for purposes of Rule 13 (d) since they both have shared power to make decisions whether to retain or dispose and vote the securities. Neuberger Berman, LLC and Neuberger Berman Management LLC serve as a sub-adviser and investment manager, respectively, of Neuberger Berman's various Mutual Funds which hold such shares in the ordinary course of their business and not with the purpose nor with the effect of changing or influencing the control of the issuer. The holdings of Lehman Brothers Asset Management LLC and Lehman Brothers Asset Management Inc, affiliates of Neuberger Berman LLC, are also aggregated to comprise the holdings referenced herein.</w:t>
      </w:r>
    </w:p>
    <w:p>
      <w:pPr>
        <w:spacing w:after="0" w:line="207" w:lineRule="exact"/>
        <w:rPr>
          <w:sz w:val="20"/>
          <w:szCs w:val="20"/>
          <w:color w:val="auto"/>
        </w:rPr>
      </w:pPr>
    </w:p>
    <w:p>
      <w:pPr>
        <w:ind w:left="860" w:right="1999"/>
        <w:spacing w:after="0" w:line="235" w:lineRule="auto"/>
        <w:rPr>
          <w:sz w:val="20"/>
          <w:szCs w:val="20"/>
          <w:color w:val="auto"/>
        </w:rPr>
      </w:pPr>
      <w:r>
        <w:rPr>
          <w:rFonts w:ascii="Courier New" w:cs="Courier New" w:eastAsia="Courier New" w:hAnsi="Courier New"/>
          <w:sz w:val="18"/>
          <w:szCs w:val="18"/>
          <w:color w:val="auto"/>
        </w:rPr>
        <w:t>No other Neuberger Berman, LLC advisory client has an interest of more than 5% of the issuer.</w:t>
      </w:r>
    </w:p>
    <w:p>
      <w:pPr>
        <w:spacing w:after="0" w:line="208" w:lineRule="exact"/>
        <w:rPr>
          <w:sz w:val="20"/>
          <w:szCs w:val="20"/>
          <w:color w:val="auto"/>
        </w:rPr>
      </w:pPr>
    </w:p>
    <w:p>
      <w:pPr>
        <w:ind w:left="860" w:right="1779"/>
        <w:spacing w:after="0" w:line="237" w:lineRule="auto"/>
        <w:rPr>
          <w:sz w:val="20"/>
          <w:szCs w:val="20"/>
          <w:color w:val="auto"/>
        </w:rPr>
      </w:pPr>
      <w:r>
        <w:rPr>
          <w:rFonts w:ascii="Courier New" w:cs="Courier New" w:eastAsia="Courier New" w:hAnsi="Courier New"/>
          <w:sz w:val="18"/>
          <w:szCs w:val="18"/>
          <w:color w:val="auto"/>
        </w:rPr>
        <w:t>It should be further noted that the share calculation under item 4. (c) (IV) is derived from a total combination of the shares set forth under Item 4. (c) (I and II). The remaining balance of shares, if any, are for the individual client accounts over which Neuberger Berman, LLC has shared power to dispose but not vote shares.</w:t>
      </w:r>
    </w:p>
    <w:p>
      <w:pPr>
        <w:spacing w:after="0" w:line="209" w:lineRule="exact"/>
        <w:rPr>
          <w:sz w:val="20"/>
          <w:szCs w:val="20"/>
          <w:color w:val="auto"/>
        </w:rPr>
      </w:pPr>
    </w:p>
    <w:p>
      <w:pPr>
        <w:ind w:left="860" w:right="1999" w:hanging="842"/>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Neuberger Berman Inc. makes this filing pursuant to the Rule 13d-1 (b)</w:t>
      </w:r>
    </w:p>
    <w:p>
      <w:pPr>
        <w:spacing w:after="0" w:line="4" w:lineRule="exact"/>
        <w:rPr>
          <w:sz w:val="20"/>
          <w:szCs w:val="20"/>
          <w:color w:val="auto"/>
        </w:rPr>
      </w:pPr>
    </w:p>
    <w:p>
      <w:pPr>
        <w:ind w:left="860" w:right="1879" w:hanging="9"/>
        <w:spacing w:after="0" w:line="237" w:lineRule="auto"/>
        <w:tabs>
          <w:tab w:leader="none" w:pos="1387"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(G) since it owns 100% of both Neuberger Berman, LLC and Neuberger Berman Management LLC and does not own over 1% of the issuer, and is affiliated with Lehman Brothers Asset Management LLC &amp; Lehman Brothers Asset Management Inc.</w:t>
      </w:r>
    </w:p>
    <w:p>
      <w:pPr>
        <w:spacing w:after="0" w:line="4" w:lineRule="exact"/>
        <w:rPr>
          <w:rFonts w:ascii="Courier New" w:cs="Courier New" w:eastAsia="Courier New" w:hAnsi="Courier New"/>
          <w:sz w:val="18"/>
          <w:szCs w:val="18"/>
          <w:color w:val="auto"/>
        </w:rPr>
      </w:pPr>
    </w:p>
    <w:p>
      <w:pPr>
        <w:ind w:left="860" w:right="19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Neuberger Berman, LLC, as investment advisor and broker/dealer with discretion, Neuberger Berman Management LLC as investment advisor to a series of Public Mutual Funds, Lehman Brothers Asset Management LLC &amp; Lehman Brothers Asset Management Inc as investment advisors with discretion.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7" w:lineRule="exact"/>
        <w:rPr>
          <w:sz w:val="20"/>
          <w:szCs w:val="20"/>
          <w:color w:val="auto"/>
        </w:rPr>
      </w:pPr>
    </w:p>
    <w:p>
      <w:pPr>
        <w:ind w:left="960" w:right="1879"/>
        <w:spacing w:after="0" w:line="273"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w:t>
      </w:r>
    </w:p>
    <w:p>
      <w:pPr>
        <w:sectPr>
          <w:pgSz w:w="11900" w:h="16838" w:orient="portrait"/>
          <w:cols w:equalWidth="0" w:num="1">
            <w:col w:w="10219"/>
          </w:cols>
          <w:pgMar w:left="240" w:top="142" w:right="1440" w:bottom="0" w:gutter="0" w:footer="0" w:header="0"/>
        </w:sectPr>
      </w:pPr>
    </w:p>
    <w:bookmarkStart w:id="7" w:name="page8"/>
    <w:bookmarkEnd w:id="7"/>
    <w:p>
      <w:pPr>
        <w:ind w:left="960" w:right="2319"/>
        <w:spacing w:after="0" w:line="235" w:lineRule="auto"/>
        <w:rPr>
          <w:sz w:val="20"/>
          <w:szCs w:val="20"/>
          <w:color w:val="auto"/>
        </w:rPr>
      </w:pPr>
      <w:r>
        <w:rPr>
          <w:rFonts w:ascii="Courier New" w:cs="Courier New" w:eastAsia="Courier New" w:hAnsi="Courier New"/>
          <w:sz w:val="18"/>
          <w:szCs w:val="18"/>
          <w:color w:val="auto"/>
        </w:rPr>
        <w:t>not held in connection with or as a participant in any transaction having that purpose or effect.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6 of 7 Pages</w:t>
      </w:r>
    </w:p>
    <w:p>
      <w:pPr>
        <w:sectPr>
          <w:pgSz w:w="11900" w:h="16838" w:orient="portrait"/>
          <w:cols w:equalWidth="0" w:num="1">
            <w:col w:w="10219"/>
          </w:cols>
          <w:pgMar w:left="240" w:top="142" w:right="1440" w:bottom="1440" w:gutter="0" w:footer="0" w:header="0"/>
        </w:sectPr>
      </w:pPr>
    </w:p>
    <w:bookmarkStart w:id="8" w:name="page9"/>
    <w:bookmarkEnd w:id="8"/>
    <w:p>
      <w:pPr>
        <w:ind w:right="18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860" w:type="dxa"/>
            <w:vAlign w:val="bottom"/>
          </w:tcPr>
          <w:p>
            <w:pPr>
              <w:spacing w:after="0"/>
              <w:rPr>
                <w:sz w:val="17"/>
                <w:szCs w:val="17"/>
                <w:color w:val="auto"/>
              </w:rPr>
            </w:pPr>
          </w:p>
        </w:tc>
        <w:tc>
          <w:tcPr>
            <w:tcW w:w="2160" w:type="dxa"/>
            <w:vAlign w:val="bottom"/>
            <w:gridSpan w:val="2"/>
          </w:tcPr>
          <w:p>
            <w:pPr>
              <w:ind w:left="1160"/>
              <w:spacing w:after="0"/>
              <w:rPr>
                <w:sz w:val="20"/>
                <w:szCs w:val="20"/>
                <w:color w:val="auto"/>
              </w:rPr>
            </w:pPr>
            <w:r>
              <w:rPr>
                <w:rFonts w:ascii="Courier New" w:cs="Courier New" w:eastAsia="Courier New" w:hAnsi="Courier New"/>
                <w:sz w:val="18"/>
                <w:szCs w:val="18"/>
                <w:color w:val="auto"/>
              </w:rPr>
              <w:t>Neuberger</w:t>
            </w:r>
          </w:p>
        </w:tc>
        <w:tc>
          <w:tcPr>
            <w:tcW w:w="720" w:type="dxa"/>
            <w:vAlign w:val="bottom"/>
          </w:tcPr>
          <w:p>
            <w:pPr>
              <w:ind w:left="40"/>
              <w:spacing w:after="0"/>
              <w:rPr>
                <w:sz w:val="20"/>
                <w:szCs w:val="20"/>
                <w:color w:val="auto"/>
              </w:rPr>
            </w:pPr>
            <w:r>
              <w:rPr>
                <w:rFonts w:ascii="Courier New" w:cs="Courier New" w:eastAsia="Courier New" w:hAnsi="Courier New"/>
                <w:sz w:val="18"/>
                <w:szCs w:val="18"/>
                <w:color w:val="auto"/>
              </w:rPr>
              <w:t>Berman</w:t>
            </w:r>
          </w:p>
        </w:tc>
        <w:tc>
          <w:tcPr>
            <w:tcW w:w="1540" w:type="dxa"/>
            <w:vAlign w:val="bottom"/>
          </w:tcPr>
          <w:p>
            <w:pPr>
              <w:ind w:left="60"/>
              <w:spacing w:after="0"/>
              <w:rPr>
                <w:sz w:val="20"/>
                <w:szCs w:val="20"/>
                <w:color w:val="auto"/>
              </w:rPr>
            </w:pPr>
            <w:r>
              <w:rPr>
                <w:rFonts w:ascii="Courier New" w:cs="Courier New" w:eastAsia="Courier New" w:hAnsi="Courier New"/>
                <w:sz w:val="18"/>
                <w:szCs w:val="18"/>
                <w:color w:val="auto"/>
              </w:rPr>
              <w:t>Inc.</w:t>
            </w:r>
          </w:p>
        </w:tc>
      </w:tr>
      <w:tr>
        <w:trPr>
          <w:trHeight w:val="405"/>
        </w:trPr>
        <w:tc>
          <w:tcPr>
            <w:tcW w:w="2860" w:type="dxa"/>
            <w:vAlign w:val="bottom"/>
          </w:tcPr>
          <w:p>
            <w:pPr>
              <w:spacing w:after="0"/>
              <w:rPr>
                <w:sz w:val="20"/>
                <w:szCs w:val="20"/>
                <w:color w:val="auto"/>
              </w:rPr>
            </w:pPr>
            <w:r>
              <w:rPr>
                <w:rFonts w:ascii="Courier New" w:cs="Courier New" w:eastAsia="Courier New" w:hAnsi="Courier New"/>
                <w:sz w:val="18"/>
                <w:szCs w:val="18"/>
                <w:color w:val="auto"/>
              </w:rPr>
              <w:t>Date: 02/12/2009</w:t>
            </w:r>
          </w:p>
        </w:tc>
        <w:tc>
          <w:tcPr>
            <w:tcW w:w="2160" w:type="dxa"/>
            <w:vAlign w:val="bottom"/>
            <w:gridSpan w:val="2"/>
          </w:tcPr>
          <w:p>
            <w:pPr>
              <w:ind w:left="1160"/>
              <w:spacing w:after="0"/>
              <w:rPr>
                <w:sz w:val="20"/>
                <w:szCs w:val="20"/>
                <w:color w:val="auto"/>
              </w:rPr>
            </w:pPr>
            <w:r>
              <w:rPr>
                <w:rFonts w:ascii="Courier New" w:cs="Courier New" w:eastAsia="Courier New" w:hAnsi="Courier New"/>
                <w:sz w:val="18"/>
                <w:szCs w:val="18"/>
                <w:color w:val="auto"/>
              </w:rPr>
              <w:t>/s/ Kevin</w:t>
            </w:r>
          </w:p>
        </w:tc>
        <w:tc>
          <w:tcPr>
            <w:tcW w:w="226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Handwerker</w:t>
            </w:r>
          </w:p>
        </w:tc>
      </w:tr>
      <w:tr>
        <w:trPr>
          <w:trHeight w:val="203"/>
        </w:trPr>
        <w:tc>
          <w:tcPr>
            <w:tcW w:w="2860" w:type="dxa"/>
            <w:vAlign w:val="bottom"/>
          </w:tcPr>
          <w:p>
            <w:pPr>
              <w:spacing w:after="0"/>
              <w:rPr>
                <w:sz w:val="17"/>
                <w:szCs w:val="17"/>
                <w:color w:val="auto"/>
              </w:rPr>
            </w:pPr>
          </w:p>
        </w:tc>
        <w:tc>
          <w:tcPr>
            <w:tcW w:w="178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Name:</w:t>
            </w:r>
          </w:p>
        </w:tc>
        <w:tc>
          <w:tcPr>
            <w:tcW w:w="264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Kevin Handwerker</w:t>
            </w:r>
          </w:p>
        </w:tc>
      </w:tr>
      <w:tr>
        <w:trPr>
          <w:trHeight w:val="203"/>
        </w:trPr>
        <w:tc>
          <w:tcPr>
            <w:tcW w:w="2860" w:type="dxa"/>
            <w:vAlign w:val="bottom"/>
          </w:tcPr>
          <w:p>
            <w:pPr>
              <w:spacing w:after="0"/>
              <w:rPr>
                <w:sz w:val="17"/>
                <w:szCs w:val="17"/>
                <w:color w:val="auto"/>
              </w:rPr>
            </w:pPr>
          </w:p>
        </w:tc>
        <w:tc>
          <w:tcPr>
            <w:tcW w:w="4420" w:type="dxa"/>
            <w:vAlign w:val="bottom"/>
            <w:gridSpan w:val="4"/>
          </w:tcPr>
          <w:p>
            <w:pPr>
              <w:ind w:left="1160"/>
              <w:spacing w:after="0" w:line="203" w:lineRule="exact"/>
              <w:rPr>
                <w:sz w:val="20"/>
                <w:szCs w:val="20"/>
                <w:color w:val="auto"/>
              </w:rPr>
            </w:pPr>
            <w:r>
              <w:rPr>
                <w:rFonts w:ascii="Courier New" w:cs="Courier New" w:eastAsia="Courier New" w:hAnsi="Courier New"/>
                <w:sz w:val="18"/>
                <w:szCs w:val="18"/>
                <w:color w:val="auto"/>
              </w:rPr>
              <w:t>Title: General Counsel</w:t>
            </w:r>
          </w:p>
        </w:tc>
      </w:tr>
      <w:tr>
        <w:trPr>
          <w:trHeight w:val="608"/>
        </w:trPr>
        <w:tc>
          <w:tcPr>
            <w:tcW w:w="2860" w:type="dxa"/>
            <w:vAlign w:val="bottom"/>
          </w:tcPr>
          <w:p>
            <w:pPr>
              <w:spacing w:after="0"/>
              <w:rPr>
                <w:sz w:val="24"/>
                <w:szCs w:val="24"/>
                <w:color w:val="auto"/>
              </w:rPr>
            </w:pPr>
          </w:p>
        </w:tc>
        <w:tc>
          <w:tcPr>
            <w:tcW w:w="2160" w:type="dxa"/>
            <w:vAlign w:val="bottom"/>
            <w:gridSpan w:val="2"/>
          </w:tcPr>
          <w:p>
            <w:pPr>
              <w:ind w:left="1160"/>
              <w:spacing w:after="0"/>
              <w:rPr>
                <w:sz w:val="20"/>
                <w:szCs w:val="20"/>
                <w:color w:val="auto"/>
              </w:rPr>
            </w:pPr>
            <w:r>
              <w:rPr>
                <w:rFonts w:ascii="Courier New" w:cs="Courier New" w:eastAsia="Courier New" w:hAnsi="Courier New"/>
                <w:sz w:val="18"/>
                <w:szCs w:val="18"/>
                <w:color w:val="auto"/>
              </w:rPr>
              <w:t>Neuberger</w:t>
            </w:r>
          </w:p>
        </w:tc>
        <w:tc>
          <w:tcPr>
            <w:tcW w:w="226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Berman, LLC</w:t>
            </w:r>
          </w:p>
        </w:tc>
      </w:tr>
      <w:tr>
        <w:trPr>
          <w:trHeight w:val="405"/>
        </w:trPr>
        <w:tc>
          <w:tcPr>
            <w:tcW w:w="2860" w:type="dxa"/>
            <w:vAlign w:val="bottom"/>
          </w:tcPr>
          <w:p>
            <w:pPr>
              <w:spacing w:after="0"/>
              <w:rPr>
                <w:sz w:val="20"/>
                <w:szCs w:val="20"/>
                <w:color w:val="auto"/>
              </w:rPr>
            </w:pPr>
            <w:r>
              <w:rPr>
                <w:rFonts w:ascii="Courier New" w:cs="Courier New" w:eastAsia="Courier New" w:hAnsi="Courier New"/>
                <w:sz w:val="18"/>
                <w:szCs w:val="18"/>
                <w:color w:val="auto"/>
              </w:rPr>
              <w:t>Date: 02/12/2009</w:t>
            </w:r>
          </w:p>
        </w:tc>
        <w:tc>
          <w:tcPr>
            <w:tcW w:w="2160" w:type="dxa"/>
            <w:vAlign w:val="bottom"/>
            <w:gridSpan w:val="2"/>
          </w:tcPr>
          <w:p>
            <w:pPr>
              <w:ind w:left="1160"/>
              <w:spacing w:after="0"/>
              <w:rPr>
                <w:sz w:val="20"/>
                <w:szCs w:val="20"/>
                <w:color w:val="auto"/>
              </w:rPr>
            </w:pPr>
            <w:r>
              <w:rPr>
                <w:rFonts w:ascii="Courier New" w:cs="Courier New" w:eastAsia="Courier New" w:hAnsi="Courier New"/>
                <w:sz w:val="18"/>
                <w:szCs w:val="18"/>
                <w:color w:val="auto"/>
              </w:rPr>
              <w:t>/s/ Kevin</w:t>
            </w:r>
          </w:p>
        </w:tc>
        <w:tc>
          <w:tcPr>
            <w:tcW w:w="226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Handwerker</w:t>
            </w:r>
          </w:p>
        </w:tc>
      </w:tr>
      <w:tr>
        <w:trPr>
          <w:trHeight w:val="203"/>
        </w:trPr>
        <w:tc>
          <w:tcPr>
            <w:tcW w:w="2860" w:type="dxa"/>
            <w:vAlign w:val="bottom"/>
          </w:tcPr>
          <w:p>
            <w:pPr>
              <w:spacing w:after="0"/>
              <w:rPr>
                <w:sz w:val="17"/>
                <w:szCs w:val="17"/>
                <w:color w:val="auto"/>
              </w:rPr>
            </w:pPr>
          </w:p>
        </w:tc>
        <w:tc>
          <w:tcPr>
            <w:tcW w:w="178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Name:</w:t>
            </w:r>
          </w:p>
        </w:tc>
        <w:tc>
          <w:tcPr>
            <w:tcW w:w="264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Kevin Handwerker</w:t>
            </w:r>
          </w:p>
        </w:tc>
      </w:tr>
      <w:tr>
        <w:trPr>
          <w:trHeight w:val="203"/>
        </w:trPr>
        <w:tc>
          <w:tcPr>
            <w:tcW w:w="2860" w:type="dxa"/>
            <w:vAlign w:val="bottom"/>
          </w:tcPr>
          <w:p>
            <w:pPr>
              <w:spacing w:after="0"/>
              <w:rPr>
                <w:sz w:val="17"/>
                <w:szCs w:val="17"/>
                <w:color w:val="auto"/>
              </w:rPr>
            </w:pPr>
          </w:p>
        </w:tc>
        <w:tc>
          <w:tcPr>
            <w:tcW w:w="4420" w:type="dxa"/>
            <w:vAlign w:val="bottom"/>
            <w:gridSpan w:val="4"/>
          </w:tcPr>
          <w:p>
            <w:pPr>
              <w:ind w:left="1160"/>
              <w:spacing w:after="0" w:line="203" w:lineRule="exact"/>
              <w:rPr>
                <w:sz w:val="20"/>
                <w:szCs w:val="20"/>
                <w:color w:val="auto"/>
              </w:rPr>
            </w:pPr>
            <w:r>
              <w:rPr>
                <w:rFonts w:ascii="Courier New" w:cs="Courier New" w:eastAsia="Courier New" w:hAnsi="Courier New"/>
                <w:sz w:val="18"/>
                <w:szCs w:val="18"/>
                <w:color w:val="auto"/>
              </w:rPr>
              <w:t>Title: General Counsel</w:t>
            </w:r>
          </w:p>
        </w:tc>
      </w:tr>
      <w:tr>
        <w:trPr>
          <w:trHeight w:val="608"/>
        </w:trPr>
        <w:tc>
          <w:tcPr>
            <w:tcW w:w="2860" w:type="dxa"/>
            <w:vAlign w:val="bottom"/>
          </w:tcPr>
          <w:p>
            <w:pPr>
              <w:spacing w:after="0"/>
              <w:rPr>
                <w:sz w:val="24"/>
                <w:szCs w:val="24"/>
                <w:color w:val="auto"/>
              </w:rPr>
            </w:pPr>
          </w:p>
        </w:tc>
        <w:tc>
          <w:tcPr>
            <w:tcW w:w="2160" w:type="dxa"/>
            <w:vAlign w:val="bottom"/>
            <w:gridSpan w:val="2"/>
          </w:tcPr>
          <w:p>
            <w:pPr>
              <w:ind w:left="1160"/>
              <w:spacing w:after="0"/>
              <w:rPr>
                <w:sz w:val="20"/>
                <w:szCs w:val="20"/>
                <w:color w:val="auto"/>
              </w:rPr>
            </w:pPr>
            <w:r>
              <w:rPr>
                <w:rFonts w:ascii="Courier New" w:cs="Courier New" w:eastAsia="Courier New" w:hAnsi="Courier New"/>
                <w:sz w:val="18"/>
                <w:szCs w:val="18"/>
                <w:color w:val="auto"/>
              </w:rPr>
              <w:t>Neuberger</w:t>
            </w:r>
          </w:p>
        </w:tc>
        <w:tc>
          <w:tcPr>
            <w:tcW w:w="720" w:type="dxa"/>
            <w:vAlign w:val="bottom"/>
          </w:tcPr>
          <w:p>
            <w:pPr>
              <w:ind w:left="40"/>
              <w:spacing w:after="0"/>
              <w:rPr>
                <w:sz w:val="20"/>
                <w:szCs w:val="20"/>
                <w:color w:val="auto"/>
              </w:rPr>
            </w:pPr>
            <w:r>
              <w:rPr>
                <w:rFonts w:ascii="Courier New" w:cs="Courier New" w:eastAsia="Courier New" w:hAnsi="Courier New"/>
                <w:sz w:val="18"/>
                <w:szCs w:val="18"/>
                <w:color w:val="auto"/>
              </w:rPr>
              <w:t>Berman</w:t>
            </w:r>
          </w:p>
        </w:tc>
        <w:tc>
          <w:tcPr>
            <w:tcW w:w="1540" w:type="dxa"/>
            <w:vAlign w:val="bottom"/>
          </w:tcPr>
          <w:p>
            <w:pPr>
              <w:ind w:left="60"/>
              <w:spacing w:after="0"/>
              <w:rPr>
                <w:sz w:val="20"/>
                <w:szCs w:val="20"/>
                <w:color w:val="auto"/>
              </w:rPr>
            </w:pPr>
            <w:r>
              <w:rPr>
                <w:rFonts w:ascii="Courier New" w:cs="Courier New" w:eastAsia="Courier New" w:hAnsi="Courier New"/>
                <w:sz w:val="18"/>
                <w:szCs w:val="18"/>
                <w:color w:val="auto"/>
                <w:w w:val="96"/>
              </w:rPr>
              <w:t>Management LLC</w:t>
            </w:r>
          </w:p>
        </w:tc>
      </w:tr>
      <w:tr>
        <w:trPr>
          <w:trHeight w:val="405"/>
        </w:trPr>
        <w:tc>
          <w:tcPr>
            <w:tcW w:w="2860" w:type="dxa"/>
            <w:vAlign w:val="bottom"/>
          </w:tcPr>
          <w:p>
            <w:pPr>
              <w:spacing w:after="0"/>
              <w:rPr>
                <w:sz w:val="20"/>
                <w:szCs w:val="20"/>
                <w:color w:val="auto"/>
              </w:rPr>
            </w:pPr>
            <w:r>
              <w:rPr>
                <w:rFonts w:ascii="Courier New" w:cs="Courier New" w:eastAsia="Courier New" w:hAnsi="Courier New"/>
                <w:sz w:val="18"/>
                <w:szCs w:val="18"/>
                <w:color w:val="auto"/>
              </w:rPr>
              <w:t>Date: 02/12/2009</w:t>
            </w:r>
          </w:p>
        </w:tc>
        <w:tc>
          <w:tcPr>
            <w:tcW w:w="2880" w:type="dxa"/>
            <w:vAlign w:val="bottom"/>
            <w:gridSpan w:val="3"/>
          </w:tcPr>
          <w:p>
            <w:pPr>
              <w:ind w:left="1160"/>
              <w:spacing w:after="0"/>
              <w:rPr>
                <w:sz w:val="20"/>
                <w:szCs w:val="20"/>
                <w:color w:val="auto"/>
              </w:rPr>
            </w:pPr>
            <w:r>
              <w:rPr>
                <w:rFonts w:ascii="Courier New" w:cs="Courier New" w:eastAsia="Courier New" w:hAnsi="Courier New"/>
                <w:sz w:val="18"/>
                <w:szCs w:val="18"/>
                <w:color w:val="auto"/>
                <w:w w:val="98"/>
              </w:rPr>
              <w:t>/s/ Robert Conti</w:t>
            </w:r>
          </w:p>
        </w:tc>
        <w:tc>
          <w:tcPr>
            <w:tcW w:w="1540" w:type="dxa"/>
            <w:vAlign w:val="bottom"/>
          </w:tcPr>
          <w:p>
            <w:pPr>
              <w:spacing w:after="0"/>
              <w:rPr>
                <w:sz w:val="24"/>
                <w:szCs w:val="24"/>
                <w:color w:val="auto"/>
              </w:rPr>
            </w:pPr>
          </w:p>
        </w:tc>
      </w:tr>
      <w:tr>
        <w:trPr>
          <w:trHeight w:val="203"/>
        </w:trPr>
        <w:tc>
          <w:tcPr>
            <w:tcW w:w="2860" w:type="dxa"/>
            <w:vAlign w:val="bottom"/>
          </w:tcPr>
          <w:p>
            <w:pPr>
              <w:spacing w:after="0"/>
              <w:rPr>
                <w:sz w:val="17"/>
                <w:szCs w:val="17"/>
                <w:color w:val="auto"/>
              </w:rPr>
            </w:pPr>
          </w:p>
        </w:tc>
        <w:tc>
          <w:tcPr>
            <w:tcW w:w="178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Name:</w:t>
            </w:r>
          </w:p>
        </w:tc>
        <w:tc>
          <w:tcPr>
            <w:tcW w:w="264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Robert Conti</w:t>
            </w:r>
          </w:p>
        </w:tc>
      </w:tr>
      <w:tr>
        <w:trPr>
          <w:trHeight w:val="203"/>
        </w:trPr>
        <w:tc>
          <w:tcPr>
            <w:tcW w:w="2860" w:type="dxa"/>
            <w:vAlign w:val="bottom"/>
          </w:tcPr>
          <w:p>
            <w:pPr>
              <w:spacing w:after="0"/>
              <w:rPr>
                <w:sz w:val="17"/>
                <w:szCs w:val="17"/>
                <w:color w:val="auto"/>
              </w:rPr>
            </w:pPr>
          </w:p>
        </w:tc>
        <w:tc>
          <w:tcPr>
            <w:tcW w:w="2880" w:type="dxa"/>
            <w:vAlign w:val="bottom"/>
            <w:gridSpan w:val="3"/>
          </w:tcPr>
          <w:p>
            <w:pPr>
              <w:ind w:left="1160"/>
              <w:spacing w:after="0" w:line="203" w:lineRule="exact"/>
              <w:rPr>
                <w:sz w:val="20"/>
                <w:szCs w:val="20"/>
                <w:color w:val="auto"/>
              </w:rPr>
            </w:pPr>
            <w:r>
              <w:rPr>
                <w:rFonts w:ascii="Courier New" w:cs="Courier New" w:eastAsia="Courier New" w:hAnsi="Courier New"/>
                <w:sz w:val="18"/>
                <w:szCs w:val="18"/>
                <w:color w:val="auto"/>
                <w:w w:val="98"/>
              </w:rPr>
              <w:t>Title: President</w:t>
            </w:r>
          </w:p>
        </w:tc>
        <w:tc>
          <w:tcPr>
            <w:tcW w:w="1540" w:type="dxa"/>
            <w:vAlign w:val="bottom"/>
          </w:tcPr>
          <w:p>
            <w:pPr>
              <w:spacing w:after="0"/>
              <w:rPr>
                <w:sz w:val="17"/>
                <w:szCs w:val="17"/>
                <w:color w:val="auto"/>
              </w:rPr>
            </w:pPr>
          </w:p>
        </w:tc>
      </w:tr>
      <w:tr>
        <w:trPr>
          <w:trHeight w:val="608"/>
        </w:trPr>
        <w:tc>
          <w:tcPr>
            <w:tcW w:w="2860" w:type="dxa"/>
            <w:vAlign w:val="bottom"/>
          </w:tcPr>
          <w:p>
            <w:pPr>
              <w:spacing w:after="0"/>
              <w:rPr>
                <w:sz w:val="24"/>
                <w:szCs w:val="24"/>
                <w:color w:val="auto"/>
              </w:rPr>
            </w:pPr>
          </w:p>
        </w:tc>
        <w:tc>
          <w:tcPr>
            <w:tcW w:w="2160" w:type="dxa"/>
            <w:vAlign w:val="bottom"/>
            <w:gridSpan w:val="2"/>
          </w:tcPr>
          <w:p>
            <w:pPr>
              <w:ind w:left="1160"/>
              <w:spacing w:after="0"/>
              <w:rPr>
                <w:sz w:val="20"/>
                <w:szCs w:val="20"/>
                <w:color w:val="auto"/>
              </w:rPr>
            </w:pPr>
            <w:r>
              <w:rPr>
                <w:rFonts w:ascii="Courier New" w:cs="Courier New" w:eastAsia="Courier New" w:hAnsi="Courier New"/>
                <w:sz w:val="18"/>
                <w:szCs w:val="18"/>
                <w:color w:val="auto"/>
              </w:rPr>
              <w:t>Neuberger</w:t>
            </w:r>
          </w:p>
        </w:tc>
        <w:tc>
          <w:tcPr>
            <w:tcW w:w="720" w:type="dxa"/>
            <w:vAlign w:val="bottom"/>
          </w:tcPr>
          <w:p>
            <w:pPr>
              <w:ind w:left="40"/>
              <w:spacing w:after="0"/>
              <w:rPr>
                <w:sz w:val="20"/>
                <w:szCs w:val="20"/>
                <w:color w:val="auto"/>
              </w:rPr>
            </w:pPr>
            <w:r>
              <w:rPr>
                <w:rFonts w:ascii="Courier New" w:cs="Courier New" w:eastAsia="Courier New" w:hAnsi="Courier New"/>
                <w:sz w:val="18"/>
                <w:szCs w:val="18"/>
                <w:color w:val="auto"/>
              </w:rPr>
              <w:t>Berman</w:t>
            </w:r>
          </w:p>
        </w:tc>
        <w:tc>
          <w:tcPr>
            <w:tcW w:w="1540" w:type="dxa"/>
            <w:vAlign w:val="bottom"/>
          </w:tcPr>
          <w:p>
            <w:pPr>
              <w:ind w:left="60"/>
              <w:spacing w:after="0"/>
              <w:rPr>
                <w:sz w:val="20"/>
                <w:szCs w:val="20"/>
                <w:color w:val="auto"/>
              </w:rPr>
            </w:pPr>
            <w:r>
              <w:rPr>
                <w:rFonts w:ascii="Courier New" w:cs="Courier New" w:eastAsia="Courier New" w:hAnsi="Courier New"/>
                <w:sz w:val="18"/>
                <w:szCs w:val="18"/>
                <w:color w:val="auto"/>
              </w:rPr>
              <w:t>Equity Funds</w:t>
            </w:r>
          </w:p>
        </w:tc>
      </w:tr>
      <w:tr>
        <w:trPr>
          <w:trHeight w:val="405"/>
        </w:trPr>
        <w:tc>
          <w:tcPr>
            <w:tcW w:w="2860" w:type="dxa"/>
            <w:vAlign w:val="bottom"/>
          </w:tcPr>
          <w:p>
            <w:pPr>
              <w:spacing w:after="0"/>
              <w:rPr>
                <w:sz w:val="20"/>
                <w:szCs w:val="20"/>
                <w:color w:val="auto"/>
              </w:rPr>
            </w:pPr>
            <w:r>
              <w:rPr>
                <w:rFonts w:ascii="Courier New" w:cs="Courier New" w:eastAsia="Courier New" w:hAnsi="Courier New"/>
                <w:sz w:val="18"/>
                <w:szCs w:val="18"/>
                <w:color w:val="auto"/>
              </w:rPr>
              <w:t>Date: 02/12/2009</w:t>
            </w:r>
          </w:p>
        </w:tc>
        <w:tc>
          <w:tcPr>
            <w:tcW w:w="2880" w:type="dxa"/>
            <w:vAlign w:val="bottom"/>
            <w:gridSpan w:val="3"/>
          </w:tcPr>
          <w:p>
            <w:pPr>
              <w:ind w:left="1160"/>
              <w:spacing w:after="0"/>
              <w:rPr>
                <w:sz w:val="20"/>
                <w:szCs w:val="20"/>
                <w:color w:val="auto"/>
              </w:rPr>
            </w:pPr>
            <w:r>
              <w:rPr>
                <w:rFonts w:ascii="Courier New" w:cs="Courier New" w:eastAsia="Courier New" w:hAnsi="Courier New"/>
                <w:sz w:val="18"/>
                <w:szCs w:val="18"/>
                <w:color w:val="auto"/>
                <w:w w:val="98"/>
              </w:rPr>
              <w:t>/s/ Robert Conti</w:t>
            </w:r>
          </w:p>
        </w:tc>
        <w:tc>
          <w:tcPr>
            <w:tcW w:w="1540" w:type="dxa"/>
            <w:vAlign w:val="bottom"/>
          </w:tcPr>
          <w:p>
            <w:pPr>
              <w:spacing w:after="0"/>
              <w:rPr>
                <w:sz w:val="24"/>
                <w:szCs w:val="24"/>
                <w:color w:val="auto"/>
              </w:rPr>
            </w:pPr>
          </w:p>
        </w:tc>
      </w:tr>
      <w:tr>
        <w:trPr>
          <w:trHeight w:val="203"/>
        </w:trPr>
        <w:tc>
          <w:tcPr>
            <w:tcW w:w="2860" w:type="dxa"/>
            <w:vAlign w:val="bottom"/>
          </w:tcPr>
          <w:p>
            <w:pPr>
              <w:spacing w:after="0"/>
              <w:rPr>
                <w:sz w:val="17"/>
                <w:szCs w:val="17"/>
                <w:color w:val="auto"/>
              </w:rPr>
            </w:pPr>
          </w:p>
        </w:tc>
        <w:tc>
          <w:tcPr>
            <w:tcW w:w="178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Name:</w:t>
            </w:r>
          </w:p>
        </w:tc>
        <w:tc>
          <w:tcPr>
            <w:tcW w:w="264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Robert Conti</w:t>
            </w:r>
          </w:p>
        </w:tc>
      </w:tr>
      <w:tr>
        <w:trPr>
          <w:trHeight w:val="203"/>
        </w:trPr>
        <w:tc>
          <w:tcPr>
            <w:tcW w:w="2860" w:type="dxa"/>
            <w:vAlign w:val="bottom"/>
          </w:tcPr>
          <w:p>
            <w:pPr>
              <w:spacing w:after="0"/>
              <w:rPr>
                <w:sz w:val="17"/>
                <w:szCs w:val="17"/>
                <w:color w:val="auto"/>
              </w:rPr>
            </w:pPr>
          </w:p>
        </w:tc>
        <w:tc>
          <w:tcPr>
            <w:tcW w:w="2880" w:type="dxa"/>
            <w:vAlign w:val="bottom"/>
            <w:gridSpan w:val="3"/>
          </w:tcPr>
          <w:p>
            <w:pPr>
              <w:ind w:left="1160"/>
              <w:spacing w:after="0" w:line="203" w:lineRule="exact"/>
              <w:rPr>
                <w:sz w:val="20"/>
                <w:szCs w:val="20"/>
                <w:color w:val="auto"/>
              </w:rPr>
            </w:pPr>
            <w:r>
              <w:rPr>
                <w:rFonts w:ascii="Courier New" w:cs="Courier New" w:eastAsia="Courier New" w:hAnsi="Courier New"/>
                <w:sz w:val="18"/>
                <w:szCs w:val="18"/>
                <w:color w:val="auto"/>
                <w:w w:val="98"/>
              </w:rPr>
              <w:t>Title: President</w:t>
            </w:r>
          </w:p>
        </w:tc>
        <w:tc>
          <w:tcPr>
            <w:tcW w:w="1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and Chief</w:t>
            </w:r>
          </w:p>
        </w:tc>
      </w:tr>
      <w:tr>
        <w:trPr>
          <w:trHeight w:val="203"/>
        </w:trPr>
        <w:tc>
          <w:tcPr>
            <w:tcW w:w="28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10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Executive</w:t>
            </w:r>
          </w:p>
        </w:tc>
        <w:tc>
          <w:tcPr>
            <w:tcW w:w="1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Officer</w:t>
            </w:r>
          </w:p>
        </w:tc>
      </w:tr>
    </w:tbl>
    <w:p>
      <w:pPr>
        <w:spacing w:after="0" w:line="200" w:lineRule="exact"/>
        <w:rPr>
          <w:sz w:val="20"/>
          <w:szCs w:val="20"/>
          <w:color w:val="auto"/>
        </w:rPr>
      </w:pP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 porated by reference. The name and any title of each person who signs the statement shall be typed or printed beneath his signature.</w:t>
      </w:r>
    </w:p>
    <w:p>
      <w:pPr>
        <w:spacing w:after="0" w:line="214"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ATTENTION: Intentional misstatements or omissions of fact constitute Federal criminal violations (see 18 U.S.C. 1001). (Secs. 3(b), 13(d)(1), 13(d)(2), 13(d)(5), 13(d)(6), 13(g)(1), 13(g)(2), 13(g)(5), 23, 48 Stat. 882, 894, 901; sec. 203(a), 49 Stat. 704; sec. 8, 49 Stat. 1379; sec. 10, 78 Stat. 88a; sec. 2, 82 Stat. 454; secs. 1, 2, 84 Stat. 1497; secs. 3, 10, 18, 89 Stat. 97, 119, 155; secs. 202, 203, 91 Stat. 1494, 1498, 1499; (15 U.S.C. 78c(b), 78m(d)(1), 78m(d)(2), 78m(d)(5), 78m(d)(6), 78m(g)(1), 78m(g)(2), 78m(g)(5), 78w)) [43 FR 18499, Apr. 28, 1978, as amended at 43 FR 55756, Nov. 29, 1978; 44 FR 2148, Jan. 9, 1979; 44 FR 11751, Mar. 2, 1979; 61 FR 49959, Sept. 24, 1996; 62 FR 35340, July 1, 1997; 63 FR 2867, Jan. 16, 1998; 63 FR 15287, Mar. 31, 1998]</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7 of 7 Pages</w:t>
      </w:r>
    </w:p>
    <w:sectPr>
      <w:pgSz w:w="11900" w:h="16838" w:orient="portrait"/>
      <w:cols w:equalWidth="0" w:num="1">
        <w:col w:w="10219"/>
      </w:cols>
      <w:pgMar w:left="240" w:top="72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
      <w:numFmt w:val="bullet"/>
      <w:start w:val="1"/>
    </w:lvl>
    <w:lvl w:ilvl="1">
      <w:lvlJc w:val="left"/>
      <w:lvlText w:val="*"/>
      <w:numFmt w:val="bullet"/>
      <w:start w:val="1"/>
    </w:lvl>
  </w:abstractNum>
  <w:abstractNum w:abstractNumId="5">
    <w:nsid w:val="257130A3"/>
    <w:multiLevelType w:val="hybridMultilevel"/>
    <w:lvl w:ilvl="0">
      <w:lvlJc w:val="left"/>
      <w:lvlText w:val="-"/>
      <w:numFmt w:val="bullet"/>
      <w:start w:val="1"/>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
      <w:numFmt w:val="bullet"/>
      <w:start w:val="1"/>
    </w:lvl>
    <w:lvl w:ilvl="1">
      <w:lvlJc w:val="left"/>
      <w:lvlText w:val="(%2)"/>
      <w:numFmt w:val="decimal"/>
      <w:start w:val="5"/>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
      <w:numFmt w:val="bullet"/>
      <w:start w:val="1"/>
    </w:lvl>
  </w:abstractNum>
  <w:abstractNum w:abstractNumId="10">
    <w:nsid w:val="721DA317"/>
    <w:multiLevelType w:val="hybridMultilevel"/>
    <w:lvl w:ilvl="0">
      <w:lvlJc w:val="left"/>
      <w:lvlText w:val="-"/>
      <w:numFmt w:val="bullet"/>
      <w:start w:val="1"/>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
      <w:numFmt w:val="bullet"/>
      <w:start w:val="1"/>
    </w:lvl>
  </w:abstractNum>
  <w:abstractNum w:abstractNumId="13">
    <w:nsid w:val="6763845E"/>
    <w:multiLevelType w:val="hybridMultilevel"/>
    <w:lvl w:ilvl="0">
      <w:lvlJc w:val="left"/>
      <w:lvlText w:val="-"/>
      <w:numFmt w:val="bullet"/>
      <w:start w:val="1"/>
    </w:lvl>
    <w:lvl w:ilvl="1">
      <w:lvlJc w:val="left"/>
      <w:lvlText w:val="(%2)"/>
      <w:numFmt w:val="decimal"/>
      <w:start w:val="5"/>
    </w:lvl>
  </w:abstractNum>
  <w:abstractNum w:abstractNumId="14">
    <w:nsid w:val="75A2A8D4"/>
    <w:multiLevelType w:val="hybridMultilevel"/>
    <w:lvl w:ilvl="0">
      <w:lvlJc w:val="left"/>
      <w:lvlText w:val="-"/>
      <w:numFmt w:val="bullet"/>
      <w:start w:val="1"/>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
      <w:numFmt w:val="bullet"/>
      <w:start w:val="1"/>
    </w:lvl>
  </w:abstractNum>
  <w:abstractNum w:abstractNumId="17">
    <w:nsid w:val="4353D0CD"/>
    <w:multiLevelType w:val="hybridMultilevel"/>
    <w:lvl w:ilvl="0">
      <w:lvlJc w:val="left"/>
      <w:lvlText w:val="-"/>
      <w:numFmt w:val="bullet"/>
      <w:start w:val="1"/>
    </w:lvl>
  </w:abstractNum>
  <w:abstractNum w:abstractNumId="18">
    <w:nsid w:val="B03E0C6"/>
    <w:multiLevelType w:val="hybridMultilevel"/>
    <w:lvl w:ilvl="0">
      <w:lvlJc w:val="left"/>
      <w:lvlText w:val="-"/>
      <w:numFmt w:val="bullet"/>
      <w:start w:val="1"/>
    </w:lvl>
  </w:abstractNum>
  <w:abstractNum w:abstractNumId="19">
    <w:nsid w:val="189A769B"/>
    <w:multiLevelType w:val="hybridMultilevel"/>
    <w:lvl w:ilvl="0">
      <w:lvlJc w:val="left"/>
      <w:lvlText w:val="-"/>
      <w:numFmt w:val="bullet"/>
      <w:start w:val="1"/>
    </w:lvl>
    <w:lvl w:ilvl="1">
      <w:lvlJc w:val="left"/>
      <w:lvlText w:val="(%2)"/>
      <w:numFmt w:val="decimal"/>
      <w:start w:val="5"/>
    </w:lvl>
  </w:abstractNum>
  <w:abstractNum w:abstractNumId="20">
    <w:nsid w:val="54E49EB4"/>
    <w:multiLevelType w:val="hybridMultilevel"/>
    <w:lvl w:ilvl="0">
      <w:lvlJc w:val="left"/>
      <w:lvlText w:val="-"/>
      <w:numFmt w:val="bullet"/>
      <w:start w:val="1"/>
    </w:lvl>
  </w:abstractNum>
  <w:abstractNum w:abstractNumId="21">
    <w:nsid w:val="71F32454"/>
    <w:multiLevelType w:val="hybridMultilevel"/>
    <w:lvl w:ilvl="0">
      <w:lvlJc w:val="left"/>
      <w:lvlText w:val="-"/>
      <w:numFmt w:val="bullet"/>
      <w:start w:val="1"/>
    </w:lvl>
  </w:abstractNum>
  <w:abstractNum w:abstractNumId="22">
    <w:nsid w:val="2CA88611"/>
    <w:multiLevelType w:val="hybridMultilevel"/>
    <w:lvl w:ilvl="0">
      <w:lvlJc w:val="left"/>
      <w:lvlText w:val="-"/>
      <w:numFmt w:val="bullet"/>
      <w:start w:val="1"/>
    </w:lvl>
  </w:abstractNum>
  <w:abstractNum w:abstractNumId="23">
    <w:nsid w:val="836C40E"/>
    <w:multiLevelType w:val="hybridMultilevel"/>
    <w:lvl w:ilvl="0">
      <w:lvlJc w:val="left"/>
      <w:lvlText w:val="-"/>
      <w:numFmt w:val="bullet"/>
      <w:start w:val="1"/>
    </w:lvl>
  </w:abstractNum>
  <w:abstractNum w:abstractNumId="24">
    <w:nsid w:val="2901D82"/>
    <w:multiLevelType w:val="hybridMultilevel"/>
    <w:lvl w:ilvl="0">
      <w:lvlJc w:val="left"/>
      <w:lvlText w:val="-"/>
      <w:numFmt w:val="bullet"/>
      <w:start w:val="1"/>
    </w:lvl>
  </w:abstractNum>
  <w:abstractNum w:abstractNumId="25">
    <w:nsid w:val="3A95F874"/>
    <w:multiLevelType w:val="hybridMultilevel"/>
    <w:lvl w:ilvl="0">
      <w:lvlJc w:val="left"/>
      <w:lvlText w:val="-"/>
      <w:numFmt w:val="bullet"/>
      <w:start w:val="1"/>
    </w:lvl>
    <w:lvl w:ilvl="1">
      <w:lvlJc w:val="left"/>
      <w:lvlText w:val="(%2)"/>
      <w:numFmt w:val="decimal"/>
      <w:start w:val="5"/>
    </w:lvl>
  </w:abstractNum>
  <w:abstractNum w:abstractNumId="26">
    <w:nsid w:val="8138641"/>
    <w:multiLevelType w:val="hybridMultilevel"/>
    <w:lvl w:ilvl="0">
      <w:lvlJc w:val="left"/>
      <w:lvlText w:val="-"/>
      <w:numFmt w:val="bullet"/>
      <w:start w:val="1"/>
    </w:lvl>
  </w:abstractNum>
  <w:abstractNum w:abstractNumId="27">
    <w:nsid w:val="1E7FF521"/>
    <w:multiLevelType w:val="hybridMultilevel"/>
    <w:lvl w:ilvl="0">
      <w:lvlJc w:val="left"/>
      <w:lvlText w:val="-"/>
      <w:numFmt w:val="bullet"/>
      <w:start w:val="1"/>
    </w:lvl>
  </w:abstractNum>
  <w:abstractNum w:abstractNumId="28">
    <w:nsid w:val="7C3DBD3D"/>
    <w:multiLevelType w:val="hybridMultilevel"/>
    <w:lvl w:ilvl="0">
      <w:lvlJc w:val="left"/>
      <w:lvlText w:val="-"/>
      <w:numFmt w:val="bullet"/>
      <w:start w:val="1"/>
    </w:lvl>
  </w:abstractNum>
  <w:abstractNum w:abstractNumId="29">
    <w:nsid w:val="737B8DDC"/>
    <w:multiLevelType w:val="hybridMultilevel"/>
    <w:lvl w:ilvl="0">
      <w:lvlJc w:val="left"/>
      <w:lvlText w:val="(%1)"/>
      <w:numFmt w:val="lowerLetter"/>
      <w:start w:val="1"/>
    </w:lvl>
    <w:lvl w:ilvl="1">
      <w:lvlJc w:val="left"/>
      <w:lvlText w:val="%2"/>
      <w:numFmt w:val="lowerLetter"/>
      <w:start w:val="1"/>
    </w:lvl>
  </w:abstractNum>
  <w:abstractNum w:abstractNumId="30">
    <w:nsid w:val="6CEAF087"/>
    <w:multiLevelType w:val="hybridMultilevel"/>
    <w:lvl w:ilvl="0">
      <w:lvlJc w:val="left"/>
      <w:lvlText w:val="(%1)"/>
      <w:numFmt w:val="lowerLetter"/>
      <w:start w:val="1"/>
    </w:lvl>
  </w:abstractNum>
  <w:abstractNum w:abstractNumId="31">
    <w:nsid w:val="22221A70"/>
    <w:multiLevelType w:val="hybridMultilevel"/>
    <w:lvl w:ilvl="0">
      <w:lvlJc w:val="left"/>
      <w:lvlText w:val="(%1)"/>
      <w:numFmt w:val="lowerRoman"/>
      <w:start w:val="1"/>
    </w:lvl>
  </w:abstractNum>
  <w:abstractNum w:abstractNumId="32">
    <w:nsid w:val="4516DDE9"/>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2019-12-10T04:45:17Z</dcterms:created>
  <dcterms:modified xsi:type="dcterms:W3CDTF">2019-12-10T04:45:17Z</dcterms:modified>
</cp:coreProperties>
</file>