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4"/>
          <w:szCs w:val="24"/>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2007</w:t>
      </w:r>
    </w:p>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4"/>
          <w:szCs w:val="24"/>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ind w:right="3560" w:firstLine="3673"/>
        <w:spacing w:after="0" w:line="476" w:lineRule="auto"/>
        <w:rPr>
          <w:sz w:val="20"/>
          <w:szCs w:val="20"/>
          <w:color w:val="auto"/>
        </w:rPr>
      </w:pPr>
      <w:r>
        <w:rPr>
          <w:rFonts w:ascii="Arial" w:cs="Arial" w:eastAsia="Arial" w:hAnsi="Arial"/>
          <w:sz w:val="16"/>
          <w:szCs w:val="16"/>
          <w:b w:val="1"/>
          <w:bCs w:val="1"/>
          <w:color w:val="auto"/>
        </w:rPr>
        <w:t xml:space="preserve">Commission file number 1-14959 Brady Corporation </w:t>
      </w:r>
      <w:r>
        <w:rPr>
          <w:rFonts w:ascii="Arial" w:cs="Arial" w:eastAsia="Arial" w:hAnsi="Arial"/>
          <w:sz w:val="16"/>
          <w:szCs w:val="16"/>
          <w:color w:val="auto"/>
        </w:rPr>
        <w:t>A. Full title of the plan and the address of the plan, if different from that of the issuer named below:</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43"/>
          <w:szCs w:val="43"/>
          <w:b w:val="1"/>
          <w:bCs w:val="1"/>
          <w:color w:val="auto"/>
        </w:rPr>
        <w:t>BRADY MATCHED 401(k) PLAN</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BRADY CORPORATION</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PO BOX 571</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MILWAUKEE WI 53202-0571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Brady Matched 401(k) Plan</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Financial Statements as of and for the Years Ended December 31, 2007 and 2006, Supplemental Schedule as of December 31, 2007, and 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935" w:right="10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gridSpan w:val="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REPORTS OF INDEPENDENT REGISTERED PUBLIC ACCOUNTING FIRMS</w:t>
              </w:r>
            </w:hyperlink>
          </w:p>
        </w:tc>
        <w:tc>
          <w:tcPr>
            <w:tcW w:w="132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9440" w:type="dxa"/>
            <w:vAlign w:val="bottom"/>
            <w:gridSpan w:val="7"/>
            <w:vMerge w:val="continue"/>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60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FINANCIAL STATEMENTS:</w:t>
            </w:r>
          </w:p>
        </w:tc>
        <w:tc>
          <w:tcPr>
            <w:tcW w:w="3440" w:type="dxa"/>
            <w:vAlign w:val="bottom"/>
            <w:gridSpan w:val="5"/>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922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 as of December 31, 2007 and 2006</w:t>
              </w:r>
            </w:hyperlink>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9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7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Statements of Changes in Net Assets Available for Benefits for the Years Ended December 31, 2007 and 2006</w:t>
              </w:r>
            </w:hyperlink>
          </w:p>
        </w:tc>
        <w:tc>
          <w:tcPr>
            <w:tcW w:w="1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9220" w:type="dxa"/>
            <w:vAlign w:val="bottom"/>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 as of and for the Years Ended December 31, 2007 and 2006</w:t>
              </w:r>
            </w:hyperlink>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80" w:type="dxa"/>
            <w:vAlign w:val="bottom"/>
            <w:gridSpan w:val="3"/>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40" w:type="dxa"/>
            <w:vAlign w:val="bottom"/>
            <w:gridSpan w:val="7"/>
          </w:tcPr>
          <w:p>
            <w:pPr>
              <w:spacing w:after="0"/>
              <w:rPr>
                <w:sz w:val="20"/>
                <w:szCs w:val="20"/>
                <w:color w:val="auto"/>
              </w:rPr>
            </w:pPr>
            <w:r>
              <w:rPr>
                <w:rFonts w:ascii="Arial" w:cs="Arial" w:eastAsia="Arial" w:hAnsi="Arial"/>
                <w:sz w:val="18"/>
                <w:szCs w:val="18"/>
                <w:color w:val="auto"/>
              </w:rPr>
              <w:t>SUPPLEMENTAL SCHEDULE—</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9220" w:type="dxa"/>
            <w:vAlign w:val="bottom"/>
            <w:gridSpan w:val="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Form 5500, Schedule H, Part IV, Line 4i—Schedule of Assets (Held at End of Year) as of December 31, 2007</w:t>
              </w:r>
            </w:hyperlink>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900" w:type="dxa"/>
            <w:vAlign w:val="bottom"/>
            <w:gridSpan w:val="4"/>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40" w:type="dxa"/>
            <w:vAlign w:val="bottom"/>
            <w:gridSpan w:val="7"/>
          </w:tcPr>
          <w:p>
            <w:pPr>
              <w:spacing w:after="0"/>
              <w:rPr>
                <w:sz w:val="20"/>
                <w:szCs w:val="20"/>
                <w:color w:val="auto"/>
              </w:rPr>
            </w:pPr>
            <w:r>
              <w:rPr>
                <w:rFonts w:ascii="Arial" w:cs="Arial" w:eastAsia="Arial" w:hAnsi="Arial"/>
                <w:sz w:val="18"/>
                <w:szCs w:val="18"/>
                <w:color w:val="auto"/>
              </w:rPr>
              <w:t>Consent of Clifton Gunderson LLP</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Consent of Deloitte &amp; Touche LLP</w:t>
      </w:r>
    </w:p>
    <w:p>
      <w:pPr>
        <w:spacing w:after="0" w:line="117" w:lineRule="exact"/>
        <w:rPr>
          <w:sz w:val="20"/>
          <w:szCs w:val="20"/>
          <w:color w:val="auto"/>
        </w:rPr>
      </w:pPr>
    </w:p>
    <w:p>
      <w:pPr>
        <w:ind w:left="660" w:hanging="659"/>
        <w:spacing w:after="0" w:line="277" w:lineRule="auto"/>
        <w:tabs>
          <w:tab w:leader="none" w:pos="640" w:val="left"/>
        </w:tabs>
        <w:rPr>
          <w:sz w:val="20"/>
          <w:szCs w:val="20"/>
          <w:color w:val="auto"/>
        </w:rPr>
      </w:pPr>
      <w:r>
        <w:rPr>
          <w:rFonts w:ascii="Arial" w:cs="Arial" w:eastAsia="Arial" w:hAnsi="Arial"/>
          <w:sz w:val="18"/>
          <w:szCs w:val="18"/>
          <w:color w:val="auto"/>
        </w:rPr>
        <w:t>NOTE:</w:t>
        <w:tab/>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1" w:right="399" w:bottom="1440" w:gutter="0" w:footer="0" w:header="0"/>
        </w:sectPr>
      </w:pPr>
    </w:p>
    <w:bookmarkStart w:id="3" w:name="page4"/>
    <w:bookmarkEnd w:id="3"/>
    <w:p>
      <w:pPr>
        <w:ind w:right="5220"/>
        <w:spacing w:after="0" w:line="26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Plan Administrators of the Brady Corporation Brady Matched 401(k) Plan:</w:t>
      </w:r>
    </w:p>
    <w:p>
      <w:pPr>
        <w:spacing w:after="0" w:line="72"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We have audited the accompanying statement of net assets available for benefits of Brady Matched 401(k) Plan as of December 31, 2007, and the related statement of changes in net assets available for benefits for the year then ended, and the supplemental schedule as of December 31, 2007. These financial statements are the responsibility of the Plan’s management. Our responsibility is to express an opinion on these financial statements based on our audit.</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5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our opinion, the 2007 financial statements referred to above present fairly, in all material respects, the net assets available for benefits of Brady Matched 401(k) Plan as of December 31, 2007, and the changes in net assets available for benefits for the year then ended in conformity with United States generally accepted accounting principles.</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audit was conducted for the purpose of forming an opinion on the basic financial statements taken as a whole. The accompanying supplemental schedule is presented for purposes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 of the basic 2007 financial statements and, in our opinion, is presented fairly, in all material respects in relation to the basic 2007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Clifton Gunderson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4" w:name="page5"/>
    <w:bookmarkEnd w:id="4"/>
    <w:p>
      <w:pPr>
        <w:ind w:right="5220"/>
        <w:spacing w:after="0" w:line="26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Plan Administrators of the Brady Corporation Brady Matched 401(k) Plan:</w:t>
      </w:r>
    </w:p>
    <w:p>
      <w:pPr>
        <w:spacing w:after="0" w:line="72"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We have audited the accompanying statement of net assets available for benefits of Brady Corporation Brady Matched 401(k) Plan (the “Plan”) as of December 31, 2006, and the related statement of changes in net assets available for benefits for the year then ended. These financial statements are the responsibility of the Plan’s management. Our responsibility is to express an opinion on these financial statements based on our audit.</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5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2006, and the changes in net assets available for benefits for the year then ended in conformity with accounting principles generally accepted in the United States of America.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2007 AND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9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3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Investments — at fair value</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174,698,244</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156,098,981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2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4,576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9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contributions</w:t>
            </w:r>
          </w:p>
        </w:tc>
        <w:tc>
          <w:tcPr>
            <w:tcW w:w="2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715,096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color w:val="auto"/>
              </w:rPr>
              <w:t>1,252,100</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645,567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receivables</w:t>
            </w:r>
          </w:p>
        </w:tc>
        <w:tc>
          <w:tcPr>
            <w:tcW w:w="9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1,967,196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color w:val="auto"/>
              </w:rPr>
              <w:t>176,670,016</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157,404,964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LIABILITIES — Excess contributions payable</w:t>
            </w:r>
          </w:p>
        </w:tc>
        <w:tc>
          <w:tcPr>
            <w:tcW w:w="9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FAIR VALUE</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color w:val="auto"/>
              </w:rPr>
              <w:t>176,670,016</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157,223,803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from fair value to contract value for fully benefit-responsive investment contracts</w:t>
            </w:r>
          </w:p>
        </w:tc>
        <w:tc>
          <w:tcPr>
            <w:tcW w:w="9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(227,453)</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118,501</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176,442,563</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157,342,304</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40" w:type="dxa"/>
            <w:vAlign w:val="bottom"/>
            <w:gridSpan w:val="2"/>
          </w:tcPr>
          <w:p>
            <w:pPr>
              <w:ind w:left="5560"/>
              <w:spacing w:after="0"/>
              <w:rPr>
                <w:sz w:val="20"/>
                <w:szCs w:val="20"/>
                <w:color w:val="auto"/>
              </w:rPr>
            </w:pPr>
            <w:r>
              <w:rPr>
                <w:rFonts w:ascii="Arial" w:cs="Arial" w:eastAsia="Arial" w:hAnsi="Arial"/>
                <w:sz w:val="18"/>
                <w:szCs w:val="18"/>
                <w:color w:val="auto"/>
              </w:rPr>
              <w:t>- 3 -</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2007 AND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Participant</w:t>
            </w:r>
          </w:p>
        </w:tc>
        <w:tc>
          <w:tcPr>
            <w:tcW w:w="3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8,337,430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7,460,555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3,655,188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Total contributions</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11,992,618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11,011,194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Net appreciation in fair value of investments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11,541,692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11,072,633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5,720,609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1,842,329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484,852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investment income</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19,104,630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15,685,036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Plan transfers in</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790,627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additions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31,097,248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27,486,857</w:t>
            </w:r>
          </w:p>
        </w:tc>
        <w:tc>
          <w:tcPr>
            <w:tcW w:w="0" w:type="dxa"/>
            <w:vAlign w:val="bottom"/>
          </w:tcPr>
          <w:p>
            <w:pPr>
              <w:spacing w:after="0"/>
              <w:rPr>
                <w:sz w:val="1"/>
                <w:szCs w:val="1"/>
                <w:color w:val="auto"/>
              </w:rPr>
            </w:pP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DEDUCTIONS:</w:t>
            </w:r>
          </w:p>
        </w:tc>
        <w:tc>
          <w:tcPr>
            <w:tcW w:w="3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 to participants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11,943,112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53,877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deductions</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11,996,989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color w:val="auto"/>
              </w:rPr>
              <w:t>INCREASE IN NET ASSETS</w:t>
            </w: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19,100,259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18,220,186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157,342,304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139,122,118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176,442,563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157,342,304</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3"/>
              </w:rPr>
              <w:t>The accompanying notes are an integral part of the financial statements.</w:t>
            </w: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80" w:type="dxa"/>
            <w:vAlign w:val="bottom"/>
            <w:gridSpan w:val="2"/>
            <w:vMerge w:val="continue"/>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60" w:type="dxa"/>
            <w:vAlign w:val="bottom"/>
          </w:tcPr>
          <w:p>
            <w:pPr>
              <w:jc w:val="right"/>
              <w:ind w:right="2690"/>
              <w:spacing w:after="0"/>
              <w:rPr>
                <w:sz w:val="20"/>
                <w:szCs w:val="20"/>
                <w:color w:val="auto"/>
              </w:rPr>
            </w:pPr>
            <w:r>
              <w:rPr>
                <w:rFonts w:ascii="Arial" w:cs="Arial" w:eastAsia="Arial" w:hAnsi="Arial"/>
                <w:sz w:val="18"/>
                <w:szCs w:val="18"/>
                <w:color w:val="auto"/>
              </w:rPr>
              <w:t>- 4 -</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MATCHED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2007 AND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PLAN</w:t>
      </w:r>
    </w:p>
    <w:p>
      <w:pPr>
        <w:spacing w:after="0" w:line="121" w:lineRule="exact"/>
        <w:rPr>
          <w:sz w:val="20"/>
          <w:szCs w:val="20"/>
          <w:color w:val="auto"/>
        </w:rPr>
      </w:pPr>
    </w:p>
    <w:p>
      <w:pPr>
        <w:jc w:val="both"/>
        <w:ind w:left="240" w:right="140"/>
        <w:spacing w:after="0" w:line="277" w:lineRule="auto"/>
        <w:rPr>
          <w:sz w:val="20"/>
          <w:szCs w:val="20"/>
          <w:color w:val="auto"/>
        </w:rPr>
      </w:pPr>
      <w:r>
        <w:rPr>
          <w:rFonts w:ascii="Arial" w:cs="Arial" w:eastAsia="Arial" w:hAnsi="Arial"/>
          <w:sz w:val="18"/>
          <w:szCs w:val="18"/>
          <w:color w:val="auto"/>
        </w:rPr>
        <w:t>The following description of the Brady Matched 401(k) Plan (the Plan) is provided for general information purposes only. Participants should refer to the Plan document for more complete information.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left="240" w:right="160"/>
        <w:spacing w:after="0" w:line="302" w:lineRule="auto"/>
        <w:rPr>
          <w:sz w:val="20"/>
          <w:szCs w:val="20"/>
          <w:color w:val="auto"/>
        </w:rPr>
      </w:pPr>
      <w:r>
        <w:rPr>
          <w:rFonts w:ascii="Arial" w:cs="Arial" w:eastAsia="Arial" w:hAnsi="Arial"/>
          <w:sz w:val="16"/>
          <w:szCs w:val="16"/>
          <w:color w:val="auto"/>
        </w:rPr>
        <w:t>The Plan is a defined contribution plan, which provides retirement benefits to substantially all full-time employees of Brady Corporation (the Company). The Plan does not provide benefits for employees covered by a collective bargaining agreement, leased employees, co-op students, on-call employees or interns. An employee may become a participant in the Plan on the first day of the month coinciding or following the employee’s initial employment date. The Plan is subject to the provisions of the Employee Retirement Income Security Act of 1974, as amended (ERISA).</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121" w:lineRule="exact"/>
        <w:rPr>
          <w:sz w:val="20"/>
          <w:szCs w:val="20"/>
          <w:color w:val="auto"/>
        </w:rPr>
      </w:pPr>
    </w:p>
    <w:p>
      <w:pPr>
        <w:ind w:left="240" w:right="280"/>
        <w:spacing w:after="0" w:line="279" w:lineRule="auto"/>
        <w:rPr>
          <w:sz w:val="20"/>
          <w:szCs w:val="20"/>
          <w:color w:val="auto"/>
        </w:rPr>
      </w:pPr>
      <w:r>
        <w:rPr>
          <w:rFonts w:ascii="Arial" w:cs="Arial" w:eastAsia="Arial" w:hAnsi="Arial"/>
          <w:sz w:val="17"/>
          <w:szCs w:val="17"/>
          <w:color w:val="auto"/>
        </w:rPr>
        <w:t>Each year, participants may contribute up to 25% of their annual base compensation subject to the Internal Revenue Code (IRC) limitations. These voluntary contributions can be withdrawn in whole or part in case of qualifying emergencies (as defined in the Plan), subject to certain restrictions. The Company is required to contribute a 100% matching contribution of up to 4% of the participants’ annual base compensation, subject to compensation limits of $225,000, adjusted for inflation. Participants self-direct all participant and Company contributions.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Participant Accounts</w:t>
      </w:r>
    </w:p>
    <w:p>
      <w:pPr>
        <w:spacing w:after="0" w:line="121" w:lineRule="exact"/>
        <w:rPr>
          <w:sz w:val="20"/>
          <w:szCs w:val="20"/>
          <w:color w:val="auto"/>
        </w:rPr>
      </w:pPr>
    </w:p>
    <w:p>
      <w:pPr>
        <w:ind w:left="240" w:right="140"/>
        <w:spacing w:after="0" w:line="286" w:lineRule="auto"/>
        <w:rPr>
          <w:sz w:val="20"/>
          <w:szCs w:val="20"/>
          <w:color w:val="auto"/>
        </w:rPr>
      </w:pPr>
      <w:r>
        <w:rPr>
          <w:rFonts w:ascii="Arial" w:cs="Arial" w:eastAsia="Arial" w:hAnsi="Arial"/>
          <w:sz w:val="17"/>
          <w:szCs w:val="17"/>
          <w:color w:val="auto"/>
        </w:rPr>
        <w:t>Individual accounts are maintained for each Plan participant. Each participant’s account is credited with the participant’s contribution, the Company’s matching contribution (net of participant forfeitures) and Plan earnings, and charged with withdrawals and an allocation of Plan losses and administrative expenses. The benefit to which a participant is entitled is the benefit that can be provided from the participant’s vested account.</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Investments</w:t>
      </w:r>
    </w:p>
    <w:p>
      <w:pPr>
        <w:spacing w:after="0" w:line="121"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color w:val="auto"/>
        </w:rPr>
        <w:t>Investment options include twelve equity funds, one common collective trust fund, one bond fund, two money market funds, and Brady Corporation Class A Non-Voting Common Stock.</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Vesting</w:t>
      </w:r>
    </w:p>
    <w:p>
      <w:pPr>
        <w:spacing w:after="0" w:line="121" w:lineRule="exact"/>
        <w:rPr>
          <w:sz w:val="20"/>
          <w:szCs w:val="20"/>
          <w:color w:val="auto"/>
        </w:rPr>
      </w:pPr>
    </w:p>
    <w:p>
      <w:pPr>
        <w:jc w:val="both"/>
        <w:ind w:left="240" w:right="300"/>
        <w:spacing w:after="0" w:line="264" w:lineRule="auto"/>
        <w:rPr>
          <w:sz w:val="20"/>
          <w:szCs w:val="20"/>
          <w:color w:val="auto"/>
        </w:rPr>
      </w:pPr>
      <w:r>
        <w:rPr>
          <w:rFonts w:ascii="Arial" w:cs="Arial" w:eastAsia="Arial" w:hAnsi="Arial"/>
          <w:sz w:val="18"/>
          <w:szCs w:val="18"/>
          <w:color w:val="auto"/>
        </w:rPr>
        <w:t>The Plan provides for full vesting of participants’ contributions from the date they are made. The Company’s contributions become vested on a straight line basis over a three-year period of continuous service. The participants’ share of the Company contribution becomes fully vested, in any event, upon normal retirement at age 65, termination due to permanent or total disability or death.</w:t>
      </w:r>
    </w:p>
    <w:p>
      <w:pPr>
        <w:spacing w:after="0" w:line="73"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color w:val="auto"/>
        </w:rPr>
        <w:t>Participants may withdraw their vested interests upon retirement, approved hardship withdrawal, death, disability, or other termination of employment. Withdrawals are made at the participant’s option in the form of a lump sum, installments, annuity, or in-kind in shares of Brady Corporation Class A non-voting common stock.</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Participant Loans</w:t>
      </w:r>
    </w:p>
    <w:p>
      <w:pPr>
        <w:spacing w:after="0" w:line="121"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color w:val="auto"/>
        </w:rPr>
        <w:t>Participants may borrow from their plan accounts a minimum of $1,000 and up to 50% of their account balance with a maximum of $50,000. The loans are secured by the balance in the participant’s account and bear interest at the prime rate. As of December 31, 2007, the interest rates on outstanding loans range from 4.0% to 9.5%.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NOTE 1 — DESCRIPTION OF THE PLAN </w:t>
      </w:r>
      <w:r>
        <w:rPr>
          <w:rFonts w:ascii="Arial" w:cs="Arial" w:eastAsia="Arial" w:hAnsi="Arial"/>
          <w:sz w:val="18"/>
          <w:szCs w:val="18"/>
          <w:color w:val="auto"/>
        </w:rPr>
        <w:t>(continued)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121"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color w:val="auto"/>
        </w:rPr>
        <w:t>On termination of service due to death, disability, or retirement, a participant may elect to receive either a lump-sum amount equal to the value of the participant’s vested interest in his or her account, or annual installments over a ten-year period. For termination of service for other reasons, a participant may receive the value of the vested interest in his or her account as a lump-sum distribution.</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Forfeited Accounts</w:t>
      </w:r>
    </w:p>
    <w:p>
      <w:pPr>
        <w:spacing w:after="0" w:line="121"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color w:val="auto"/>
        </w:rPr>
        <w:t>At December 31, 2007 and 2006, forfeited non-vested accounts totaled $89,070 and $59,903, respectively. These amounts were used to reduce employer contribution receivables as of December 31, 2007 and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Basis of Accounting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Adoption of New Accounting Guidance</w:t>
      </w:r>
    </w:p>
    <w:p>
      <w:pPr>
        <w:spacing w:after="0" w:line="121" w:lineRule="exact"/>
        <w:rPr>
          <w:sz w:val="20"/>
          <w:szCs w:val="20"/>
          <w:color w:val="auto"/>
        </w:rPr>
      </w:pPr>
    </w:p>
    <w:p>
      <w:pPr>
        <w:ind w:left="240"/>
        <w:spacing w:after="0" w:line="290" w:lineRule="auto"/>
        <w:rPr>
          <w:sz w:val="20"/>
          <w:szCs w:val="20"/>
          <w:color w:val="auto"/>
        </w:rPr>
      </w:pPr>
      <w:r>
        <w:rPr>
          <w:rFonts w:ascii="Arial" w:cs="Arial" w:eastAsia="Arial" w:hAnsi="Arial"/>
          <w:sz w:val="16"/>
          <w:szCs w:val="16"/>
          <w:color w:val="auto"/>
        </w:rPr>
        <w:t>Investment contracts held by a defined-contribution plan are required to be reported at fair value as stated in Financial Accounting Standards Board Staff of net assets available for benefits and changes therein. Actual results could differ from those estimates. Position, FSP AAG INV-1 and SOP 94-4-1, Reporting of Fully Benefit-Responsive Investment Contracts Held by Certain Investment Companies Subject to the AICPA Investment Company Guide and Defined-Contribution Health and Welfare and Pension Plans (the FSP). Contract value is the amount participants would receive if they were to initiate permitted transactions under the terms of the Plan and, thus, is the relevant measurement attribute for that portion of the net assets available for benefits of a defined-contribution plan attributable to fully benefit-responsive investment contracts. The statement of net assets available for benefits presents the fair value of the investment contracts as well as the adjustment of the fully benefit-responsive investment contracts from fair value to contract value as required by the FSP. The statement of changes in net assets available for benefits are presented on a contract value basis.</w:t>
      </w:r>
    </w:p>
    <w:p>
      <w:pPr>
        <w:spacing w:after="0" w:line="58" w:lineRule="exact"/>
        <w:rPr>
          <w:sz w:val="20"/>
          <w:szCs w:val="20"/>
          <w:color w:val="auto"/>
        </w:rPr>
      </w:pPr>
    </w:p>
    <w:p>
      <w:pPr>
        <w:ind w:left="240" w:right="40"/>
        <w:spacing w:after="0" w:line="273" w:lineRule="auto"/>
        <w:rPr>
          <w:sz w:val="20"/>
          <w:szCs w:val="20"/>
          <w:color w:val="auto"/>
        </w:rPr>
      </w:pPr>
      <w:r>
        <w:rPr>
          <w:rFonts w:ascii="Arial" w:cs="Arial" w:eastAsia="Arial" w:hAnsi="Arial"/>
          <w:sz w:val="17"/>
          <w:szCs w:val="17"/>
          <w:color w:val="auto"/>
        </w:rPr>
        <w:t>In September 2006, the Financial Accounting Standards Board issued Statement of Financial Accounting Standard (SFAS) No. 157, “Fair Value Measurements.” SFAS 157 provides enhanced guidance for using fair value to measure assets and liabilities. The standard applies whenever other standards require (or permit) assets or liabilities to be measured at fair value. The standard does not expand the use of fair value in any new circumstances. Under the standard, fair value refers to the price that would be received to sell an asset, or paid to transfer a liability, in an orderly transaction between market participants in the market in which the reporting entity is engaged. SFAS 157 will be effective for the Plan on January 1, 2008, although early adoption is permitted. Plan Management is currently evaluating the financial statement impact, if any, of adopting SFAS 157.</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ind w:left="240" w:right="680"/>
        <w:spacing w:after="0" w:line="27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Plan management to make estimates and assumptions that affect the reported amounts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Risks and Uncertainties</w:t>
      </w:r>
    </w:p>
    <w:p>
      <w:pPr>
        <w:spacing w:after="0" w:line="12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color w:val="auto"/>
        </w:rPr>
        <w:t>The Plan utilizes various investment instruments, including mutual funds, common stock and a common collective trust fund.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Investment Valuation and Income Recognition</w:t>
      </w:r>
    </w:p>
    <w:p>
      <w:pPr>
        <w:spacing w:after="0" w:line="121" w:lineRule="exact"/>
        <w:rPr>
          <w:sz w:val="20"/>
          <w:szCs w:val="20"/>
          <w:color w:val="auto"/>
        </w:rPr>
      </w:pPr>
    </w:p>
    <w:p>
      <w:pPr>
        <w:ind w:left="240" w:right="280"/>
        <w:spacing w:after="0" w:line="259" w:lineRule="auto"/>
        <w:rPr>
          <w:sz w:val="20"/>
          <w:szCs w:val="20"/>
          <w:color w:val="auto"/>
        </w:rPr>
      </w:pPr>
      <w:r>
        <w:rPr>
          <w:rFonts w:ascii="Arial" w:cs="Arial" w:eastAsia="Arial" w:hAnsi="Arial"/>
          <w:sz w:val="18"/>
          <w:szCs w:val="18"/>
          <w:color w:val="auto"/>
        </w:rPr>
        <w:t>The Plan’s investments are stated at fair value. Shares of mutual funds are valued at quoted market prices, which represent the net asset value of shares held by the Plan at year end. Common stock is valued at quoted market prices. The common collective trust fund with underlying investments in investment contracts is valued at fair market value of the underlying investments and then adjusted by the issuer to contract value. Participant loans are valued at the outstanding loan balances, which represents fair value.</w:t>
      </w:r>
    </w:p>
    <w:p>
      <w:pPr>
        <w:spacing w:after="0" w:line="79"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One of the investment options available in the Plan is the PNC Investment Contract Fund. The PNC Investment Contract Fund is a common collective trust that invests in fully benefit responsive guaranteed investment contracts (GICs) and synthetic guaranteed investment contracts (SGICs). Participants may ordinarily direct the withdrawal or transfer of all of a portion of their investment at contract value. Contract value represents contributions made to the fund, plus earnings, less participant withdrawals.</w:t>
      </w:r>
    </w:p>
    <w:p>
      <w:pPr>
        <w:spacing w:after="0" w:line="79"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62" w:lineRule="exact"/>
        <w:rPr>
          <w:sz w:val="20"/>
          <w:szCs w:val="20"/>
          <w:color w:val="auto"/>
        </w:rPr>
      </w:pPr>
    </w:p>
    <w:p>
      <w:pPr>
        <w:ind w:left="240" w:right="20"/>
        <w:spacing w:after="0" w:line="342" w:lineRule="auto"/>
        <w:rPr>
          <w:sz w:val="20"/>
          <w:szCs w:val="20"/>
          <w:color w:val="auto"/>
        </w:rPr>
      </w:pPr>
      <w:r>
        <w:rPr>
          <w:rFonts w:ascii="Arial" w:cs="Arial" w:eastAsia="Arial" w:hAnsi="Arial"/>
          <w:sz w:val="16"/>
          <w:szCs w:val="16"/>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investment return for such investments.</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Administrative Expenses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Administrative expenses of the Plan are paid by the Plan as provided in the Plan document.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Payment of Benefits</w:t>
      </w:r>
    </w:p>
    <w:p>
      <w:pPr>
        <w:spacing w:after="0" w:line="121" w:lineRule="exact"/>
        <w:rPr>
          <w:sz w:val="20"/>
          <w:szCs w:val="20"/>
          <w:color w:val="auto"/>
        </w:rPr>
      </w:pPr>
    </w:p>
    <w:p>
      <w:pPr>
        <w:ind w:left="240" w:right="280"/>
        <w:spacing w:after="0" w:line="277" w:lineRule="auto"/>
        <w:rPr>
          <w:sz w:val="20"/>
          <w:szCs w:val="20"/>
          <w:color w:val="auto"/>
        </w:rPr>
      </w:pPr>
      <w:r>
        <w:rPr>
          <w:rFonts w:ascii="Arial" w:cs="Arial" w:eastAsia="Arial" w:hAnsi="Arial"/>
          <w:sz w:val="18"/>
          <w:szCs w:val="18"/>
          <w:color w:val="auto"/>
        </w:rPr>
        <w:t>Benefit payments to participants are recorded upon distribution. There were no amounts allocated to accounts of persons who have elected to withdraw from the Plan but have not yet been paid as of December 31, 2007 and 2006.</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Excess Contributions Payable</w:t>
      </w:r>
    </w:p>
    <w:p>
      <w:pPr>
        <w:spacing w:after="0" w:line="121" w:lineRule="exact"/>
        <w:rPr>
          <w:sz w:val="20"/>
          <w:szCs w:val="20"/>
          <w:color w:val="auto"/>
        </w:rPr>
      </w:pPr>
    </w:p>
    <w:p>
      <w:pPr>
        <w:ind w:left="240" w:right="100"/>
        <w:spacing w:after="0" w:line="264" w:lineRule="auto"/>
        <w:rPr>
          <w:sz w:val="20"/>
          <w:szCs w:val="20"/>
          <w:color w:val="auto"/>
        </w:rPr>
      </w:pPr>
      <w:r>
        <w:rPr>
          <w:rFonts w:ascii="Arial" w:cs="Arial" w:eastAsia="Arial" w:hAnsi="Arial"/>
          <w:sz w:val="18"/>
          <w:szCs w:val="18"/>
          <w:color w:val="auto"/>
        </w:rPr>
        <w:t>The Plan is required to return contributions received during the Plan year in excess of the IRC limits to the contributing participants. There was no excess contributions for the year ended December 31, 2007, and there were excess contributions for the year ended December 31, 2006 in the amount of $181,161.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value of individual investments held which exceeded 5% of the net assets available for benefits at December 31, 2007 and 2006,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16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4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2006</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Fidelity Diversified International Fund</w:t>
            </w:r>
          </w:p>
        </w:tc>
        <w:tc>
          <w:tcPr>
            <w:tcW w:w="1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  13,936,242</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$12,049,006</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Blackrock Money Market Portfolio*</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9,220,174</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7,685,323</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Advisors Intermediate Bond Fund</w:t>
            </w:r>
          </w:p>
        </w:tc>
        <w:tc>
          <w:tcPr>
            <w:tcW w:w="1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9,592,730</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8,657,681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Vanguard Institutional Index Fund</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17,051,532</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16,532,302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PNC Investment Contract Fund*</w:t>
            </w:r>
          </w:p>
        </w:tc>
        <w:tc>
          <w:tcPr>
            <w:tcW w:w="1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**19,536,534</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18,475,932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Fidelity Advisors Equity Growth Fund</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44,410,899</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39,149,681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MFS Emerging Markets Equity Fund</w:t>
            </w:r>
          </w:p>
        </w:tc>
        <w:tc>
          <w:tcPr>
            <w:tcW w:w="1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11,235,879</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8,529,192</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LSV Value Equity Fund</w:t>
            </w:r>
          </w:p>
        </w:tc>
        <w:tc>
          <w:tcPr>
            <w:tcW w:w="1620" w:type="dxa"/>
            <w:vAlign w:val="bottom"/>
          </w:tcPr>
          <w:p>
            <w:pPr>
              <w:jc w:val="right"/>
              <w:ind w:right="212"/>
              <w:spacing w:after="0"/>
              <w:rPr>
                <w:sz w:val="20"/>
                <w:szCs w:val="20"/>
                <w:color w:val="auto"/>
              </w:rPr>
            </w:pPr>
            <w:r>
              <w:rPr>
                <w:rFonts w:ascii="Arial" w:cs="Arial" w:eastAsia="Arial" w:hAnsi="Arial"/>
                <w:sz w:val="18"/>
                <w:szCs w:val="18"/>
                <w:color w:val="auto"/>
              </w:rPr>
              <w:t>9,662,284</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10,188,848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7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represents contract value which differs from fair value as noted in the supplemental schedule.</w:t>
      </w:r>
    </w:p>
    <w:p>
      <w:pPr>
        <w:spacing w:after="0" w:line="11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color w:val="auto"/>
        </w:rPr>
        <w:t>During the years ended December 31, 2007 and 2006, the Plan’s investments (including gains and losses on investments bought and sold, as well as held during the year) appreciated (depreciated) in value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Equity funds</w:t>
            </w:r>
          </w:p>
        </w:tc>
        <w:tc>
          <w:tcPr>
            <w:tcW w:w="4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$10,933,221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$10,070,134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Bond mutual fund</w:t>
            </w:r>
          </w:p>
        </w:tc>
        <w:tc>
          <w:tcPr>
            <w:tcW w:w="4380" w:type="dxa"/>
            <w:vAlign w:val="bottom"/>
            <w:gridSpan w:val="3"/>
          </w:tcPr>
          <w:p>
            <w:pPr>
              <w:jc w:val="right"/>
              <w:ind w:right="600"/>
              <w:spacing w:after="0"/>
              <w:rPr>
                <w:sz w:val="20"/>
                <w:szCs w:val="20"/>
                <w:color w:val="auto"/>
              </w:rPr>
            </w:pPr>
            <w:r>
              <w:rPr>
                <w:rFonts w:ascii="Arial" w:cs="Arial" w:eastAsia="Arial" w:hAnsi="Arial"/>
                <w:sz w:val="18"/>
                <w:szCs w:val="18"/>
                <w:color w:val="auto"/>
              </w:rPr>
              <w:t>(90,505)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 fund</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908,982</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Brady Corporation common stock</w:t>
            </w:r>
          </w:p>
        </w:tc>
        <w:tc>
          <w:tcPr>
            <w:tcW w:w="4380" w:type="dxa"/>
            <w:vAlign w:val="bottom"/>
            <w:gridSpan w:val="3"/>
          </w:tcPr>
          <w:p>
            <w:pPr>
              <w:jc w:val="right"/>
              <w:ind w:right="600"/>
              <w:spacing w:after="0"/>
              <w:rPr>
                <w:sz w:val="20"/>
                <w:szCs w:val="20"/>
                <w:color w:val="auto"/>
              </w:rPr>
            </w:pPr>
            <w:r>
              <w:rPr>
                <w:rFonts w:ascii="Arial" w:cs="Arial" w:eastAsia="Arial" w:hAnsi="Arial"/>
                <w:sz w:val="18"/>
                <w:szCs w:val="18"/>
                <w:color w:val="auto"/>
              </w:rPr>
              <w:t>(210,006)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126,188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in fair value of investments</w:t>
            </w:r>
          </w:p>
        </w:tc>
        <w:tc>
          <w:tcPr>
            <w:tcW w:w="4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$ 11,541,692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$ 11,072,633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PLAN TERMINATION</w:t>
      </w:r>
    </w:p>
    <w:p>
      <w:pPr>
        <w:spacing w:after="0" w:line="121"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Although it has not expressed any intention to do so, the Company has the right under the Plan provisions to discontinue its contributions at any time and to terminate the Plan subject to the provisions set forth in ERISA. In the event that the Plan is terminated, participants would become 100 percent vested in unvested employer matching contributions in their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FEDERAL INCOME TAX STATUS</w:t>
      </w:r>
    </w:p>
    <w:p>
      <w:pPr>
        <w:spacing w:after="0" w:line="121" w:lineRule="exact"/>
        <w:rPr>
          <w:sz w:val="20"/>
          <w:szCs w:val="20"/>
          <w:color w:val="auto"/>
        </w:rPr>
      </w:pPr>
    </w:p>
    <w:p>
      <w:pPr>
        <w:ind w:left="240" w:right="220"/>
        <w:spacing w:after="0" w:line="302" w:lineRule="auto"/>
        <w:rPr>
          <w:sz w:val="20"/>
          <w:szCs w:val="20"/>
          <w:color w:val="auto"/>
        </w:rPr>
      </w:pPr>
      <w:r>
        <w:rPr>
          <w:rFonts w:ascii="Arial" w:cs="Arial" w:eastAsia="Arial" w:hAnsi="Arial"/>
          <w:sz w:val="16"/>
          <w:szCs w:val="16"/>
          <w:color w:val="auto"/>
        </w:rPr>
        <w:t>The Plan uses a prototype plan document sponsored by PNC Bank (PNC or the Trustee). PNC received an opinion letter from the Internal Revenue Service (IRS), dated November 19, 2001,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 EXEMPT PARTY-IN-INTEREST TRANSACTIONS</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color w:val="auto"/>
        </w:rPr>
        <w:t>The Plan invests in Company common stock. In addition, certain plan investments represent shares of mutual funds and common collective trust funds managed by the Trustee. Fees paid by the Plan for investment management services were included as a reduction of the return earned on each fund. These transactions are considered party-in-interest transactions. These transactions are not, however, considered prohibited transactions under ERISA regulations.</w:t>
      </w:r>
    </w:p>
    <w:p>
      <w:pPr>
        <w:spacing w:after="0" w:line="79" w:lineRule="exact"/>
        <w:rPr>
          <w:sz w:val="20"/>
          <w:szCs w:val="20"/>
          <w:color w:val="auto"/>
        </w:rPr>
      </w:pPr>
    </w:p>
    <w:p>
      <w:pPr>
        <w:jc w:val="both"/>
        <w:ind w:left="240" w:right="400"/>
        <w:spacing w:after="0" w:line="264" w:lineRule="auto"/>
        <w:rPr>
          <w:sz w:val="20"/>
          <w:szCs w:val="20"/>
          <w:color w:val="auto"/>
        </w:rPr>
      </w:pPr>
      <w:r>
        <w:rPr>
          <w:rFonts w:ascii="Arial" w:cs="Arial" w:eastAsia="Arial" w:hAnsi="Arial"/>
          <w:sz w:val="18"/>
          <w:szCs w:val="18"/>
          <w:color w:val="auto"/>
        </w:rPr>
        <w:t>At December 31, 2007 and 2006, the Plan held 113,899 and 121,278 shares, respectively of common stock of Brady Corporation, with a cost basis of $2,869,435 and $2,768,438, respectively. During the years ended December 31, 2007 and 2006, the Plan recorded dividend income from the common stock of Brady Corporation of $70,972 and $65,699,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PLAN TRANSFERS</w:t>
      </w:r>
    </w:p>
    <w:p>
      <w:pPr>
        <w:spacing w:after="0" w:line="121" w:lineRule="exact"/>
        <w:rPr>
          <w:sz w:val="20"/>
          <w:szCs w:val="20"/>
          <w:color w:val="auto"/>
        </w:rPr>
      </w:pPr>
    </w:p>
    <w:p>
      <w:pPr>
        <w:ind w:left="240" w:right="100"/>
        <w:spacing w:after="0" w:line="264" w:lineRule="auto"/>
        <w:rPr>
          <w:sz w:val="20"/>
          <w:szCs w:val="20"/>
          <w:color w:val="auto"/>
        </w:rPr>
      </w:pPr>
      <w:r>
        <w:rPr>
          <w:rFonts w:ascii="Arial" w:cs="Arial" w:eastAsia="Arial" w:hAnsi="Arial"/>
          <w:sz w:val="18"/>
          <w:szCs w:val="18"/>
          <w:color w:val="auto"/>
        </w:rPr>
        <w:t>Effective January 1, 2006, the Plan received plan-to-plan transfers from two of the Company’s subsidiaries, TruMed Technologies, Inc. and TISCOR, Inc. The plans, previously named the TruMed Technologies Inc. 401(k) Profit Sharing Plan and Trust and the TISCOR, Inc. 401(k) Savings Plan, transferred assets of $256,924 and $533,703, respectively, during January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RECONCILIATION TO FORM 5500</w:t>
      </w:r>
    </w:p>
    <w:p>
      <w:pPr>
        <w:spacing w:after="0" w:line="121"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color w:val="auto"/>
        </w:rPr>
        <w:t>Net assets available for benefits in the accompanying financial statements are reported at contract value, however, they are recorded at fair value in the Plan’s Form 5500.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reconciles net assets available for benefits per the financial statements to the Plan’s Form 5500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financial statements</w:t>
            </w:r>
          </w:p>
        </w:tc>
        <w:tc>
          <w:tcPr>
            <w:tcW w:w="2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$ 176,442,563</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$ 157,342,304</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2280" w:type="dxa"/>
            <w:vAlign w:val="bottom"/>
            <w:gridSpan w:val="3"/>
          </w:tcPr>
          <w:p>
            <w:pPr>
              <w:jc w:val="right"/>
              <w:ind w:right="320"/>
              <w:spacing w:after="0"/>
              <w:rPr>
                <w:sz w:val="20"/>
                <w:szCs w:val="20"/>
                <w:color w:val="auto"/>
              </w:rPr>
            </w:pPr>
            <w:r>
              <w:rPr>
                <w:rFonts w:ascii="Arial" w:cs="Arial" w:eastAsia="Arial" w:hAnsi="Arial"/>
                <w:sz w:val="18"/>
                <w:szCs w:val="18"/>
                <w:color w:val="auto"/>
              </w:rPr>
              <w:t>227,453</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(118,501)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Amounts reported per Form 5500</w:t>
            </w:r>
          </w:p>
        </w:tc>
        <w:tc>
          <w:tcPr>
            <w:tcW w:w="2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176,670,016</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157,223,803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reconciles the increase in net assets available for benefits per the financial statements to the Form 5500 for the years ended</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Amounts reported per financial statements</w:t>
            </w:r>
          </w:p>
        </w:tc>
        <w:tc>
          <w:tcPr>
            <w:tcW w:w="18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$19,100,259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$18,220,186</w:t>
            </w:r>
          </w:p>
        </w:tc>
        <w:tc>
          <w:tcPr>
            <w:tcW w:w="0" w:type="dxa"/>
            <w:vAlign w:val="bottom"/>
          </w:tcPr>
          <w:p>
            <w:pPr>
              <w:spacing w:after="0"/>
              <w:rPr>
                <w:sz w:val="1"/>
                <w:szCs w:val="1"/>
                <w:color w:val="auto"/>
              </w:rPr>
            </w:pPr>
          </w:p>
        </w:tc>
      </w:tr>
      <w:tr>
        <w:trPr>
          <w:trHeight w:val="432"/>
        </w:trPr>
        <w:tc>
          <w:tcPr>
            <w:tcW w:w="8540" w:type="dxa"/>
            <w:vAlign w:val="bottom"/>
            <w:gridSpan w:val="2"/>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 at end of year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227,453</w:t>
            </w:r>
          </w:p>
        </w:tc>
        <w:tc>
          <w:tcPr>
            <w:tcW w:w="66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(118,501)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 from contract value to fair value for fully benefit-responsive investment contracts at beginning of year</w:t>
            </w:r>
          </w:p>
        </w:tc>
        <w:tc>
          <w:tcPr>
            <w:tcW w:w="2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118,501</w:t>
            </w:r>
          </w:p>
        </w:tc>
        <w:tc>
          <w:tcPr>
            <w:tcW w:w="6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540" w:type="dxa"/>
            <w:vAlign w:val="bottom"/>
            <w:gridSpan w:val="2"/>
          </w:tcPr>
          <w:p>
            <w:pPr>
              <w:spacing w:after="0"/>
              <w:rPr>
                <w:sz w:val="20"/>
                <w:szCs w:val="20"/>
                <w:color w:val="auto"/>
              </w:rPr>
            </w:pPr>
            <w:r>
              <w:rPr>
                <w:rFonts w:ascii="Arial" w:cs="Arial" w:eastAsia="Arial" w:hAnsi="Arial"/>
                <w:sz w:val="18"/>
                <w:szCs w:val="18"/>
                <w:color w:val="auto"/>
              </w:rPr>
              <w:t>Amounts reported per Form 5500</w:t>
            </w:r>
          </w:p>
        </w:tc>
        <w:tc>
          <w:tcPr>
            <w:tcW w:w="1860" w:type="dxa"/>
            <w:vAlign w:val="bottom"/>
            <w:gridSpan w:val="3"/>
          </w:tcPr>
          <w:p>
            <w:pPr>
              <w:jc w:val="right"/>
              <w:ind w:right="6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19,446,213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18,101,685</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jc w:val="right"/>
              <w:ind w:right="2590"/>
              <w:spacing w:after="0"/>
              <w:rPr>
                <w:sz w:val="20"/>
                <w:szCs w:val="20"/>
                <w:color w:val="auto"/>
              </w:rPr>
            </w:pPr>
            <w:r>
              <w:rPr>
                <w:rFonts w:ascii="Arial" w:cs="Arial" w:eastAsia="Arial" w:hAnsi="Arial"/>
                <w:sz w:val="18"/>
                <w:szCs w:val="18"/>
                <w:color w:val="auto"/>
              </w:rPr>
              <w:t>- 9 -</w:t>
            </w: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9 — SUBSEQUENT EVENT</w:t>
      </w:r>
    </w:p>
    <w:p>
      <w:pPr>
        <w:spacing w:after="0" w:line="121"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color w:val="auto"/>
        </w:rPr>
        <w:t>Effective January 1, 2008, for any new participant or existing employee who is not participating, the Plan will automatically withhold 3% of the employee’s pay, on a pre-tax basis. The withheld funds will be deposited into an account under the employee’s name in the Plan, unless a waiver form was completed by the employee by December 14, 2007.</w:t>
      </w:r>
    </w:p>
    <w:p>
      <w:pPr>
        <w:spacing w:after="0" w:line="73" w:lineRule="exact"/>
        <w:rPr>
          <w:sz w:val="20"/>
          <w:szCs w:val="20"/>
          <w:color w:val="auto"/>
        </w:rPr>
      </w:pPr>
    </w:p>
    <w:p>
      <w:pPr>
        <w:ind w:left="240" w:right="800"/>
        <w:spacing w:after="0" w:line="277" w:lineRule="auto"/>
        <w:rPr>
          <w:sz w:val="20"/>
          <w:szCs w:val="20"/>
          <w:color w:val="auto"/>
        </w:rPr>
      </w:pPr>
      <w:r>
        <w:rPr>
          <w:rFonts w:ascii="Arial" w:cs="Arial" w:eastAsia="Arial" w:hAnsi="Arial"/>
          <w:sz w:val="18"/>
          <w:szCs w:val="18"/>
          <w:color w:val="auto"/>
        </w:rPr>
        <w:t>Effective January 1, 2008, Brady Corporation will match 100% of the first 3% and 50% of the next 2% that a participant contributes. Company contributions will be vested 100% after two years for all contributions made after January 1, 2008.</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This information is an integral part of the accompanying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SUPPLEMENTAL SCHEDULE</w:t>
      </w:r>
    </w:p>
    <w:p>
      <w:pPr>
        <w:sectPr>
          <w:pgSz w:w="11900" w:h="16838" w:orient="portrait"/>
          <w:cols w:equalWidth="0" w:num="1">
            <w:col w:w="9019"/>
          </w:cols>
          <w:pgMar w:left="1440" w:top="958"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type w:val="continuous"/>
        </w:sectPr>
      </w:pPr>
    </w:p>
    <w:bookmarkStart w:id="14" w:name="page15"/>
    <w:bookmarkEnd w:id="14"/>
    <w:p>
      <w:pPr>
        <w:spacing w:after="0"/>
        <w:tabs>
          <w:tab w:leader="none" w:pos="9700" w:val="left"/>
        </w:tabs>
        <w:rPr>
          <w:sz w:val="20"/>
          <w:szCs w:val="20"/>
          <w:color w:val="auto"/>
        </w:rPr>
      </w:pPr>
      <w:r>
        <w:rPr>
          <w:rFonts w:ascii="Arial" w:cs="Arial" w:eastAsia="Arial" w:hAnsi="Arial"/>
          <w:sz w:val="18"/>
          <w:szCs w:val="18"/>
          <w:b w:val="1"/>
          <w:bCs w:val="1"/>
          <w:color w:val="auto"/>
        </w:rPr>
        <w:t>BRADY CORPORATION</w:t>
      </w:r>
      <w:r>
        <w:rPr>
          <w:sz w:val="20"/>
          <w:szCs w:val="20"/>
          <w:color w:val="auto"/>
        </w:rPr>
        <w:tab/>
      </w:r>
      <w:r>
        <w:rPr>
          <w:rFonts w:ascii="Arial" w:cs="Arial" w:eastAsia="Arial" w:hAnsi="Arial"/>
          <w:sz w:val="16"/>
          <w:szCs w:val="16"/>
          <w:b w:val="1"/>
          <w:bCs w:val="1"/>
          <w:color w:val="auto"/>
        </w:rPr>
        <w:t>EIN #: 39-0178960</w:t>
      </w:r>
    </w:p>
    <w:p>
      <w:pPr>
        <w:spacing w:after="0" w:line="27" w:lineRule="exact"/>
        <w:rPr>
          <w:sz w:val="20"/>
          <w:szCs w:val="20"/>
          <w:color w:val="auto"/>
        </w:rPr>
      </w:pPr>
    </w:p>
    <w:p>
      <w:pPr>
        <w:spacing w:after="0"/>
        <w:tabs>
          <w:tab w:leader="none" w:pos="9700" w:val="left"/>
        </w:tabs>
        <w:rPr>
          <w:sz w:val="20"/>
          <w:szCs w:val="20"/>
          <w:color w:val="auto"/>
        </w:rPr>
      </w:pPr>
      <w:r>
        <w:rPr>
          <w:rFonts w:ascii="Arial" w:cs="Arial" w:eastAsia="Arial" w:hAnsi="Arial"/>
          <w:sz w:val="18"/>
          <w:szCs w:val="18"/>
          <w:b w:val="1"/>
          <w:bCs w:val="1"/>
          <w:color w:val="auto"/>
        </w:rPr>
        <w:t>BRADY MATCHED 401(k) PLAN</w:t>
      </w:r>
      <w:r>
        <w:rPr>
          <w:sz w:val="20"/>
          <w:szCs w:val="20"/>
          <w:color w:val="auto"/>
        </w:rPr>
        <w:tab/>
      </w:r>
      <w:r>
        <w:rPr>
          <w:rFonts w:ascii="Arial" w:cs="Arial" w:eastAsia="Arial" w:hAnsi="Arial"/>
          <w:sz w:val="16"/>
          <w:szCs w:val="16"/>
          <w:b w:val="1"/>
          <w:bCs w:val="1"/>
          <w:color w:val="auto"/>
        </w:rPr>
        <w:t>Plan #: 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LINE 4i—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2007</w:t>
      </w:r>
    </w:p>
    <w:p>
      <w:pPr>
        <w:sectPr>
          <w:pgSz w:w="11900" w:h="16838" w:orient="portrait"/>
          <w:cols w:equalWidth="0" w:num="1">
            <w:col w:w="11320"/>
          </w:cols>
          <w:pgMar w:left="240" w:top="1148" w:right="339" w:bottom="144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EQUITY FUNDS: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MFS Emerging Markets Equity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Fidelity Advisors Equity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PIMCO Commodity Real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PNC Small Cap Growth Equity Portfolio*</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Century Small Cap Value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LSV Value Equity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 Rowe Price Retirement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Retirement 2020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 Rowe Price Retirement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Retirement 2040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Vanguard Institutional Index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COMMON COLLECTIVE TRUST FUND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PNC Investment Contract Fund*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BOND FUND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Fidelity Advisors Intermediate Bond Fund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Blackrock Money Market Portfolio*</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Brady Stock Liquidity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COMMON STOCK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Brady Corporation Class A Non-voting*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PARTICIPANT LOANS — (At prime, due through November 28,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TOTAL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185" w:lineRule="exact"/>
        <w:rPr>
          <w:sz w:val="20"/>
          <w:szCs w:val="20"/>
          <w:color w:val="auto"/>
        </w:rPr>
      </w:pPr>
    </w:p>
    <w:p>
      <w:pPr>
        <w:jc w:val="right"/>
        <w:ind w:right="367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381"/>
        <w:spacing w:after="0"/>
        <w:rPr>
          <w:sz w:val="20"/>
          <w:szCs w:val="20"/>
          <w:color w:val="auto"/>
        </w:rPr>
      </w:pPr>
      <w:r>
        <w:rPr>
          <w:rFonts w:ascii="Arial" w:cs="Arial" w:eastAsia="Arial" w:hAnsi="Arial"/>
          <w:sz w:val="14"/>
          <w:szCs w:val="14"/>
          <w:b w:val="1"/>
          <w:bCs w:val="1"/>
          <w:color w:val="auto"/>
        </w:rPr>
        <w:t>Fair</w:t>
      </w:r>
    </w:p>
    <w:p>
      <w:pPr>
        <w:spacing w:after="0" w:line="4" w:lineRule="exact"/>
        <w:rPr>
          <w:sz w:val="20"/>
          <w:szCs w:val="20"/>
          <w:color w:val="auto"/>
        </w:rPr>
      </w:pPr>
    </w:p>
    <w:p>
      <w:pPr>
        <w:ind w:left="341"/>
        <w:spacing w:after="0"/>
        <w:rPr>
          <w:sz w:val="20"/>
          <w:szCs w:val="20"/>
          <w:color w:val="auto"/>
        </w:rPr>
      </w:pPr>
      <w:r>
        <w:rPr>
          <w:rFonts w:ascii="Arial" w:cs="Arial" w:eastAsia="Arial" w:hAnsi="Arial"/>
          <w:sz w:val="14"/>
          <w:szCs w:val="14"/>
          <w:b w:val="1"/>
          <w:bCs w:val="1"/>
          <w:color w:val="auto"/>
        </w:rPr>
        <w:t>Value</w:t>
      </w:r>
    </w:p>
    <w:p>
      <w:pPr>
        <w:spacing w:after="0" w:line="196" w:lineRule="exact"/>
        <w:rPr>
          <w:sz w:val="20"/>
          <w:szCs w:val="20"/>
          <w:color w:val="auto"/>
        </w:rPr>
      </w:pPr>
    </w:p>
    <w:p>
      <w:pPr>
        <w:ind w:left="201" w:hanging="201"/>
        <w:spacing w:after="0"/>
        <w:tabs>
          <w:tab w:leader="none" w:pos="201" w:val="left"/>
        </w:tabs>
        <w:numPr>
          <w:ilvl w:val="0"/>
          <w:numId w:val="6"/>
        </w:numPr>
        <w:rPr>
          <w:rFonts w:ascii="Arial" w:cs="Arial" w:eastAsia="Arial" w:hAnsi="Arial"/>
          <w:sz w:val="16"/>
          <w:szCs w:val="16"/>
          <w:color w:val="auto"/>
        </w:rPr>
      </w:pPr>
      <w:r>
        <w:rPr>
          <w:rFonts w:ascii="Arial" w:cs="Arial" w:eastAsia="Arial" w:hAnsi="Arial"/>
          <w:sz w:val="16"/>
          <w:szCs w:val="16"/>
          <w:color w:val="auto"/>
        </w:rPr>
        <w:t>11,235,879</w:t>
      </w:r>
    </w:p>
    <w:p>
      <w:pPr>
        <w:spacing w:after="0" w:line="46" w:lineRule="exact"/>
        <w:rPr>
          <w:rFonts w:ascii="Arial" w:cs="Arial" w:eastAsia="Arial" w:hAnsi="Arial"/>
          <w:sz w:val="16"/>
          <w:szCs w:val="16"/>
          <w:color w:val="auto"/>
        </w:rPr>
      </w:pPr>
    </w:p>
    <w:p>
      <w:pPr>
        <w:ind w:left="201"/>
        <w:spacing w:after="0"/>
        <w:rPr>
          <w:rFonts w:ascii="Arial" w:cs="Arial" w:eastAsia="Arial" w:hAnsi="Arial"/>
          <w:sz w:val="16"/>
          <w:szCs w:val="16"/>
          <w:color w:val="auto"/>
        </w:rPr>
      </w:pPr>
      <w:r>
        <w:rPr>
          <w:rFonts w:ascii="Arial" w:cs="Arial" w:eastAsia="Arial" w:hAnsi="Arial"/>
          <w:sz w:val="16"/>
          <w:szCs w:val="16"/>
          <w:color w:val="auto"/>
        </w:rPr>
        <w:t>44,410,899</w:t>
      </w:r>
    </w:p>
    <w:p>
      <w:pPr>
        <w:spacing w:after="0" w:line="32" w:lineRule="exact"/>
        <w:rPr>
          <w:rFonts w:ascii="Arial" w:cs="Arial" w:eastAsia="Arial" w:hAnsi="Arial"/>
          <w:sz w:val="16"/>
          <w:szCs w:val="16"/>
          <w:color w:val="auto"/>
        </w:rPr>
      </w:pPr>
    </w:p>
    <w:p>
      <w:pPr>
        <w:ind w:left="201"/>
        <w:spacing w:after="0"/>
        <w:rPr>
          <w:rFonts w:ascii="Arial" w:cs="Arial" w:eastAsia="Arial" w:hAnsi="Arial"/>
          <w:sz w:val="16"/>
          <w:szCs w:val="16"/>
          <w:color w:val="auto"/>
        </w:rPr>
      </w:pPr>
      <w:r>
        <w:rPr>
          <w:rFonts w:ascii="Arial" w:cs="Arial" w:eastAsia="Arial" w:hAnsi="Arial"/>
          <w:sz w:val="16"/>
          <w:szCs w:val="16"/>
          <w:color w:val="auto"/>
        </w:rPr>
        <w:t>13,936,242</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1,188,937</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7,366,946</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5,141,348</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9,662,284</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4,016,184</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8,095,776</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4,715,072</w:t>
      </w:r>
    </w:p>
    <w:p>
      <w:pPr>
        <w:spacing w:after="0" w:line="32" w:lineRule="exact"/>
        <w:rPr>
          <w:rFonts w:ascii="Arial" w:cs="Arial" w:eastAsia="Arial" w:hAnsi="Arial"/>
          <w:sz w:val="16"/>
          <w:szCs w:val="16"/>
          <w:color w:val="auto"/>
        </w:rPr>
      </w:pPr>
    </w:p>
    <w:p>
      <w:pPr>
        <w:ind w:left="301"/>
        <w:spacing w:after="0"/>
        <w:rPr>
          <w:rFonts w:ascii="Arial" w:cs="Arial" w:eastAsia="Arial" w:hAnsi="Arial"/>
          <w:sz w:val="16"/>
          <w:szCs w:val="16"/>
          <w:color w:val="auto"/>
        </w:rPr>
      </w:pPr>
      <w:r>
        <w:rPr>
          <w:rFonts w:ascii="Arial" w:cs="Arial" w:eastAsia="Arial" w:hAnsi="Arial"/>
          <w:sz w:val="16"/>
          <w:szCs w:val="16"/>
          <w:color w:val="auto"/>
        </w:rPr>
        <w:t>2,838,021</w:t>
      </w:r>
    </w:p>
    <w:p>
      <w:pPr>
        <w:spacing w:after="0" w:line="32" w:lineRule="exact"/>
        <w:rPr>
          <w:rFonts w:ascii="Arial" w:cs="Arial" w:eastAsia="Arial" w:hAnsi="Arial"/>
          <w:sz w:val="16"/>
          <w:szCs w:val="16"/>
          <w:color w:val="auto"/>
        </w:rPr>
      </w:pPr>
    </w:p>
    <w:p>
      <w:pPr>
        <w:ind w:left="201"/>
        <w:spacing w:after="0"/>
        <w:rPr>
          <w:rFonts w:ascii="Arial" w:cs="Arial" w:eastAsia="Arial" w:hAnsi="Arial"/>
          <w:sz w:val="16"/>
          <w:szCs w:val="16"/>
          <w:color w:val="auto"/>
        </w:rPr>
      </w:pPr>
      <w:r>
        <w:rPr>
          <w:rFonts w:ascii="Arial" w:cs="Arial" w:eastAsia="Arial" w:hAnsi="Arial"/>
          <w:sz w:val="16"/>
          <w:szCs w:val="16"/>
          <w:color w:val="auto"/>
        </w:rPr>
        <w:t>17,051,532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43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1" w:lineRule="exact"/>
        <w:rPr>
          <w:sz w:val="20"/>
          <w:szCs w:val="20"/>
          <w:color w:val="auto"/>
        </w:rPr>
      </w:pPr>
    </w:p>
    <w:p>
      <w:pPr>
        <w:ind w:left="121"/>
        <w:spacing w:after="0"/>
        <w:rPr>
          <w:sz w:val="20"/>
          <w:szCs w:val="20"/>
          <w:color w:val="auto"/>
        </w:rPr>
      </w:pPr>
      <w:r>
        <w:rPr>
          <w:rFonts w:ascii="Arial" w:cs="Arial" w:eastAsia="Arial" w:hAnsi="Arial"/>
          <w:sz w:val="16"/>
          <w:szCs w:val="16"/>
          <w:u w:val="single" w:color="auto"/>
          <w:color w:val="auto"/>
        </w:rPr>
        <w:t>129,659,120</w:t>
      </w:r>
    </w:p>
    <w:p>
      <w:pPr>
        <w:spacing w:after="0" w:line="200" w:lineRule="exact"/>
        <w:rPr>
          <w:sz w:val="20"/>
          <w:szCs w:val="20"/>
          <w:color w:val="auto"/>
        </w:rPr>
      </w:pPr>
    </w:p>
    <w:p>
      <w:pPr>
        <w:spacing w:after="0" w:line="291" w:lineRule="exact"/>
        <w:rPr>
          <w:sz w:val="20"/>
          <w:szCs w:val="20"/>
          <w:color w:val="auto"/>
        </w:rPr>
      </w:pPr>
    </w:p>
    <w:p>
      <w:pPr>
        <w:ind w:left="201"/>
        <w:spacing w:after="0"/>
        <w:rPr>
          <w:sz w:val="20"/>
          <w:szCs w:val="20"/>
          <w:color w:val="auto"/>
        </w:rPr>
      </w:pPr>
      <w:r>
        <w:rPr>
          <w:rFonts w:ascii="Arial" w:cs="Arial" w:eastAsia="Arial" w:hAnsi="Arial"/>
          <w:sz w:val="16"/>
          <w:szCs w:val="16"/>
          <w:color w:val="auto"/>
        </w:rPr>
        <w:t>19,763,987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01"/>
        <w:spacing w:after="0"/>
        <w:rPr>
          <w:sz w:val="20"/>
          <w:szCs w:val="20"/>
          <w:color w:val="auto"/>
        </w:rPr>
      </w:pPr>
      <w:r>
        <w:rPr>
          <w:rFonts w:ascii="Arial" w:cs="Arial" w:eastAsia="Arial" w:hAnsi="Arial"/>
          <w:sz w:val="16"/>
          <w:szCs w:val="16"/>
          <w:color w:val="auto"/>
        </w:rPr>
        <w:t>9,592,730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9,220,174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18" w:lineRule="exact"/>
        <w:rPr>
          <w:sz w:val="20"/>
          <w:szCs w:val="20"/>
          <w:color w:val="auto"/>
        </w:rPr>
      </w:pPr>
    </w:p>
    <w:p>
      <w:pPr>
        <w:ind w:left="301"/>
        <w:spacing w:after="0"/>
        <w:rPr>
          <w:sz w:val="20"/>
          <w:szCs w:val="20"/>
          <w:color w:val="auto"/>
        </w:rPr>
      </w:pPr>
      <w:r>
        <w:rPr>
          <w:rFonts w:ascii="Arial" w:cs="Arial" w:eastAsia="Arial" w:hAnsi="Arial"/>
          <w:sz w:val="16"/>
          <w:szCs w:val="16"/>
          <w:color w:val="auto"/>
        </w:rPr>
        <w:t>9,221,337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01"/>
        <w:spacing w:after="0"/>
        <w:rPr>
          <w:sz w:val="20"/>
          <w:szCs w:val="20"/>
          <w:color w:val="auto"/>
        </w:rPr>
      </w:pPr>
      <w:r>
        <w:rPr>
          <w:rFonts w:ascii="Arial" w:cs="Arial" w:eastAsia="Arial" w:hAnsi="Arial"/>
          <w:sz w:val="16"/>
          <w:szCs w:val="16"/>
          <w:color w:val="auto"/>
        </w:rPr>
        <w:t>3,996,723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5" w:lineRule="exact"/>
        <w:rPr>
          <w:sz w:val="20"/>
          <w:szCs w:val="20"/>
          <w:color w:val="auto"/>
        </w:rPr>
      </w:pPr>
    </w:p>
    <w:p>
      <w:pPr>
        <w:ind w:left="301"/>
        <w:spacing w:after="0"/>
        <w:rPr>
          <w:sz w:val="20"/>
          <w:szCs w:val="20"/>
          <w:color w:val="auto"/>
        </w:rPr>
      </w:pPr>
      <w:r>
        <w:rPr>
          <w:rFonts w:ascii="Arial" w:cs="Arial" w:eastAsia="Arial" w:hAnsi="Arial"/>
          <w:sz w:val="16"/>
          <w:szCs w:val="16"/>
          <w:color w:val="auto"/>
        </w:rPr>
        <w:t>2,464,347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5" w:lineRule="exact"/>
        <w:rPr>
          <w:sz w:val="20"/>
          <w:szCs w:val="20"/>
          <w:color w:val="auto"/>
        </w:rPr>
      </w:pPr>
    </w:p>
    <w:p>
      <w:pPr>
        <w:ind w:left="1"/>
        <w:spacing w:after="0"/>
        <w:rPr>
          <w:sz w:val="20"/>
          <w:szCs w:val="20"/>
          <w:color w:val="auto"/>
        </w:rPr>
      </w:pPr>
      <w:r>
        <w:rPr>
          <w:rFonts w:ascii="Arial" w:cs="Arial" w:eastAsia="Arial" w:hAnsi="Arial"/>
          <w:sz w:val="15"/>
          <w:szCs w:val="15"/>
          <w:u w:val="single" w:color="auto"/>
          <w:color w:val="auto"/>
        </w:rPr>
        <w:t>$ 174,698,244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43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ectPr>
          <w:pgSz w:w="11900" w:h="16838" w:orient="portrait"/>
          <w:cols w:equalWidth="0" w:num="2">
            <w:col w:w="9579" w:space="720"/>
            <w:col w:w="1021"/>
          </w:cols>
          <w:pgMar w:left="240" w:top="1148" w:right="339" w:bottom="1440" w:gutter="0" w:footer="0" w:header="0"/>
          <w:type w:val="continuous"/>
        </w:sectPr>
      </w:pPr>
    </w:p>
    <w:bookmarkStart w:id="15" w:name="page16"/>
    <w:bookmarkEnd w:id="15"/>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6350</wp:posOffset>
            </wp:positionV>
            <wp:extent cx="6663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 w:lineRule="exact"/>
        <w:rPr>
          <w:sz w:val="20"/>
          <w:szCs w:val="20"/>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Consent of Clifton Gunderson LLP</w:t>
      </w:r>
    </w:p>
    <w:p>
      <w:pPr>
        <w:spacing w:after="0" w:line="114" w:lineRule="exact"/>
        <w:rPr>
          <w:rFonts w:ascii="Arial" w:cs="Arial" w:eastAsia="Arial" w:hAnsi="Arial"/>
          <w:sz w:val="18"/>
          <w:szCs w:val="18"/>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16" w:name="page17"/>
    <w:bookmarkEnd w:id="16"/>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have duly caused this annual report to be signed on its behalf by the undersigned 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MATCHED 401(k) PLAN</w:t>
      </w:r>
    </w:p>
    <w:p>
      <w:pPr>
        <w:spacing w:after="0" w:line="9" w:lineRule="exact"/>
        <w:rPr>
          <w:sz w:val="20"/>
          <w:szCs w:val="20"/>
          <w:color w:val="auto"/>
        </w:rPr>
      </w:pPr>
    </w:p>
    <w:p>
      <w:pPr>
        <w:ind w:left="5500" w:right="4500" w:hanging="5482"/>
        <w:spacing w:after="0" w:line="290" w:lineRule="auto"/>
        <w:tabs>
          <w:tab w:leader="none" w:pos="5480" w:val="left"/>
        </w:tabs>
        <w:rPr>
          <w:sz w:val="20"/>
          <w:szCs w:val="20"/>
          <w:color w:val="auto"/>
        </w:rPr>
      </w:pPr>
      <w:r>
        <w:rPr>
          <w:rFonts w:ascii="Arial" w:cs="Arial" w:eastAsia="Arial" w:hAnsi="Arial"/>
          <w:sz w:val="18"/>
          <w:szCs w:val="18"/>
          <w:color w:val="auto"/>
        </w:rPr>
        <w:t>Date: June 27, 2008</w:t>
      </w:r>
      <w:r>
        <w:rPr>
          <w:sz w:val="20"/>
          <w:szCs w:val="20"/>
          <w:color w:val="auto"/>
        </w:rPr>
        <w:tab/>
      </w:r>
      <w:r>
        <w:rPr>
          <w:rFonts w:ascii="Arial" w:cs="Arial" w:eastAsia="Arial" w:hAnsi="Arial"/>
          <w:sz w:val="16"/>
          <w:szCs w:val="16"/>
          <w:color w:val="auto"/>
        </w:rPr>
        <w:t>/s/ GARY VOSE Gary Vose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-144780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Plan Administrative Committee Member</w:t>
      </w:r>
    </w:p>
    <w:p>
      <w:pPr>
        <w:sectPr>
          <w:pgSz w:w="11900" w:h="16838" w:orient="portrait"/>
          <w:cols w:equalWidth="0" w:num="1">
            <w:col w:w="11220"/>
          </w:cols>
          <w:pgMar w:left="240" w:top="962"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25, 2008, appearing in this Annual Report on Form 11-K of Brady Matched 401(k) Plan for the year ended December 31,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Clifton Gunderson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2008</w:t>
      </w:r>
    </w:p>
    <w:p>
      <w:pPr>
        <w:sectPr>
          <w:pgSz w:w="11900" w:h="16838" w:orient="portrait"/>
          <w:cols w:equalWidth="0" w:num="1">
            <w:col w:w="11420"/>
          </w:cols>
          <w:pgMar w:left="240" w:top="553"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333-44505 on Form S-8 of our report dated June 22, 2007, appearing in this Annual Report on Form 11-K of Brady Corporation Brady Matched 401(k) Plan for the year ended December 31,2007.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2019-12-13T14:15:09Z</dcterms:created>
  <dcterms:modified xsi:type="dcterms:W3CDTF">2019-12-13T14:15:09Z</dcterms:modified>
</cp:coreProperties>
</file>