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273925" cy="9354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720"/>
          </w:cols>
          <w:pgMar w:left="240" w:top="225" w:right="259" w:bottom="49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56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8"/>
        <w:spacing w:after="0"/>
        <w:tabs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358"/>
          </w:cols>
          <w:pgMar w:left="240" w:top="225" w:right="259" w:bottom="493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340"/>
          </w:cols>
          <w:pgMar w:left="240" w:top="225" w:right="259" w:bottom="493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780,576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56,178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724,396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 w:line="3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724,096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 w:line="3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723,896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34.065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723,796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 w:line="3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700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723,096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722,896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 w:line="3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722,596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704,996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703,796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ectPr>
          <w:pgSz w:w="11900" w:h="16838" w:orient="portrait"/>
          <w:cols w:equalWidth="0" w:num="1">
            <w:col w:w="11400"/>
          </w:cols>
          <w:pgMar w:left="240" w:top="225" w:right="259" w:bottom="493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105156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 w:line="3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500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703,296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 w:line="3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703,096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702,796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702,596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702,496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702,396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 w:line="3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34.11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702,096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 w:line="3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34.12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701,896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34.14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701,796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689,996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688,696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613,696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34.0049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608,696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34.0141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603,696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34.0339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598.696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ectPr>
          <w:pgSz w:w="11900" w:h="16838" w:orient="portrait"/>
          <w:cols w:equalWidth="0" w:num="1">
            <w:col w:w="11380"/>
          </w:cols>
          <w:pgMar w:left="260" w:top="187" w:right="259" w:bottom="54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1583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15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1,955.563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non-derivitive securities sold were indirectly held by Ms. Pungello as TTEE of the EBL GRAT No. 3 DTD trust and were sold pursuant to the 10b5-1 trading plan adopted on December 28 2007.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80" w:firstLine="6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 and are to be settled in installment payments of Brady's Class A Common Stock upon the persons cessation of service as a director.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4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04/03/2008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-27305</wp:posOffset>
            </wp:positionV>
            <wp:extent cx="1372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5795645</wp:posOffset>
            </wp:positionH>
            <wp:positionV relativeFrom="paragraph">
              <wp:posOffset>-84455</wp:posOffset>
            </wp:positionV>
            <wp:extent cx="500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3800" w:firstLine="6"/>
        <w:spacing w:after="0" w:line="318" w:lineRule="auto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2019-12-18T13:10:08Z</dcterms:created>
  <dcterms:modified xsi:type="dcterms:W3CDTF">2019-12-18T13:10:08Z</dcterms:modified>
</cp:coreProperties>
</file>