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51435</wp:posOffset>
            </wp:positionV>
            <wp:extent cx="1500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53340</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22" w:lineRule="exact"/>
        <w:rPr>
          <w:sz w:val="24"/>
          <w:szCs w:val="24"/>
          <w:color w:val="auto"/>
        </w:rPr>
      </w:pPr>
    </w:p>
    <w:p>
      <w:pPr>
        <w:ind w:left="980" w:right="100" w:hanging="630"/>
        <w:spacing w:after="0" w:line="233" w:lineRule="auto"/>
        <w:tabs>
          <w:tab w:leader="none" w:pos="9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980" w:right="100" w:hanging="630"/>
        <w:spacing w:after="0" w:line="238" w:lineRule="auto"/>
        <w:tabs>
          <w:tab w:leader="none" w:pos="9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4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8"/>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9"/>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gridSpan w:val="4"/>
          </w:tcPr>
          <w:p>
            <w:pPr>
              <w:jc w:val="right"/>
              <w:ind w:right="216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40" w:type="dxa"/>
            <w:vAlign w:val="bottom"/>
            <w:gridSpan w:val="5"/>
          </w:tcPr>
          <w:p>
            <w:pPr>
              <w:jc w:val="center"/>
              <w:ind w:right="13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Pr>
          <w:p>
            <w:pPr>
              <w:jc w:val="center"/>
              <w:ind w:right="116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12"/>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880" w:type="dxa"/>
            <w:vAlign w:val="bottom"/>
            <w:gridSpan w:val="4"/>
          </w:tcPr>
          <w:p>
            <w:pPr>
              <w:jc w:val="center"/>
              <w:ind w:left="56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8"/>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2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95" w:lineRule="exact"/>
        <w:rPr>
          <w:sz w:val="24"/>
          <w:szCs w:val="24"/>
          <w:color w:val="auto"/>
        </w:rPr>
      </w:pPr>
    </w:p>
    <w:p>
      <w:pPr>
        <w:sectPr>
          <w:pgSz w:w="11900" w:h="16838" w:orient="portrait"/>
          <w:cols w:equalWidth="0" w:num="4">
            <w:col w:w="1880" w:space="720"/>
            <w:col w:w="400" w:space="720"/>
            <w:col w:w="3040" w:space="720"/>
            <w:col w:w="3780"/>
          </w:cols>
          <w:pgMar w:left="320" w:top="225" w:right="319" w:bottom="1440" w:gutter="0" w:footer="0" w:header="0"/>
          <w:type w:val="continuous"/>
        </w:sectPr>
      </w:pPr>
    </w:p>
    <w:p>
      <w:pPr>
        <w:spacing w:after="0" w:line="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5" w:lineRule="exact"/>
        <w:rPr>
          <w:sz w:val="24"/>
          <w:szCs w:val="24"/>
          <w:color w:val="auto"/>
        </w:rPr>
      </w:pPr>
    </w:p>
    <w:p>
      <w:pPr>
        <w:sectPr>
          <w:pgSz w:w="11900" w:h="16838" w:orient="portrait"/>
          <w:cols w:equalWidth="0" w:num="4">
            <w:col w:w="1880" w:space="720"/>
            <w:col w:w="400" w:space="720"/>
            <w:col w:w="1920" w:space="720"/>
            <w:col w:w="4900"/>
          </w:cols>
          <w:pgMar w:left="320" w:top="225" w:right="319" w:bottom="1440" w:gutter="0" w:footer="0" w:header="0"/>
          <w:type w:val="continuous"/>
        </w:sectPr>
      </w:pPr>
    </w:p>
    <w:p>
      <w:pPr>
        <w:spacing w:after="0" w:line="4"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As of November 14, 2024, there were 44,223,720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1"/>
        </w:trPr>
        <w:tc>
          <w:tcPr>
            <w:tcW w:w="1020" w:type="dxa"/>
            <w:vAlign w:val="bottom"/>
            <w:tcBorders>
              <w:top w:val="single" w:sz="8" w:color="0000FF"/>
            </w:tcBorders>
          </w:tcPr>
          <w:p>
            <w:pPr>
              <w:spacing w:after="0"/>
              <w:rPr>
                <w:sz w:val="24"/>
                <w:szCs w:val="24"/>
                <w:color w:val="auto"/>
              </w:rPr>
            </w:pPr>
          </w:p>
        </w:tc>
        <w:tc>
          <w:tcPr>
            <w:tcW w:w="87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gridSpan w:val="2"/>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240"/>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$10,295 and $6,749,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599,715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1,627,876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90,272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67,170</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44,223,664 and 44,042,462 shares,</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stock—7,037,823 and 7,219,025 shares, respectively, of Class A nonvoting common stock, at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1,627,876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331,983</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160,264</w:t>
            </w:r>
          </w:p>
        </w:tc>
      </w:tr>
      <w:tr>
        <w:trPr>
          <w:trHeight w:val="212"/>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171,719</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15,702</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96,287</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111,989</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59,730</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59,402</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12,161</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47,241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3"/>
        </w:trPr>
        <w:tc>
          <w:tcPr>
            <w:tcW w:w="8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48,505</w:t>
            </w:r>
          </w:p>
        </w:tc>
      </w:tr>
      <w:tr>
        <w:trPr>
          <w:trHeight w:val="219"/>
        </w:trPr>
        <w:tc>
          <w:tcPr>
            <w:tcW w:w="8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48,811</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47,241</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(20,364)</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recognized in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6"/>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gains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r>
      <w:tr>
        <w:trPr>
          <w:trHeight w:val="209"/>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(22,222)</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October 31, 2024</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(351,947)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(109,622)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(5,065)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6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 $0.2400 per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(10,612)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(10,612)</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B — $0.2234 per share</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October 31, 2024</w:t>
            </w: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354,592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1,209,406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(344,012)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(111,602)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1,108,932</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Class A — $0.2350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 $0.2184 per share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2023</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1,057,773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47,241</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7,466</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6,152</w:t>
            </w: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w:t>
            </w: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62,273</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(11,279)</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(14,121)</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38,551</w:t>
            </w: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(21,494)</w:t>
            </w: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(5,680)</w:t>
            </w: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100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(104,457)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23,820</w:t>
            </w:r>
          </w:p>
        </w:tc>
      </w:tr>
      <w:tr>
        <w:trPr>
          <w:trHeight w:val="219"/>
        </w:trPr>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250,118</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r>
      <w:tr>
        <w:trPr>
          <w:trHeight w:val="210"/>
        </w:trPr>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145,661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175,352</w:t>
            </w:r>
          </w:p>
        </w:tc>
      </w:tr>
      <w:tr>
        <w:trPr>
          <w:trHeight w:val="23"/>
        </w:trPr>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40"/>
          </w:cols>
          <w:pgMar w:left="320" w:top="118"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October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2024 and July 31, 2024, its results of operations, cash flows and comprehensive income for the three months ended October 31, 2024 and 2023. The condensed consolidated balance sheet as of July 31, 2024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2025 Form 10-K and interim periods thereafter. The Company is currently assessing its segment information disclosures in connection with the adoption of ASU 2023-07.</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October 31, 2024 and July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40" w:type="dxa"/>
            <w:vAlign w:val="bottom"/>
          </w:tcPr>
          <w:p>
            <w:pPr>
              <w:spacing w:after="0"/>
              <w:rPr>
                <w:sz w:val="18"/>
                <w:szCs w:val="18"/>
                <w:color w:val="auto"/>
              </w:rPr>
            </w:pP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178,688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152,729</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in the amount of $308,128 and $304,199 as of October 31, 2024 and July 31, 2024, respectively.</w:t>
      </w:r>
    </w:p>
    <w:p>
      <w:pPr>
        <w:sectPr>
          <w:pgSz w:w="11900" w:h="16838" w:orient="portrait"/>
          <w:cols w:equalWidth="0" w:num="1">
            <w:col w:w="11240"/>
          </w:cols>
          <w:pgMar w:left="320" w:top="118" w:right="339" w:bottom="1440" w:gutter="0" w:footer="0" w:header="0"/>
        </w:sect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Other intangible assets as of October 31, 2024 and July 31, 2024 consisted of the following:</w:t>
      </w:r>
    </w:p>
    <w:p>
      <w:pPr>
        <w:spacing w:after="0" w:line="2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October 31, 2024</w:t>
      </w:r>
    </w:p>
    <w:p>
      <w:pPr>
        <w:spacing w:after="0" w:line="33" w:lineRule="exact"/>
        <w:rPr>
          <w:sz w:val="20"/>
          <w:szCs w:val="20"/>
          <w:color w:val="auto"/>
        </w:rPr>
      </w:pPr>
    </w:p>
    <w:tbl>
      <w:tblPr>
        <w:tblLayout w:type="fixed"/>
        <w:tblInd w:w="2700" w:type="dxa"/>
        <w:tblCellMar>
          <w:top w:w="0" w:type="dxa"/>
          <w:left w:w="0" w:type="dxa"/>
          <w:bottom w:w="0" w:type="dxa"/>
          <w:right w:w="0" w:type="dxa"/>
        </w:tblCellMar>
      </w:tblPr>
      <w:tr>
        <w:trPr>
          <w:trHeight w:val="148"/>
        </w:trPr>
        <w:tc>
          <w:tcPr>
            <w:tcW w:w="11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vMerge w:val="continue"/>
          </w:tcPr>
          <w:p>
            <w:pPr>
              <w:spacing w:after="0"/>
              <w:rPr>
                <w:sz w:val="12"/>
                <w:szCs w:val="12"/>
                <w:color w:val="auto"/>
              </w:rPr>
            </w:pP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July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20" w:type="dxa"/>
            <w:vAlign w:val="bottom"/>
            <w:tcBorders>
              <w:top w:val="single" w:sz="8" w:color="auto"/>
            </w:tcBorders>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continue"/>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2">
            <w:col w:w="6960" w:space="60"/>
            <w:col w:w="42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2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95,390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r>
      <w:tr>
        <w:trPr>
          <w:trHeight w:val="195"/>
        </w:trPr>
        <w:tc>
          <w:tcPr>
            <w:tcW w:w="2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Technology</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6"/>
        </w:trPr>
        <w:tc>
          <w:tcPr>
            <w:tcW w:w="2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Tradenames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r>
      <w:tr>
        <w:trPr>
          <w:trHeight w:val="221"/>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116,369</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October 31, 2024 compared to July 31, 2024 was primarily due to the acquisitions of Gravotech Holding (“Gravotech”) and American Barcode and RFID Incorporated (“AB&amp;R”) completed during the three months ended October 31, 2024 and to a lesser extent, the effect of currency fluctuations. Refer to Note O, “Acquisitions,” for additional information on intangible assets acquired.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was $4,713 and $2,355 for the three months ended October 31, 2024 and 2023,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October 31, 2024,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$4,735 and $4,065 for the three months ended October 31, 2024 and 2023,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months ended October 31, 2024 and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three months ended October 31, 2024 and 2023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4,431</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1,656</w:t>
            </w:r>
          </w:p>
        </w:tc>
      </w:tr>
    </w:tbl>
    <w:p>
      <w:pPr>
        <w:ind w:left="500" w:hanging="168"/>
        <w:spacing w:after="0" w:line="224" w:lineRule="auto"/>
        <w:tabs>
          <w:tab w:leader="none" w:pos="50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new leases, acquired leases and remeasurements or modifications of existing leases.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three months ended October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(110,014)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October 31, 2024 compared to July 31, 2024 was primarily due to the unrealized losses on cash flow hedges during the three-month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three months ended October 31, 2023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(loss) on cash flow</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October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(115,822)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(115,283)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the accumulated other comprehensive loss as of October 31, 2023 compared to July 31, 2023 was primarily due to the appreciation of the U.S. dollar against certain other currencies during the three-month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three months ended October 31, 2024 and 2023, unrealized gains on cash flow hedges were reclassified to “Cost of goods sold” and unamortized gains on post-retirement plans were reclassified into “Investment and other income” on the condensed consolidated statements of income.</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for the three months ended October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0"/>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$2,973 and $2,947 as of October 31, 2024 and July 31, 2024, respectively. The current portion and non-current portion of contract liabilities are included in “Other current liabilities” and “Other liabilities,” respectively, on the condensed consolidated balance sheets. The Company recognized revenue of $337 and $314 during the three months ended October 31, 2024 and 2023, respectively, that was included in the contract liability balance at the beginning of the respective period from the amortization of extended service warranties. Of the contract liability balance outstanding at October 31, 2024, the Company expects to recognize 32% by the end of fiscal 2025, an additional 31% by the end of fiscal 2026, and the remaining balance thereafter.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months ended October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196,286</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96,333</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14,024</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110,357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profit for the three months ended October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54,900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49,897</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w:t>
            </w:r>
          </w:p>
        </w:tc>
      </w:tr>
      <w:tr>
        <w:trPr>
          <w:trHeight w:val="20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68,014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66,641</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income before income taxes for the three months ended October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66,641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amounts: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Administrative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58,800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59,402</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Stock-Based Compensation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during the three months ended October 31, 2024 and 2023 was $5,813 and $4,163, respectively. The total income tax benefit recognized in the condensed consolidated statements of income was $632 and $425 during the three months ended October 31, 2024 and 2023,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market price of the Company's stock at the date of the grant and generally vest ratably over three years, with one-third becoming exercisable one year after the grant date and one-third additional in each of the succeeding two years. Options issued under the plan, referred to herein as “time-based” options, generally expire ten years from the date of grant. The Company did not include stock options in its annual grant of share-based awards to employees in the current fiscal year.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three months ended October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100" w:type="dxa"/>
            <w:vAlign w:val="bottom"/>
            <w:gridSpan w:val="2"/>
            <w:vMerge w:val="continue"/>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July 31, 2024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October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October 31, 2024</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1,010,597</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additional stock option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62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1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during the period (in thousands)</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options vested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from the exercise of stock options during the period (in thousands)</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 on options exercised during the period (in thousands)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bl>
    <w:p>
      <w:pPr>
        <w:spacing w:after="0" w:line="2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2024, total unrecognized compensation cost related to stock options was $674 pre-tax, net of estimated forfeitures, which the Company expects to recognize over a weighted-average period of 1.5 years.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market price of the Company's stock at the date of grant and generally vest ratably over three years, with one-third vesting one year after the grant date and an additional one-third in each of the succeeding two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RSU activity for the three months ended October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July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RSUs as of October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granted during the three months ended October 31, 2023 had a weighted-average grant date fair value of $54.80. The total fair value of RSUs vested during the three months ended October 31, 2024 and 2023 was $4,201 and $2,974,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2024, total unrecognized compensation cost related to RSUs was $6,090 pre-tax, net of estimated forfeitures, which the Company expects to recognize over a weighted-average period of 2.4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PRSUs are contingent on the achievement of predetermined market and performance targets. The PRSUs granted under the plan vest at the end of a three-year performance period provided the service period and specified performance targets are met. For the PRSUs granted during the three months ended October 31, 2024 and 2023, awards will vest based on achievement of performance conditions relating to Company revenue and diluted EPS targets. For the PRSUs granted during the three months ended October 31, 2022, the vesting criteria for 50% of the grant is based upon the Company's total shareholder return (“TSR”) relative to the S&amp;P 600 SmallCap Industrials Index over a three-year performance period, and the vesting criteria for the other 50% of the grant is based upon Company revenue targets.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PRSUs granted during the three months ended October 31, 2024 had a fair value determined by the average of the high and low stock price on the date of the grant. For awards with a market value condition, a third-party valuation is utilized to determine the fair value as of the grant date using a Monte Carlo simulation for that portion of the award.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PRSU activity for the three months ended October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July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PRSUs as of October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three months ended October 31, 2023 had a weighted-average grant date fair value of $51.16. The total fair value of PRSUs vested during the three months ended October 31, 2024 and 2023 was $595 and $141,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2024, total unrecognized compensation cost related to PRSUs was $6,812 pre-tax, net of estimated forfeitures, which the Company expects to recognize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47,241</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48,505</w:t>
            </w:r>
          </w:p>
        </w:tc>
      </w:tr>
      <w:tr>
        <w:trPr>
          <w:trHeight w:val="21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48,811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0"/>
        </w:trPr>
        <w:tc>
          <w:tcPr>
            <w:tcW w:w="8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w:t>
            </w: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17,278 and 313,787 for the three months ended October 31, 2024 and 2023,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July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9"/>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59,207</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2024 and July 31, 2024, unrealized losses of $1,926 and $124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October 31, 2024 and July 31, 2024, the cumulative balance recognized in accumulated other comprehensive income were losses of $1,427 and $1,237, respectively, on any outstanding foreign currency denominated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44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recognized in OCI:</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1,508</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Gains reclassified from OCI into cost of goods sold:</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1,285</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40" w:right="56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4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Prepaid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-864870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-591185</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-3072130</wp:posOffset>
            </wp:positionH>
            <wp:positionV relativeFrom="paragraph">
              <wp:posOffset>-316865</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Income Taxes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rate for the three months ended October 31, 2024 and 2023 was 20.4% and 20.5%,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Acquisitions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 2024, the Company acquired all of the outstanding shares of Gravotech. Headquartered in Lyon, France, Gravotech is a leader in the design, manufacture and distribution of innovative solutions for specialized engraving, marking and cutting, offering laser, mechanical engraving, scribing and dot peen capabilities across multiple industries. The acquisition of Gravotech expands the Company’s identification product offerings and research and development capabilities to include specialized direct part marking and engraving expertise. The acquisition was funded through cash on hand and borrowings under the Company’s existing credit agreement. Net sales and net loss attributable to Gravotech from the acquisition date through October 31, 2024 were $29,475 and $4,685, respectively. The net loss attributable to Gravotech is due to a nonrecurring increase in cost of goods sold of $4,115 related to the fair value adjustment to inventory upon acquisition and amortization expense of $2,326 for intangible assets acquired.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its preliminary purchase price allocation during the three months ended October 31, 2024, based on its estimates of the fair value of the acquired assets and assumed liabilities as of the acquisition date. The preliminary purchase price allocation included goodwill of $71,790, of which $49,874 was assigned to the Americas &amp; Asia segment and $21,916 was assigned to the Europe &amp; Australia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at the date of the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7,667</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24,325</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21,751</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65,798</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(17,813)</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(9,347)</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w:t>
            </w:r>
          </w:p>
        </w:tc>
      </w:tr>
      <w:tr>
        <w:trPr>
          <w:trHeight w:val="21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(6,908)</w:t>
            </w:r>
          </w:p>
        </w:tc>
      </w:tr>
      <w:tr>
        <w:trPr>
          <w:trHeight w:val="212"/>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assets acquired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134,557</w:t>
            </w:r>
          </w:p>
        </w:tc>
      </w:tr>
      <w:tr>
        <w:trPr>
          <w:trHeight w:val="213"/>
        </w:trPr>
        <w:tc>
          <w:tcPr>
            <w:tcW w:w="9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(7,667)</w:t>
            </w:r>
          </w:p>
        </w:tc>
      </w:tr>
      <w:tr>
        <w:trPr>
          <w:trHeight w:val="199"/>
        </w:trPr>
        <w:tc>
          <w:tcPr>
            <w:tcW w:w="9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126,890</w:t>
            </w:r>
          </w:p>
        </w:tc>
      </w:tr>
      <w:tr>
        <w:trPr>
          <w:trHeight w:val="23"/>
        </w:trPr>
        <w:tc>
          <w:tcPr>
            <w:tcW w:w="9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is subject to post-closing adjustments pursuant to the terms of the securities sale and purchase agreement, as well as the finalization of certain accounts, primarily intangible assets and deferred tax adjustments. The goodwill for this acquisition is not deductible for tax purposes.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unaudited pro forma operating results for the three months ended October 31, 2024 and 2023, reflecting the acquisition of Gravotech as if it had occurred at the beginning of fiscal year 2024. The unaudited pro forma operating results for the three months ended October 31, 2024 do not contain any adjustments to the accompanying condensed consolidated financial statements. The unaudited pro forma operating results for the three months ended October 31, 2023 include Gravotech’s normal operating results and pro forma adjustments to include cumulative expenses, net of tax, for the nonrecurring fair value adjustment to inventory, amortization expense for acquired intangible assets and interest expense on acquisition-related debt. The unaudited pro forma operating results are presented for comparative purposes only and do not necessarily reflect future operating results or those that would have occurred had the acquisition been completed at the beginning of fiscal year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1"/>
        </w:trPr>
        <w:tc>
          <w:tcPr>
            <w:tcW w:w="8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sales, pro forma</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377,065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361,109</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pro forma</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AB&amp;R for $15,625, net of cash acquired. Based in Phoenix, Arizona, AB&amp;R provides integrated solutions for asset tracking, inventory management, and workflow optimization using advanced identification and tracking technologies, including barcoding, radio frequency identification (“RFID”) and Internet of Things (“IoT”)-based systems. The acquisition was funded through cash on hand and borrowings under the Company’s existing credit agreement. The Company recorded its preliminary purchase price allocation during the first quarter of fiscal year 2025, based on its estimates of the fair value of the acquired assets and assumed liabilities at that time. The preliminary purchase price allocation included goodwill of $10,877, intangible assets of $4,600, and net tangible assets of $148. The goodwill for this acquisition is assigned to the Americas &amp; Asia segment and is deductible for tax purposes. The final purchase price allocation is subject to post-closing adjustments and the finalization of certain intangible asset valuations and deferred tax adjustments, as well as potential contingent consideration subject to AB&amp;R’s achievement of certain post-acquisition financial targets pursuant to the terms of the membership interest purchase agreement. Acquisition-related expenses of $305 were recognized in selling, general and administrative (“SG&amp;A”) expenses during the three months ended October 31, 2024. The accompanying condensed consolidated financial statements include the results of AB&amp;R from the date of acquisition through October 31, 2024. Pro forma and other financial information are not presented for the AB&amp;R acquisition because its impact on the Company's results of operation and financial position is immaterial.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2025:</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highest level of customer service by aligning with customers' preferred communications channels and leveraging technology to enhance the customer experience.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are market competitive.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further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continues to be impacted by inflationary pressures to raw material and labor costs, supply chain disruptions, and other global macroeconomic challenges. While we experienced material increases to raw material and labor costs and supply chain disruptions in previous years, fiscal 2024 showed signs of easing with a moderation of raw material and labor cost inflation and improved supply chain stability, which we anticipate will continue into fiscal 2025. The Company has taken and will continue to take actions to mitigate inflationary pressures through targeted pricing actions and a commitment to driving long-term efficiency improvements.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share repurchases. At October 31, 2024, we had cash of $145.7 million, as well as a credit agreement with $181.5 million available for future borrowing, which can be increased up to $1,036.5 million at the Company's option and subject to certain conditions, for total available liquidity of $1,182.2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our Annual Report on Form 10-K for the year ended July 31, 2024, for further discussion of the possible impact of global economic or geopolitical events on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the operating results for the three months ended October 31, 2024 compared to the three months ended October 31, 2023 has been impacted by acquisitions of Gravotech on August 1, 2024 and AB&amp;R on October 1, 2024. The operating results of Gravotech have been included in both reportable segments since the date of acquisition, and the results of AB&amp;R have been included in the Americas &amp; Asia reportable segment since the date of acquisition. The comparability of the operating results of the Americas &amp; Asia segment has also been impacted by the divestiture of a non-core business in October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months ended October 31, 2024 and 2023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62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331,983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171,719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r>
      <w:tr>
        <w:trPr>
          <w:trHeight w:val="21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9"/>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96,287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130,767</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111,989</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October 31, 2024 increased 13.6% to $377.1 million compared to $332.0 million in the same period in the prior year. The increase consisted of organic sales growth of 3.6%, sales growth from acquisitions of 9.9% and an increase from foreign currency translation of 1.2%, partially offset by a decrease of 1.1% due to divestitures. Organic sales grew 5.1% in the Americas &amp; Asia segment and 0.7% in the Europe &amp; Australia segment during the three months ended October 31, 2024 compared to the same period in the prior year.</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10.5% to $189.7 million in the three months ended October 31, 2024 compared to $171.7 million in the same period in the prior year. As a percentage of net sales, gross margin decreased to 50.3% in the three months ended October 31, 2024 compared to 51.7% in the same period in the prior year. The decrease in gross margin as a percentage of net sales was primarily due to a nonrecurring increase in cost of goods sold of $4.1 million related to the fair value adjustment to inventory from acquisitions and lower margin product sales from acquired businesses, which were partially offset by organic sales growth in higher gross margin product lines.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expenses increased 20.5% to $18.9 million in the three months ended October 31, 2024 compared to $15.7 million in the same period in the prior year. As a percentage of net sales, R&amp;D expenses increased to 5.0% in the three months ended October 31, 2024 compared to 4.7% in the same period in the prior year. The increase in R&amp;D spending was primarily due to the acquisition of Gravotech, and, to a lesser extent, an increase in R&amp;D headcount within the Company's organic business. The Company remains committed to investing in new product development to increase sales within our businesses. Investments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printing systems, materials and the build out of a comprehensive industrial track and trace solution remain the primary focus of R&amp;D expenditures in fiscal 2025.</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16.2% to $111.8 million in the three months ended October 31, 2024 compared to $96.3 million in the same period in the prior year. As a percentage of net sales, SG&amp;A increased to 29.7% in the three months ended October 31, 2024, compared to 29.0% in the same period in the prior year. The increase in SG&amp;A as a percentage of net sales is primarily due to incremental amortization expense from acquisitions of $2.4 million, as well as increased headcount and other selling-related costs from the businesses acquired, which were partially offset by a decrease in advertising expenses in the Company's organic businesses compared to the same period in the prior year.</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decreased 1.4% to $58.9 million in the three months ended October 31, 2024, compared to $59.7 million in the same period in the prior year. The decrease in operating income was due to incremental amortization expense from acquisitions of $2.4 million and non-recurring acquisition-related and other costs of $5.1 million incurred during the three-month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and other income was $1.2 million in the three months ended October 31, 2024 compared to $0.4 million in the same period in the prior year. The change was primarily due to an increase in the market value of securities held in deferred compensation plans, partially offset by a decrease in interest income resulting from a decrease in interest rates as well as a reduced cash balance.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to $1.4 million in the three months ended October 31, 2024 compared to $0.8 million in the same period in the prior year. The increase in interest expense was primarily due to an increase in outstanding borrowings on the Company's credit agreement to fund the acquisitions completed during the three months ended October 31, 2024.</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20.4% and 20.5% for the three months ended October 31, 2024 and 2023, respectively. The Company expects its ongoing annual income tax rate to be approximately 20% based on its current global business mix and based on tax laws and statutory rates currently in effect.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months ended October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5"/>
              </w:rPr>
              <w:t>54,900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49,897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13,114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16,744</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5"/>
              </w:rPr>
              <w:t>68,014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66,641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Americas &amp; Asia net sales increased 10.7% to $245.4 million in the three months ended October 31, 2024 compared to $221.6 million in the same period in the prior year, which consisted of organic sales growth of 5.1% and sales growth from acquisitions of 7.4%, which were partially offset by a decrease from foreign currency translation of 0.2% and a decrease of 1.6% due to the divestiture of a non-core business in October 2023.</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the Americas increased in the mid-single digits in the three months ended October 31, 2024. Organic sales grew in all major products lines with the strongest growth in the product identification, wire identification, and safety and facility identification product lines.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Asia increased in the mid-single digits in the three months ended October 31, 2024. The organic sales increase was primarily driven by organic sales growth in Japan and India, which was partially offset by an organic sales decline in China.</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increased 10.0% to $54.9 million in the three months ended October 31, 2024 compared to $49.9 million in the same period in the prior year. As a percentage of net sales, segment profit was essentially flat at 22.4% compared to 22.5% in the same period in the prior year. The increase in segment profit was primarily due to increased sales volumes in the Americas, which was partially offset by certain acquisition-related costs and purchase accounting adjustments.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Europe &amp; Australia net sales increased 19.3% to $131.6 million in the three months ended October 31, 2024 compared to $110.4 million in the same period in the prior year, which consisted of sales growth from acquisitions of 15.0%, organic sales growth of 0.7% and an increase from foreign currency translation of 3.6%.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increased in the low-single digits in the three months ended October 31, 2024. Organic sales growth during the three-month period was primarily driven by growth in the safety and facility identification and people identification product lines, which was partially offset by an organic sales decline in the product identification product line.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declined in the low-single digits in the three months ended October 31, 2024. The organic sales decline was primarily driven by a decrease in volume in the wire identification product line.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profit decreased to $13.1 million in the three months ended October 31, 2024 compared to $16.7 million in the same period of the prior year. As a percentage of net sales, segment profit decreased to 10.0% from 15.2% in the same period of the prior year. The decrease in segment profit was primarily due to certain acquisition-related costs and organizational transition costs incurred during the three-month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October 31, 2024, approximately 95%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$145.7 million at October 31, 2024, a decrease of $104.5 million from July 31, 2024.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r>
      <w:tr>
        <w:trPr>
          <w:trHeight w:val="21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62,273</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(21,494)</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w:t>
            </w:r>
          </w:p>
        </w:tc>
      </w:tr>
      <w:tr>
        <w:trPr>
          <w:trHeight w:val="20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(104,457)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23,820</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$23.4 million in the three months ended October 31, 2024, compared to $62.3 million in the same period of the prior year. The decrease in cash provided by operating activities was primarily due to increased vendor payments related to the acquired businesses, the timing of payroll and higher annual incentive compensation payments, and other working capital changes.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$147.9 million in the three months ended October 31, 2024, which primarily consisted of the acquisition of businesses of $140.6 million and capital expenditures of $7.3 million. Net cash used in investing activities was $11.3 million in the three months ended October 31, 2023, which consisted of capital expenditures.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$18.3 million in the three months ended October 31, 2024 compared to $21.5 million net cash used in financing activities in the same period of the prior year. The increase in cash provided by financing activities was primarily due to increased net borrowings to fund the acquisition of AB&amp;R completed on October 1, 2024, and, to a lesser extent, a decline in share repurchases compared to the same period in the prior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December 21, 2021, the Company and certain of its subsidiaries entered into an amendment to the credit agreement dated August 1, 2019 to adjust to alternative benchmarks due to the elimination of the London Inter-bank Offered Rate (“LIBOR”).</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Credit Agreement (“Amendment No. 3”) with a group of six banks, which amended the original credit agreement dated August 1, 2019. Amendment No. 3 amended the credit agreement to, among other things, change the applicable benchmark under the credit agreement for borrowings denominated in Canadian Dollars from the Canadian Dollar Offered Rate (“CDOR”) to the adjusted Term Canadian Overnight Repo Rate Average Rate (“CORRA”). Borrowings under Amendment No. 3 are unsecured and are guaranteed by certain of the Company's domestic subsidiaries.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2024, the outstanding balance on the Company's credit agreement was $116.6 million. The maximum amount outstanding on the credit agreement during the three months ended October 31, 2024 was $144.8 million. As of October 31, 2024, the U.S. dollar-denominated borrowings of $52.0 million bear interest at 5.8%; the Euro-denominated borrowings of €50.0 million bear interest at 4.1%; and the British Pound-denominated borrowings of £8.0 million bear interest at 5.8%. The Company had letters of credit outstanding under the credit agreement of $1.8 million as of October 31, 2024 and there was $181.5 million available for future borrowing, which can be increased to $1,036.5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2024, the Company was in compliance with these financial covenants, with a ratio of debt to EBITDA, as defined by the agreements, equal to 0.4 to 1.0 and the interest expense coverage ratio equal to 83.8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and labor as well as material shortages and supply chain disruptions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66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2024. There has been no material change in this information since the 2024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N, "Contingencies" included in this Quarterly Report on Form 10-Q is incorporated herein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2024. There have been no material changes from the risk factors set forth in the 2024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October 31, 2024, there were $137.8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October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00" w:type="dxa"/>
            <w:vAlign w:val="bottom"/>
          </w:tcPr>
          <w:p>
            <w:pPr>
              <w:spacing w:after="0"/>
              <w:rPr>
                <w:sz w:val="18"/>
                <w:szCs w:val="18"/>
                <w:color w:val="auto"/>
              </w:rPr>
            </w:pPr>
          </w:p>
        </w:tc>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2024 - August 31, 2024</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1, 2024 - September 30, 2024</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 October 31, 2024</w:t>
            </w:r>
          </w:p>
        </w:tc>
        <w:tc>
          <w:tcPr>
            <w:tcW w:w="19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2024,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64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4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Third Amendment to Credit Agreement, dated as of October 10, 2024, by and among Brady Corporation and certain of</w:t>
              </w:r>
            </w:hyperlink>
          </w:p>
        </w:tc>
      </w:tr>
      <w:tr>
        <w:trPr>
          <w:trHeight w:val="156"/>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its subsidiaries, the lenders listed therein and BMO Bank N.A.,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gridSpan w:val="7"/>
          </w:tcPr>
          <w:p>
            <w:pPr>
              <w:spacing w:after="0" w:line="169"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Registrant's Current Report on Form 8-K filed October 11, 2024).</w:t>
              </w:r>
            </w:hyperlink>
          </w:p>
        </w:tc>
        <w:tc>
          <w:tcPr>
            <w:tcW w:w="20" w:type="dxa"/>
            <w:vAlign w:val="bottom"/>
          </w:tcPr>
          <w:p>
            <w:pPr>
              <w:spacing w:after="0"/>
              <w:rPr>
                <w:sz w:val="14"/>
                <w:szCs w:val="14"/>
                <w:color w:val="auto"/>
              </w:rPr>
            </w:pPr>
          </w:p>
        </w:tc>
      </w:tr>
      <w:tr>
        <w:trPr>
          <w:trHeight w:val="48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Russell R. Shaller</w:t>
            </w:r>
          </w:p>
        </w:tc>
        <w:tc>
          <w:tcPr>
            <w:tcW w:w="3920" w:type="dxa"/>
            <w:vAlign w:val="bottom"/>
            <w:gridSpan w:val="3"/>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Ann E. Thornton</w:t>
            </w:r>
          </w:p>
        </w:tc>
        <w:tc>
          <w:tcPr>
            <w:tcW w:w="60" w:type="dxa"/>
            <w:vAlign w:val="bottom"/>
            <w:tcBorders>
              <w:top w:val="single" w:sz="8" w:color="0000FF"/>
            </w:tcBorders>
          </w:tcPr>
          <w:p>
            <w:pPr>
              <w:spacing w:after="0"/>
              <w:rPr>
                <w:sz w:val="24"/>
                <w:szCs w:val="24"/>
                <w:color w:val="auto"/>
              </w:rPr>
            </w:pPr>
          </w:p>
        </w:tc>
        <w:tc>
          <w:tcPr>
            <w:tcW w:w="4320" w:type="dxa"/>
            <w:vAlign w:val="bottom"/>
            <w:gridSpan w:val="4"/>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5200" w:type="dxa"/>
            <w:vAlign w:val="bottom"/>
            <w:gridSpan w:val="6"/>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of Ann E. Thornton</w:t>
            </w:r>
          </w:p>
        </w:tc>
      </w:tr>
      <w:tr>
        <w:trPr>
          <w:trHeight w:val="20"/>
        </w:trPr>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r>
      <w:tr>
        <w:trPr>
          <w:trHeight w:val="46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34"/>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50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Extension Taxonomy Schema Document</w:t>
            </w:r>
          </w:p>
        </w:tc>
      </w:tr>
      <w:tr>
        <w:trPr>
          <w:trHeight w:val="49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50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49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2024</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29"/>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right="20" w:firstLine="453"/>
        <w:spacing w:after="0" w:line="282" w:lineRule="auto"/>
        <w:tabs>
          <w:tab w:leader="none" w:pos="7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October 31, 2024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03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2" Type="http://schemas.openxmlformats.org/officeDocument/2006/relationships/hyperlink" Target="https://www.sec.gov/Archives/edgar/data/746598/000074659824000132/exhibit101creditagree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2024-11-18T07:08:18Z</dcterms:created>
  <dcterms:modified xsi:type="dcterms:W3CDTF">2024-11-18T07:08:18Z</dcterms:modified>
</cp:coreProperties>
</file>