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38" w:lineRule="exact"/>
        <w:rPr>
          <w:sz w:val="24"/>
          <w:szCs w:val="24"/>
          <w:color w:val="auto"/>
        </w:rPr>
      </w:pPr>
    </w:p>
    <w:p>
      <w:pPr>
        <w:jc w:val="center"/>
        <w:ind w:right="1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51"/>
        <w:spacing w:after="0"/>
        <w:rPr>
          <w:sz w:val="20"/>
          <w:szCs w:val="20"/>
          <w:color w:val="auto"/>
        </w:rPr>
      </w:pPr>
      <w:r>
        <w:rPr>
          <w:rFonts w:ascii="Arial" w:cs="Arial" w:eastAsia="Arial" w:hAnsi="Arial"/>
          <w:sz w:val="18"/>
          <w:szCs w:val="18"/>
          <w:b w:val="1"/>
          <w:bCs w:val="1"/>
          <w:color w:val="auto"/>
        </w:rPr>
        <w:t>Date of Report (Date of earliest event reported): September 9, 2011</w:t>
      </w:r>
    </w:p>
    <w:p>
      <w:pPr>
        <w:spacing w:after="0" w:line="200" w:lineRule="exact"/>
        <w:rPr>
          <w:sz w:val="24"/>
          <w:szCs w:val="24"/>
          <w:color w:val="auto"/>
        </w:rPr>
      </w:pPr>
    </w:p>
    <w:p>
      <w:pPr>
        <w:jc w:val="center"/>
        <w:ind w:right="151"/>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84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6"/>
              </w:rPr>
              <w:t>Wisconsin</w:t>
            </w:r>
          </w:p>
        </w:tc>
        <w:tc>
          <w:tcPr>
            <w:tcW w:w="25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300" w:type="dxa"/>
            <w:vAlign w:val="bottom"/>
            <w:gridSpan w:val="2"/>
          </w:tcPr>
          <w:p>
            <w:pPr>
              <w:jc w:val="right"/>
              <w:ind w:right="103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312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(IRS Employer Identification No.)</w:t>
            </w:r>
          </w:p>
        </w:tc>
      </w:tr>
      <w:tr>
        <w:trPr>
          <w:trHeight w:val="230"/>
        </w:trPr>
        <w:tc>
          <w:tcPr>
            <w:tcW w:w="3840" w:type="dxa"/>
            <w:vAlign w:val="bottom"/>
            <w:gridSpan w:val="3"/>
          </w:tcPr>
          <w:p>
            <w:pPr>
              <w:jc w:val="center"/>
              <w:ind w:right="740"/>
              <w:spacing w:after="0"/>
              <w:rPr>
                <w:sz w:val="20"/>
                <w:szCs w:val="20"/>
                <w:color w:val="auto"/>
              </w:rPr>
            </w:pPr>
            <w:r>
              <w:rPr>
                <w:rFonts w:ascii="Arial" w:cs="Arial" w:eastAsia="Arial" w:hAnsi="Arial"/>
                <w:sz w:val="18"/>
                <w:szCs w:val="18"/>
                <w:color w:val="auto"/>
                <w:w w:val="93"/>
              </w:rPr>
              <w:t>of incorporation)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4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9"/>
              </w:rPr>
              <w:t>6555 West Good Hope Road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34"/>
        </w:trPr>
        <w:tc>
          <w:tcPr>
            <w:tcW w:w="384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1"/>
              </w:rPr>
              <w:t>Milwaukee, Wisconsin</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jc w:val="right"/>
              <w:ind w:right="2070"/>
              <w:spacing w:after="0"/>
              <w:rPr>
                <w:sz w:val="20"/>
                <w:szCs w:val="20"/>
                <w:color w:val="auto"/>
              </w:rPr>
            </w:pPr>
            <w:r>
              <w:rPr>
                <w:rFonts w:ascii="Arial" w:cs="Arial" w:eastAsia="Arial" w:hAnsi="Arial"/>
                <w:sz w:val="18"/>
                <w:szCs w:val="18"/>
                <w:b w:val="1"/>
                <w:bCs w:val="1"/>
                <w:color w:val="auto"/>
              </w:rPr>
              <w:t>53223</w:t>
            </w:r>
          </w:p>
        </w:tc>
      </w:tr>
      <w:tr>
        <w:trPr>
          <w:trHeight w:val="224"/>
        </w:trPr>
        <w:tc>
          <w:tcPr>
            <w:tcW w:w="3840" w:type="dxa"/>
            <w:vAlign w:val="bottom"/>
            <w:gridSpan w:val="3"/>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(Zip Code)</w:t>
            </w:r>
          </w:p>
        </w:tc>
      </w:tr>
    </w:tbl>
    <w:p>
      <w:pPr>
        <w:spacing w:after="0" w:line="197" w:lineRule="exact"/>
        <w:rPr>
          <w:sz w:val="24"/>
          <w:szCs w:val="24"/>
          <w:color w:val="auto"/>
        </w:rPr>
      </w:pPr>
    </w:p>
    <w:p>
      <w:pPr>
        <w:jc w:val="center"/>
        <w:ind w:right="1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8" w:hanging="388"/>
        <w:spacing w:after="0"/>
        <w:tabs>
          <w:tab w:leader="none" w:pos="38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Item 2.02 RESULTS OF OPERATIONS AND FINANCIAL CONDITION</w:t>
      </w:r>
    </w:p>
    <w:p>
      <w:pPr>
        <w:spacing w:after="0" w:line="198" w:lineRule="exact"/>
        <w:rPr>
          <w:sz w:val="20"/>
          <w:szCs w:val="20"/>
          <w:color w:val="auto"/>
        </w:rPr>
      </w:pPr>
    </w:p>
    <w:p>
      <w:pPr>
        <w:jc w:val="both"/>
        <w:ind w:left="340" w:right="1540" w:firstLine="389"/>
        <w:spacing w:after="0" w:line="264" w:lineRule="auto"/>
        <w:rPr>
          <w:sz w:val="20"/>
          <w:szCs w:val="20"/>
          <w:color w:val="auto"/>
        </w:rPr>
      </w:pPr>
      <w:r>
        <w:rPr>
          <w:rFonts w:ascii="Arial" w:cs="Arial" w:eastAsia="Arial" w:hAnsi="Arial"/>
          <w:sz w:val="18"/>
          <w:szCs w:val="18"/>
          <w:color w:val="auto"/>
        </w:rPr>
        <w:t>On September 12, 2011, Brady Corporation (the “Corporation”) issued a press release announcing its fiscal 2011 fourth quarter financial results. A copy of the press release is being furnished to the Securities and Exchange Commission as Exhibit 99.1 attached hereto and is incorporated herein by reference.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8.01 OTHER EVENTS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Director Compensation</w:t>
      </w:r>
    </w:p>
    <w:p>
      <w:pPr>
        <w:spacing w:after="0" w:line="198" w:lineRule="exact"/>
        <w:rPr>
          <w:sz w:val="20"/>
          <w:szCs w:val="20"/>
          <w:color w:val="auto"/>
        </w:rPr>
      </w:pPr>
    </w:p>
    <w:p>
      <w:pPr>
        <w:ind w:left="340" w:right="1400" w:firstLine="389"/>
        <w:spacing w:after="0" w:line="302" w:lineRule="auto"/>
        <w:rPr>
          <w:sz w:val="20"/>
          <w:szCs w:val="20"/>
          <w:color w:val="auto"/>
        </w:rPr>
      </w:pPr>
      <w:r>
        <w:rPr>
          <w:rFonts w:ascii="Arial" w:cs="Arial" w:eastAsia="Arial" w:hAnsi="Arial"/>
          <w:sz w:val="16"/>
          <w:szCs w:val="16"/>
          <w:color w:val="auto"/>
        </w:rPr>
        <w:t>On September 9, 2011, the Corporation’s Board of Directors authorized an increase in compensation paid to its non-management Directors. Pursuant to the Board action, the annual committee chair fees will increase from $6,000 to $10,000 for each of the Chairs of the Compensation, Corporate Governance, Finance, and Technology Committees and from $10,000 to $15,000 for the Chair of the Audit Committee, effective at the annual Board of Directors meeting to be held on November 17, 2011.</w:t>
      </w:r>
    </w:p>
    <w:p>
      <w:pPr>
        <w:spacing w:after="0" w:line="114" w:lineRule="exact"/>
        <w:rPr>
          <w:sz w:val="20"/>
          <w:szCs w:val="20"/>
          <w:color w:val="auto"/>
        </w:rPr>
      </w:pPr>
    </w:p>
    <w:p>
      <w:pPr>
        <w:ind w:left="340" w:right="1460" w:firstLine="389"/>
        <w:spacing w:after="0" w:line="254" w:lineRule="auto"/>
        <w:rPr>
          <w:sz w:val="20"/>
          <w:szCs w:val="20"/>
          <w:color w:val="auto"/>
        </w:rPr>
      </w:pPr>
      <w:r>
        <w:rPr>
          <w:rFonts w:ascii="Arial" w:cs="Arial" w:eastAsia="Arial" w:hAnsi="Arial"/>
          <w:sz w:val="18"/>
          <w:szCs w:val="18"/>
          <w:color w:val="auto"/>
        </w:rPr>
        <w:t>On September 9, 2011, the Corporation’s Board of Directors approved an annual stock-based compensation award of approximately $75,000, half in time-based options and half in unrestricted shares of Class A Common Stock, for each non-management Director effective September 30, 2011, subject to shareholder approval of a new equity incentive plan. On September 9, 2011, the Corporation also amended the Brady Corporation Directors’ Deferred Compensation Plan to incorporate rules for the deferral of compensation payable in the form of Brady Corporation common stock. The foregoing description of the amendment does not purport to be complete and is qualified in its entirety by reference to the full text of the Brady Corporation Directors’ Deferred Compensation Plan, a copy of which is filed herewith as Exhibit 10.1 and is incorporated herein by reference. The remaining components of director compensation remain unchanged.</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Increase in Annual Dividend</w:t>
      </w:r>
    </w:p>
    <w:p>
      <w:pPr>
        <w:spacing w:after="0" w:line="198" w:lineRule="exact"/>
        <w:rPr>
          <w:sz w:val="20"/>
          <w:szCs w:val="20"/>
          <w:color w:val="auto"/>
        </w:rPr>
      </w:pPr>
    </w:p>
    <w:p>
      <w:pPr>
        <w:ind w:left="340" w:right="1480" w:firstLine="389"/>
        <w:spacing w:after="0" w:line="279" w:lineRule="auto"/>
        <w:rPr>
          <w:sz w:val="20"/>
          <w:szCs w:val="20"/>
          <w:color w:val="auto"/>
        </w:rPr>
      </w:pPr>
      <w:r>
        <w:rPr>
          <w:rFonts w:ascii="Arial" w:cs="Arial" w:eastAsia="Arial" w:hAnsi="Arial"/>
          <w:sz w:val="17"/>
          <w:szCs w:val="17"/>
          <w:color w:val="auto"/>
        </w:rPr>
        <w:t>On September 9, 2011, the Corporation announced that its Board of Directors had increased the annual cash dividend on its Class A Common Stock from $0.72 to $0.74 per share. A quarterly dividend in the amount of $0.185 per share will be paid on October 31, 2011, to shareholders of record as of the close of business on October 10, 2011. A copy of the press release regarding the dividend is attached hereto as Exhibit 99.2 and is incorporated herein by reference.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85" w:lineRule="exact"/>
        <w:rPr>
          <w:sz w:val="20"/>
          <w:szCs w:val="20"/>
          <w:color w:val="auto"/>
        </w:rPr>
      </w:pPr>
    </w:p>
    <w:p>
      <w:pPr>
        <w:ind w:left="340" w:right="1380" w:firstLine="389"/>
        <w:spacing w:after="0" w:line="257" w:lineRule="auto"/>
        <w:rPr>
          <w:sz w:val="20"/>
          <w:szCs w:val="20"/>
          <w:color w:val="auto"/>
        </w:rPr>
      </w:pPr>
      <w:r>
        <w:rPr>
          <w:rFonts w:ascii="Arial" w:cs="Arial" w:eastAsia="Arial" w:hAnsi="Arial"/>
          <w:sz w:val="18"/>
          <w:szCs w:val="18"/>
          <w:color w:val="auto"/>
        </w:rPr>
        <w:t>On September 12, 2011, the Corporation announced that its Board of Directors authorized a share buyback program for up to two million shares of the Corporation’s Class A Common Stock. The share repurchase plan may be implemented from time to time on the open market or in privately negotiated transactions. The repurchased shares will be available for use in connection with the Corporation’s stock-based plans and for other corporate purposes. A copy of the press release regarding the share buyback program is attached hereto as Exhibit 99.1 and is incorporated herein by reference.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are filed as Exhibits to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80" w:type="dxa"/>
            <w:vAlign w:val="bottom"/>
          </w:tcPr>
          <w:p>
            <w:pPr>
              <w:spacing w:after="0"/>
              <w:rPr>
                <w:sz w:val="20"/>
                <w:szCs w:val="20"/>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36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Brady Corporation Directors’ Deferred Compensation Plan, as amended.</w:t>
            </w:r>
          </w:p>
        </w:tc>
        <w:tc>
          <w:tcPr>
            <w:tcW w:w="136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2"/>
              </w:rPr>
              <w:t>Press Release of Brady Corporation, dated September 12, 2011, relating to fourth quarter fiscal 2011 financial</w:t>
            </w:r>
          </w:p>
        </w:tc>
        <w:tc>
          <w:tcPr>
            <w:tcW w:w="136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results and share buyback program.</w:t>
            </w:r>
          </w:p>
        </w:tc>
        <w:tc>
          <w:tcPr>
            <w:tcW w:w="13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8"/>
              </w:rPr>
              <w:t>Press Release of Brady Corporation, dated September 9, 2011, related to increase in quarterly dividend.</w:t>
            </w:r>
          </w:p>
        </w:tc>
        <w:tc>
          <w:tcPr>
            <w:tcW w:w="1360" w:type="dxa"/>
            <w:vAlign w:val="bottom"/>
          </w:tcPr>
          <w:p>
            <w:pPr>
              <w:spacing w:after="0"/>
              <w:rPr>
                <w:sz w:val="24"/>
                <w:szCs w:val="24"/>
                <w:color w:val="auto"/>
              </w:rPr>
            </w:pPr>
          </w:p>
        </w:tc>
      </w:tr>
      <w:tr>
        <w:trPr>
          <w:trHeight w:val="632"/>
        </w:trPr>
        <w:tc>
          <w:tcPr>
            <w:tcW w:w="3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5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Date: September 15, 2011</w:t>
      </w:r>
      <w:r>
        <w:rPr>
          <w:sz w:val="20"/>
          <w:szCs w:val="20"/>
          <w:color w:val="auto"/>
        </w:rPr>
        <w:tab/>
      </w:r>
      <w:r>
        <w:rPr>
          <w:rFonts w:ascii="Arial" w:cs="Arial" w:eastAsia="Arial" w:hAnsi="Arial"/>
          <w:sz w:val="17"/>
          <w:szCs w:val="17"/>
          <w:color w:val="auto"/>
        </w:rPr>
        <w:t>BRADY CORPORATION</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389890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80" w:type="dxa"/>
            <w:vAlign w:val="bottom"/>
          </w:tcPr>
          <w:p>
            <w:pPr>
              <w:ind w:left="2660"/>
              <w:spacing w:after="0"/>
              <w:rPr>
                <w:sz w:val="20"/>
                <w:szCs w:val="20"/>
                <w:color w:val="auto"/>
              </w:rPr>
            </w:pPr>
            <w:r>
              <w:rPr>
                <w:rFonts w:ascii="Arial" w:cs="Arial" w:eastAsia="Arial" w:hAnsi="Arial"/>
                <w:sz w:val="18"/>
                <w:szCs w:val="18"/>
                <w:color w:val="auto"/>
              </w:rPr>
              <w:t>EXHIBIT INDEX</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0"/>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280" w:type="dxa"/>
            <w:vAlign w:val="bottom"/>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26"/>
        </w:trPr>
        <w:tc>
          <w:tcPr>
            <w:tcW w:w="12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Brady Corporation Directors’ Deferred Compensation Plan, as amended.</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3"/>
              </w:rPr>
              <w:t>Press Release of Brady Corporation, dated September 12, 2011, relating to fourth quarter fiscal 2011 financial</w:t>
            </w:r>
          </w:p>
        </w:tc>
      </w:tr>
      <w:tr>
        <w:trPr>
          <w:trHeight w:val="230"/>
        </w:trPr>
        <w:tc>
          <w:tcPr>
            <w:tcW w:w="1260" w:type="dxa"/>
            <w:vAlign w:val="bottom"/>
          </w:tcPr>
          <w:p>
            <w:pPr>
              <w:spacing w:after="0"/>
              <w:rPr>
                <w:sz w:val="20"/>
                <w:szCs w:val="20"/>
                <w:color w:val="auto"/>
              </w:rPr>
            </w:pP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results and share buyback program.</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w w:val="98"/>
              </w:rPr>
              <w:t>Press Release of Brady Corporation, dated September 9, 2011, related to increase in quarterly dividend.</w:t>
            </w:r>
          </w:p>
        </w:tc>
      </w:tr>
    </w:tbl>
    <w:p>
      <w:pPr>
        <w:sectPr>
          <w:pgSz w:w="11900" w:h="16838" w:orient="portrait"/>
          <w:cols w:equalWidth="0" w:num="1">
            <w:col w:w="9879"/>
          </w:cols>
          <w:pgMar w:left="580" w:top="935" w:right="1440" w:bottom="1440" w:gutter="0" w:footer="0" w:header="0"/>
        </w:sectPr>
      </w:pPr>
    </w:p>
    <w:bookmarkStart w:id="4" w:name="page5"/>
    <w:bookmarkEnd w:id="4"/>
    <w:p>
      <w:pPr>
        <w:jc w:val="right"/>
        <w:ind w:right="1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BRADY CORPORATION</w:t>
      </w:r>
    </w:p>
    <w:p>
      <w:pPr>
        <w:spacing w:after="0" w:line="198" w:lineRule="exact"/>
        <w:rPr>
          <w:sz w:val="20"/>
          <w:szCs w:val="20"/>
          <w:color w:val="auto"/>
        </w:rPr>
      </w:pPr>
    </w:p>
    <w:p>
      <w:pPr>
        <w:jc w:val="center"/>
        <w:ind w:right="159"/>
        <w:spacing w:after="0" w:line="459" w:lineRule="auto"/>
        <w:rPr>
          <w:sz w:val="20"/>
          <w:szCs w:val="20"/>
          <w:color w:val="auto"/>
        </w:rPr>
      </w:pPr>
      <w:r>
        <w:rPr>
          <w:rFonts w:ascii="Arial" w:cs="Arial" w:eastAsia="Arial" w:hAnsi="Arial"/>
          <w:sz w:val="18"/>
          <w:szCs w:val="18"/>
          <w:b w:val="1"/>
          <w:bCs w:val="1"/>
          <w:color w:val="auto"/>
        </w:rPr>
        <w:t>DIRECTORS’ DEFERRED COMPENSATION PLAN AS AMENDED AND RESTATED EFFECTIVE SEPTEMBER 9, 2011 ARTICLE I</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right="159" w:firstLine="389"/>
        <w:spacing w:after="0" w:line="290" w:lineRule="auto"/>
        <w:rPr>
          <w:sz w:val="20"/>
          <w:szCs w:val="20"/>
          <w:color w:val="auto"/>
        </w:rPr>
      </w:pPr>
      <w:r>
        <w:rPr>
          <w:rFonts w:ascii="Arial" w:cs="Arial" w:eastAsia="Arial" w:hAnsi="Arial"/>
          <w:sz w:val="16"/>
          <w:szCs w:val="16"/>
          <w:color w:val="auto"/>
        </w:rPr>
        <w:t>1.1 For periods prior to calendar year 2005, Brady Corporation has maintained the Brady Corporation Directors’ Deferred Compensation Plan by means of a series of individual deferred compensation agreements with covered directors. This amended and restated document shall apply to those prior agreements with respect to both investment and distribution of amounts deferred before 2005 and after 2004 and with respect to rules for making deferrals after 2004.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amended and restated, effective as of September 9, 2011 to provide rules for the deferral of compensation payable in the form of Brady Corporation common stock.</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definitions shall be applicable throughout the Plan:</w:t>
      </w:r>
    </w:p>
    <w:p>
      <w:pPr>
        <w:spacing w:after="0" w:line="185" w:lineRule="exact"/>
        <w:rPr>
          <w:sz w:val="20"/>
          <w:szCs w:val="20"/>
          <w:color w:val="auto"/>
        </w:rPr>
      </w:pPr>
    </w:p>
    <w:p>
      <w:pPr>
        <w:jc w:val="both"/>
        <w:ind w:right="159" w:firstLine="389"/>
        <w:spacing w:after="0" w:line="34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Account</w:t>
      </w:r>
      <w:r>
        <w:rPr>
          <w:rFonts w:ascii="Arial" w:cs="Arial" w:eastAsia="Arial" w:hAnsi="Arial"/>
          <w:sz w:val="16"/>
          <w:szCs w:val="16"/>
          <w:color w:val="auto"/>
        </w:rPr>
        <w:t>” means the account credited from time to time with bookkeeping amounts equal to the portions of a Participant’s compensation deferred pursuant to Section 3.1 and earnings credited on such amounts in accordance with Article IV.</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of Directors of Brady Corporation.</w:t>
      </w:r>
    </w:p>
    <w:p>
      <w:pPr>
        <w:spacing w:after="0" w:line="185" w:lineRule="exact"/>
        <w:rPr>
          <w:sz w:val="20"/>
          <w:szCs w:val="20"/>
          <w:color w:val="auto"/>
        </w:rPr>
      </w:pPr>
    </w:p>
    <w:p>
      <w:pPr>
        <w:jc w:val="both"/>
        <w:ind w:right="159" w:firstLine="389"/>
        <w:spacing w:after="0" w:line="289"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Beneficiary</w:t>
      </w:r>
      <w:r>
        <w:rPr>
          <w:rFonts w:ascii="Arial" w:cs="Arial" w:eastAsia="Arial" w:hAnsi="Arial"/>
          <w:sz w:val="16"/>
          <w:szCs w:val="16"/>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Participant shall die before receiving the full amounts payable hereunder, then the payments shall be paid to the estate of the Beneficiary last to 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619125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including any subsequent amendments.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Corporation</w:t>
      </w:r>
      <w:r>
        <w:rPr>
          <w:rFonts w:ascii="Arial" w:cs="Arial" w:eastAsia="Arial" w:hAnsi="Arial"/>
          <w:sz w:val="18"/>
          <w:szCs w:val="18"/>
          <w:color w:val="auto"/>
        </w:rPr>
        <w:t>” means Brady Corporation.</w:t>
      </w:r>
    </w:p>
    <w:p>
      <w:pPr>
        <w:spacing w:after="0" w:line="185"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Distribution Date</w:t>
      </w:r>
      <w:r>
        <w:rPr>
          <w:rFonts w:ascii="Arial" w:cs="Arial" w:eastAsia="Arial" w:hAnsi="Arial"/>
          <w:sz w:val="18"/>
          <w:szCs w:val="18"/>
          <w:color w:val="auto"/>
        </w:rPr>
        <w:t>” means the October 1 following the Payment Event. For distribution elections prior to February 17, 2011, the Distribution Date was the quarterly date specified by the Participant upon which distribution would be made or commenced following the Participant’s Separation from Service or the In-Service Payment Event Date, as the case may be. All distribution elections in effect on February 17, 2011 shall remain in effect unless the Participant consents to a Distribution Date that is the October 1 following the Participant’s Payment Event; provided that no change in Distribution Date may change the calendar year of the distribution. If the distribution is payable other than in a single installment, subsequent installments shall be paid on anniversaries of the Distribution Date.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September 9, 2011. This document describes how this Plan has been administered for periods 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and prior to September 9, 2011 and how it shall be administered for periods on and after September 9, 2011.</w:t>
      </w:r>
    </w:p>
    <w:p>
      <w:pPr>
        <w:spacing w:after="0" w:line="184" w:lineRule="exact"/>
        <w:rPr>
          <w:sz w:val="20"/>
          <w:szCs w:val="20"/>
          <w:color w:val="auto"/>
        </w:rPr>
      </w:pPr>
    </w:p>
    <w:p>
      <w:pPr>
        <w:jc w:val="both"/>
        <w:ind w:right="159" w:firstLine="389"/>
        <w:spacing w:after="0" w:line="286" w:lineRule="auto"/>
        <w:rPr>
          <w:sz w:val="20"/>
          <w:szCs w:val="20"/>
          <w:color w:val="auto"/>
        </w:rPr>
      </w:pPr>
      <w:r>
        <w:rPr>
          <w:rFonts w:ascii="Arial" w:cs="Arial" w:eastAsia="Arial" w:hAnsi="Arial"/>
          <w:sz w:val="17"/>
          <w:szCs w:val="17"/>
          <w:color w:val="auto"/>
        </w:rPr>
        <w:t>2.8 “</w:t>
      </w:r>
      <w:r>
        <w:rPr>
          <w:rFonts w:ascii="Arial" w:cs="Arial" w:eastAsia="Arial" w:hAnsi="Arial"/>
          <w:sz w:val="17"/>
          <w:szCs w:val="17"/>
          <w:u w:val="single" w:color="auto"/>
          <w:color w:val="auto"/>
        </w:rPr>
        <w:t>In-Service Payment Event Date</w:t>
      </w:r>
      <w:r>
        <w:rPr>
          <w:rFonts w:ascii="Arial" w:cs="Arial" w:eastAsia="Arial" w:hAnsi="Arial"/>
          <w:sz w:val="17"/>
          <w:szCs w:val="17"/>
          <w:color w:val="auto"/>
        </w:rPr>
        <w:t>” means the date, if any, specified by the Participant as the reference date following which distribution of his Account shall begin. An In-Service Payment Event Date may be no earlier than January 1, 2007. For distribution elections following the Effective Date, a Participant may not elect an In-Service Payment Event Date.</w:t>
      </w:r>
    </w:p>
    <w:p>
      <w:pPr>
        <w:spacing w:after="0" w:line="125"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director of Brady Corporation currently eligible to make deferrals (an “Active Participant”) and any former director who previously participated in the Plan and is entitled to benefits.</w:t>
      </w:r>
    </w:p>
    <w:p>
      <w:pPr>
        <w:spacing w:after="0" w:line="130"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Payment Event</w:t>
      </w:r>
      <w:r>
        <w:rPr>
          <w:rFonts w:ascii="Arial" w:cs="Arial" w:eastAsia="Arial" w:hAnsi="Arial"/>
          <w:sz w:val="18"/>
          <w:szCs w:val="18"/>
          <w:color w:val="auto"/>
        </w:rPr>
        <w:t>” means the date of a Participant’s Separation From Service. For distribution elections prior to February 17, 2011, a Participant could elect a Payment event that was the earlier of the date of a Participant’s Separation From Service or the date the Participant specified as his In-Service Payment Event Date.</w:t>
      </w:r>
    </w:p>
    <w:p>
      <w:pPr>
        <w:spacing w:after="0" w:line="154"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Plan</w:t>
      </w:r>
      <w:r>
        <w:rPr>
          <w:rFonts w:ascii="Arial" w:cs="Arial" w:eastAsia="Arial" w:hAnsi="Arial"/>
          <w:sz w:val="18"/>
          <w:szCs w:val="18"/>
          <w:color w:val="auto"/>
        </w:rPr>
        <w:t>” means the Brady Corporation Directors’ Deferred Compensation Plan, as set forth herein and as it may be amended from time to time.</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85" w:lineRule="exact"/>
        <w:rPr>
          <w:sz w:val="20"/>
          <w:szCs w:val="20"/>
          <w:color w:val="auto"/>
        </w:rPr>
      </w:pPr>
    </w:p>
    <w:p>
      <w:pPr>
        <w:jc w:val="both"/>
        <w:ind w:right="159" w:firstLine="389"/>
        <w:spacing w:after="0" w:line="285"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means expiration or termination of the arrangement with the Corporation pursuant to which the Participant performed services as a director of the Corporation if such expiration or termination constitutes a good faith and complete termination of the relationship and all other independent contractor relationships the Participant has with the Corporation. A good faith and complete termination of a relationship shall not be deemed to have occurred if the Corporation anticipates a renewal of a contractual relationship or anticipates that the Participant shall become an employee of the Corporation. For this purpose, the Corporation is considered to anticipate the renewal of a contractual relationship with the Participant if it intends to contract again for the services provided under the expired arrangement, and neither the Corporation nor the Participant has eliminated the Participant as a possible provider of services under any such new arrangement. Further, the Corporation is considered to intend to contract again for the services provided under an expired arrangement if the Corporation’s doing so is conditioned only upon incurring a need for the services, the availability of funds or both. The foregoing requirements are deemed satisfied if no amount will be paid to the Participant before a date at least 12 months after the day on which the arrangement expires pursuant to which the Participant performed services for the Corporation (or, in the case of more than one arrangement, all such arrangements expire) and no amount payable to the Participant on that date will be paid to the Participant if, after the expiration of the arrangement (or arrangements) and before that date, the Participant performs services for the Corporation as a director or other independent contractor or an employee). If a Participant provides services both as an employee of the Corporation and as a member of the board of directors of the Corporation, the services provided as an employee are not taken into account in determining whether the Participant has a Separation from Service as a director for purposes of this Plan because this Plan is not aggregated with any plan in which the Participant participates as an employee pursuant to IRS Regulation Section 1.409A-1(c)(2)(ii).</w:t>
      </w: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 w:name="page7"/>
    <w:bookmarkEnd w:id="6"/>
    <w:p>
      <w:pPr>
        <w:jc w:val="both"/>
        <w:ind w:right="159" w:firstLine="389"/>
        <w:spacing w:after="0" w:line="288"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13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ARTICLE III</w:t>
      </w:r>
    </w:p>
    <w:p>
      <w:pPr>
        <w:spacing w:after="0" w:line="18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DEFERRALS</w:t>
      </w:r>
    </w:p>
    <w:p>
      <w:pPr>
        <w:spacing w:after="0" w:line="189" w:lineRule="exact"/>
        <w:rPr>
          <w:sz w:val="20"/>
          <w:szCs w:val="20"/>
          <w:color w:val="auto"/>
        </w:rPr>
      </w:pPr>
    </w:p>
    <w:p>
      <w:pPr>
        <w:jc w:val="both"/>
        <w:ind w:right="159" w:firstLine="389"/>
        <w:spacing w:after="0" w:line="28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Deferral Elections</w:t>
      </w:r>
      <w:r>
        <w:rPr>
          <w:rFonts w:ascii="Arial" w:cs="Arial" w:eastAsia="Arial" w:hAnsi="Arial"/>
          <w:sz w:val="16"/>
          <w:szCs w:val="16"/>
          <w:color w:val="auto"/>
        </w:rPr>
        <w:t>. An Active Participant may elect to defer a specified percentage of his fees for services performed as a director of the Corporation during a Plan Year by completing and filing such forms as required by the Corporation prior to the first day of the Plan Year. The Corporation may permit a Participant to make one deferral election with respect to compensation payable in cash and a separate deferral election with respect to compensation payable in the form of Brady Corporation common stock. A Participant’s deferrals shall be taken at a uniform percentage rate from each of the payments made to him by the Corporation during the Plan Year. Compensation deferred shall be retained by the Corporation, credited to the Participant’s Account pursuant to Section 4.1 and paid in accordance with the terms and conditions of the Plan. A director who is not already eligible to participate in any other deferred compensation plan of the account balance type sponsored by the Corporation who becomes an Active Participant for the first time during a Plan Year (i.e., first becomes a director) may within 30 days after the effective date of participation make an election to defer a specified percentage of compensation to be paid to him for services to be performed subsequent to the deferral election.</w:t>
      </w:r>
    </w:p>
    <w:p>
      <w:pPr>
        <w:spacing w:after="0" w:line="142"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 An Active Participant’s deferral election with respect to a Plan Year under Section 3.1 shall be irrevocable after the last date upon which it may be filed pursuant to Section 3.1 and shall continue in effect each subsequent Plan Year until prospectively revoked or amended in writing. For a revocation or amendment to be effective with respect to payments during a Plan Year, it must be filed by the last date for which an effective deferral election is permitted to be filed with respect to those payments under Section 3.1.</w:t>
      </w:r>
    </w:p>
    <w:p>
      <w:pPr>
        <w:spacing w:after="0" w:line="148"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 Deferral Elections</w:t>
      </w:r>
      <w:r>
        <w:rPr>
          <w:rFonts w:ascii="Arial" w:cs="Arial" w:eastAsia="Arial" w:hAnsi="Arial"/>
          <w:sz w:val="18"/>
          <w:szCs w:val="18"/>
          <w:color w:val="auto"/>
        </w:rPr>
        <w:t>. Any deferral election made prior to calendar year 2005 under an individual agreement shall be treated as a deferral election described in Section 3.1 and shall continue in effect until modified as described in Section 3.2 above unless modified earlier pursuant to Section 8.12(a) below.</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 w:name="page8"/>
    <w:bookmarkEnd w:id="7"/>
    <w:p>
      <w:pPr>
        <w:jc w:val="both"/>
        <w:ind w:right="159" w:firstLine="389"/>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Unforeseeable Emergency</w:t>
      </w:r>
      <w:r>
        <w:rPr>
          <w:rFonts w:ascii="Arial" w:cs="Arial" w:eastAsia="Arial" w:hAnsi="Arial"/>
          <w:sz w:val="16"/>
          <w:szCs w:val="16"/>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 resume deferrals thereafter, a Participant must make an election satisfying the provisions of Section 3.1, as the case may be, as those provisions apply to someone who is already an Active Participant in the Plan.</w:t>
      </w:r>
    </w:p>
    <w:p>
      <w:pPr>
        <w:spacing w:after="0" w:line="12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ARTICLE IV</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ACCOUNTS</w:t>
      </w:r>
    </w:p>
    <w:p>
      <w:pPr>
        <w:spacing w:after="0" w:line="189"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Credits to Account</w:t>
      </w:r>
      <w:r>
        <w:rPr>
          <w:rFonts w:ascii="Arial" w:cs="Arial" w:eastAsia="Arial" w:hAnsi="Arial"/>
          <w:sz w:val="18"/>
          <w:szCs w:val="18"/>
          <w:color w:val="auto"/>
        </w:rPr>
        <w:t>. Bookkeeping amounts equal to the amounts deferred by a Participant pursuant to Section 3.1 shall be credited to such Participant’s Deferral Account as soon as practicable after the deferred compensation would otherwise have been paid to such Participant in the absence of deferral.</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185" w:lineRule="exact"/>
        <w:rPr>
          <w:sz w:val="20"/>
          <w:szCs w:val="20"/>
          <w:color w:val="auto"/>
        </w:rPr>
      </w:pPr>
    </w:p>
    <w:p>
      <w:pPr>
        <w:ind w:left="380" w:right="179" w:firstLine="374"/>
        <w:spacing w:after="0" w:line="277" w:lineRule="auto"/>
        <w:tabs>
          <w:tab w:leader="none" w:pos="10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Participant’s Account shall be credited or charged with deemed earnings or losses as if it were invested in accordance with paragraph (b) below.</w:t>
      </w:r>
    </w:p>
    <w:p>
      <w:pPr>
        <w:spacing w:after="0" w:line="129" w:lineRule="exact"/>
        <w:rPr>
          <w:rFonts w:ascii="Arial" w:cs="Arial" w:eastAsia="Arial" w:hAnsi="Arial"/>
          <w:sz w:val="18"/>
          <w:szCs w:val="18"/>
          <w:color w:val="auto"/>
        </w:rPr>
      </w:pPr>
    </w:p>
    <w:p>
      <w:pPr>
        <w:jc w:val="both"/>
        <w:ind w:left="380" w:right="159" w:firstLine="374"/>
        <w:spacing w:after="0" w:line="302" w:lineRule="auto"/>
        <w:tabs>
          <w:tab w:leader="none" w:pos="1018" w:val="left"/>
        </w:tabs>
        <w:numPr>
          <w:ilvl w:val="0"/>
          <w:numId w:val="2"/>
        </w:numPr>
        <w:rPr>
          <w:rFonts w:ascii="Arial" w:cs="Arial" w:eastAsia="Arial" w:hAnsi="Arial"/>
          <w:sz w:val="16"/>
          <w:szCs w:val="16"/>
          <w:color w:val="auto"/>
        </w:rPr>
      </w:pPr>
      <w:r>
        <w:rPr>
          <w:rFonts w:ascii="Arial" w:cs="Arial" w:eastAsia="Arial" w:hAnsi="Arial"/>
          <w:sz w:val="16"/>
          <w:szCs w:val="16"/>
          <w:color w:val="auto"/>
        </w:rPr>
        <w:t>(i) 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127" w:lineRule="exact"/>
        <w:rPr>
          <w:rFonts w:ascii="Arial" w:cs="Arial" w:eastAsia="Arial" w:hAnsi="Arial"/>
          <w:sz w:val="16"/>
          <w:szCs w:val="16"/>
          <w:color w:val="auto"/>
        </w:rPr>
      </w:pPr>
    </w:p>
    <w:p>
      <w:pPr>
        <w:jc w:val="both"/>
        <w:ind w:left="780" w:right="159" w:firstLine="348"/>
        <w:spacing w:after="0" w:line="269" w:lineRule="auto"/>
        <w:tabs>
          <w:tab w:leader="none" w:pos="1416" w:val="left"/>
        </w:tabs>
        <w:numPr>
          <w:ilvl w:val="1"/>
          <w:numId w:val="2"/>
        </w:numPr>
        <w:rPr>
          <w:rFonts w:ascii="Arial" w:cs="Arial" w:eastAsia="Arial" w:hAnsi="Arial"/>
          <w:sz w:val="17"/>
          <w:szCs w:val="17"/>
          <w:color w:val="auto"/>
        </w:rPr>
      </w:pPr>
      <w:r>
        <w:rPr>
          <w:rFonts w:ascii="Arial" w:cs="Arial" w:eastAsia="Arial" w:hAnsi="Arial"/>
          <w:sz w:val="17"/>
          <w:szCs w:val="17"/>
          <w:color w:val="auto"/>
        </w:rPr>
        <w:t>On the date credited to the Participant’s Account, deferrals shall be deemed to be invested in one or more of the investment funds designated by the Participant for such deemed investment, subject to the following rules for investments in the Brady Stock Fund: (A) deferrals of compensation payable in the form of Brady Corporation common stock shall automatically be credited to the Brady Stock Fund on the date that the stock would otherwise be issued to the Participant and (B) deferrals of cash compensation designated for investment in the Brady Stock Fund shall initially be credited to the General Investment Sub-account and transferred to the Brady Stock Sub-account on a quarterly basis. Once made, the Participant’s investment designation shall continue in effect for all future deferrals until changed by the Participant. Any such change may be prospectively elected by the Participant at the times established by the Administrator, which shall be no less frequently than quarterly, and shall be effective only for deferrals, credited from and after its effective date. Until such time as the Administrator takes action to the contrary, such changes may be elected at the same times as changes may be elected with respect to the Brady Matched 401(k) Plan.</w:t>
      </w:r>
    </w:p>
    <w:p>
      <w:pPr>
        <w:spacing w:after="0" w:line="142" w:lineRule="exact"/>
        <w:rPr>
          <w:rFonts w:ascii="Arial" w:cs="Arial" w:eastAsia="Arial" w:hAnsi="Arial"/>
          <w:sz w:val="17"/>
          <w:szCs w:val="17"/>
          <w:color w:val="auto"/>
        </w:rPr>
      </w:pPr>
    </w:p>
    <w:p>
      <w:pPr>
        <w:ind w:left="780" w:right="179" w:firstLine="348"/>
        <w:spacing w:after="0" w:line="342" w:lineRule="auto"/>
        <w:tabs>
          <w:tab w:leader="none" w:pos="147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portion of a Participant’s Account invested in the Brady Stock Fund shall be called the Brady Stock Sub-account. The remaining portion of the Participant’s Account shall be referred to as the General Investment Sub-account.</w:t>
      </w:r>
    </w:p>
    <w:p>
      <w:pPr>
        <w:spacing w:after="0" w:line="83" w:lineRule="exact"/>
        <w:rPr>
          <w:rFonts w:ascii="Arial" w:cs="Arial" w:eastAsia="Arial" w:hAnsi="Arial"/>
          <w:sz w:val="16"/>
          <w:szCs w:val="16"/>
          <w:color w:val="auto"/>
        </w:rPr>
      </w:pPr>
    </w:p>
    <w:p>
      <w:pPr>
        <w:jc w:val="both"/>
        <w:ind w:left="780" w:right="159" w:firstLine="348"/>
        <w:spacing w:after="0" w:line="312" w:lineRule="auto"/>
        <w:tabs>
          <w:tab w:leader="none" w:pos="1435" w:val="left"/>
        </w:tabs>
        <w:numPr>
          <w:ilvl w:val="1"/>
          <w:numId w:val="2"/>
        </w:numPr>
        <w:rPr>
          <w:rFonts w:ascii="Arial" w:cs="Arial" w:eastAsia="Arial" w:hAnsi="Arial"/>
          <w:sz w:val="16"/>
          <w:szCs w:val="16"/>
          <w:color w:val="auto"/>
        </w:rPr>
      </w:pPr>
      <w:r>
        <w:rPr>
          <w:rFonts w:ascii="Arial" w:cs="Arial" w:eastAsia="Arial" w:hAnsi="Arial"/>
          <w:sz w:val="16"/>
          <w:szCs w:val="16"/>
          <w:color w:val="auto"/>
        </w:rPr>
        <w:t>A Participant’s balance in the Brady Stock Fund shall be determined as though the Participant’s deferrals allocated to that Fund are invested in shares of Class A non-voting common stock of Brady Corporation by purchase at the fair market value price of such stock on the date the deferrals are credited to the Participant’s Brady Stock Fund Sub-account.</w:t>
      </w: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 w:name="page9"/>
    <w:bookmarkEnd w:id="8"/>
    <w:p>
      <w:pPr>
        <w:jc w:val="both"/>
        <w:ind w:left="10" w:right="159" w:firstLine="348"/>
        <w:spacing w:after="0" w:line="287" w:lineRule="auto"/>
        <w:tabs>
          <w:tab w:leader="none" w:pos="639"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value of the Brady Stock Sub-account on any particular date will be based upon the value of the shares of Class A non-voting common stock of Brady Corporation which the sub-account is deemed to hold on that date. The shares of such stock deemed to be held in such sub-account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sub-account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 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145" w:lineRule="exact"/>
        <w:rPr>
          <w:rFonts w:ascii="Arial" w:cs="Arial" w:eastAsia="Arial" w:hAnsi="Arial"/>
          <w:sz w:val="16"/>
          <w:szCs w:val="16"/>
          <w:color w:val="auto"/>
        </w:rPr>
      </w:pPr>
    </w:p>
    <w:p>
      <w:pPr>
        <w:jc w:val="both"/>
        <w:ind w:left="10" w:right="179" w:firstLine="348"/>
        <w:spacing w:after="0" w:line="264" w:lineRule="auto"/>
        <w:tabs>
          <w:tab w:leader="none" w:pos="67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valuation of the funds held in the General Investment Sub-account shall be accomplished in the same manner as though the deemed investment in such funds had actually been made and are valued at their fair market value price on valuation dates hereunder.</w:t>
      </w:r>
    </w:p>
    <w:p>
      <w:pPr>
        <w:spacing w:after="0" w:line="140" w:lineRule="exact"/>
        <w:rPr>
          <w:rFonts w:ascii="Arial" w:cs="Arial" w:eastAsia="Arial" w:hAnsi="Arial"/>
          <w:sz w:val="18"/>
          <w:szCs w:val="18"/>
          <w:color w:val="auto"/>
        </w:rPr>
      </w:pPr>
    </w:p>
    <w:p>
      <w:pPr>
        <w:jc w:val="both"/>
        <w:ind w:left="10" w:right="159" w:firstLine="348"/>
        <w:spacing w:after="0" w:line="286" w:lineRule="auto"/>
        <w:tabs>
          <w:tab w:leader="none" w:pos="723" w:val="left"/>
        </w:tabs>
        <w:numPr>
          <w:ilvl w:val="1"/>
          <w:numId w:val="3"/>
        </w:numPr>
        <w:rPr>
          <w:rFonts w:ascii="Arial" w:cs="Arial" w:eastAsia="Arial" w:hAnsi="Arial"/>
          <w:sz w:val="17"/>
          <w:szCs w:val="17"/>
          <w:color w:val="auto"/>
        </w:rPr>
      </w:pPr>
      <w:r>
        <w:rPr>
          <w:rFonts w:ascii="Arial" w:cs="Arial" w:eastAsia="Arial" w:hAnsi="Arial"/>
          <w:sz w:val="17"/>
          <w:szCs w:val="17"/>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125" w:lineRule="exact"/>
        <w:rPr>
          <w:rFonts w:ascii="Arial" w:cs="Arial" w:eastAsia="Arial" w:hAnsi="Arial"/>
          <w:sz w:val="17"/>
          <w:szCs w:val="17"/>
          <w:color w:val="auto"/>
        </w:rPr>
      </w:pPr>
    </w:p>
    <w:p>
      <w:pPr>
        <w:ind w:left="10" w:right="179" w:firstLine="348"/>
        <w:spacing w:after="0" w:line="308" w:lineRule="auto"/>
        <w:tabs>
          <w:tab w:leader="none" w:pos="771"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elections and designations under this section shall be made in accordance with procedures prescribed by the Administrator. The Administrator may prescribe uniform percentages for such elections and designations.</w:t>
      </w:r>
    </w:p>
    <w:p>
      <w:pPr>
        <w:spacing w:after="0" w:line="119" w:lineRule="exact"/>
        <w:rPr>
          <w:rFonts w:ascii="Arial" w:cs="Arial" w:eastAsia="Arial" w:hAnsi="Arial"/>
          <w:sz w:val="17"/>
          <w:szCs w:val="17"/>
          <w:color w:val="auto"/>
        </w:rPr>
      </w:pPr>
    </w:p>
    <w:p>
      <w:pPr>
        <w:jc w:val="both"/>
        <w:ind w:left="10" w:right="179" w:firstLine="348"/>
        <w:spacing w:after="0" w:line="286" w:lineRule="auto"/>
        <w:tabs>
          <w:tab w:leader="none" w:pos="674" w:val="left"/>
        </w:tabs>
        <w:numPr>
          <w:ilvl w:val="1"/>
          <w:numId w:val="3"/>
        </w:numPr>
        <w:rPr>
          <w:rFonts w:ascii="Arial" w:cs="Arial" w:eastAsia="Arial" w:hAnsi="Arial"/>
          <w:sz w:val="16"/>
          <w:szCs w:val="16"/>
          <w:color w:val="auto"/>
        </w:rPr>
      </w:pPr>
      <w:r>
        <w:rPr>
          <w:rFonts w:ascii="Arial" w:cs="Arial" w:eastAsia="Arial" w:hAnsi="Arial"/>
          <w:sz w:val="16"/>
          <w:szCs w:val="16"/>
          <w:color w:val="auto"/>
        </w:rPr>
        <w:t>A Participant may prospectively elect to reallocate his Account balance among the investment funds at the times established by the Administrator, which shall be no less frequently than quarterly. Until such time as the Administrator takes action to the contrary, such changes may be elected at the same times as changes may be elected with respect to the Brady Matched 401(k) Plan. Notwithstanding any other provision of this Plan to the contrary, a Participant may not make</w:t>
      </w:r>
    </w:p>
    <w:p>
      <w:pPr>
        <w:spacing w:after="0" w:line="1" w:lineRule="exact"/>
        <w:rPr>
          <w:rFonts w:ascii="Arial" w:cs="Arial" w:eastAsia="Arial" w:hAnsi="Arial"/>
          <w:sz w:val="16"/>
          <w:szCs w:val="16"/>
          <w:color w:val="auto"/>
        </w:rPr>
      </w:pPr>
    </w:p>
    <w:p>
      <w:pPr>
        <w:jc w:val="both"/>
        <w:ind w:left="10" w:right="179" w:hanging="10"/>
        <w:spacing w:after="0" w:line="302" w:lineRule="auto"/>
        <w:tabs>
          <w:tab w:leader="none" w:pos="232"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election or transaction in the Brady Stock Fund at a time when the Participant is in possession of any material non-public information or at a time not permitted under the Corporation’s policy on insider trading or (ii) an opposite way election with respect to the Brady Stock Fund within six months of a prior election regarding the Brady Stock Fund.</w:t>
      </w:r>
    </w:p>
    <w:p>
      <w:pPr>
        <w:spacing w:after="0" w:line="114" w:lineRule="exact"/>
        <w:rPr>
          <w:rFonts w:ascii="Arial" w:cs="Arial" w:eastAsia="Arial" w:hAnsi="Arial"/>
          <w:sz w:val="16"/>
          <w:szCs w:val="16"/>
          <w:color w:val="auto"/>
        </w:rPr>
      </w:pPr>
    </w:p>
    <w:p>
      <w:pPr>
        <w:jc w:val="both"/>
        <w:ind w:left="10" w:right="159" w:firstLine="348"/>
        <w:spacing w:after="0" w:line="270" w:lineRule="auto"/>
        <w:tabs>
          <w:tab w:leader="none" w:pos="640" w:val="left"/>
        </w:tabs>
        <w:numPr>
          <w:ilvl w:val="1"/>
          <w:numId w:val="4"/>
        </w:numPr>
        <w:rPr>
          <w:rFonts w:ascii="Arial" w:cs="Arial" w:eastAsia="Arial" w:hAnsi="Arial"/>
          <w:sz w:val="17"/>
          <w:szCs w:val="17"/>
          <w:color w:val="auto"/>
        </w:rPr>
      </w:pPr>
      <w:r>
        <w:rPr>
          <w:rFonts w:ascii="Arial" w:cs="Arial" w:eastAsia="Arial" w:hAnsi="Arial"/>
          <w:sz w:val="17"/>
          <w:szCs w:val="17"/>
          <w:color w:val="auto"/>
        </w:rPr>
        <w:t>Notwithstanding subparagraph (ix) above, from and after May 1, 2006, a Participant may not shift any amounts from his Brady Stock Sub-account to his General Investment Sub-account or vice-versa. The preceding sentence shall not apply to a Participant who has had a Separation from Service prior to May 1, 2006. A Participant shall, on or after February 16, 2006 and prior to May 1, 2006, be entitled to reallocate up to 50% of the balance of the portion of his Account attributable to pre-2004 deferrals from investments in the Brady Stock Fund to the other investment funds available hereunder; and, thereafter, the portion of such account attributable to pre-2004 deferrals held in the Brady Stock Fund must remain in the Brady Stock Fund but the director may continue to make new investment choices from among available investment funds with respect to remaining portions of that account. The preceding sentence shall not apply to a Participant who has a Separation from Service before reallocation under such sentence has taken place.</w:t>
      </w:r>
    </w:p>
    <w:p>
      <w:pPr>
        <w:spacing w:after="0" w:line="200" w:lineRule="exact"/>
        <w:rPr>
          <w:sz w:val="20"/>
          <w:szCs w:val="20"/>
          <w:color w:val="auto"/>
        </w:rPr>
      </w:pPr>
    </w:p>
    <w:p>
      <w:pPr>
        <w:spacing w:after="0" w:line="346" w:lineRule="exact"/>
        <w:rPr>
          <w:sz w:val="20"/>
          <w:szCs w:val="20"/>
          <w:color w:val="auto"/>
        </w:rPr>
      </w:pPr>
    </w:p>
    <w:p>
      <w:pPr>
        <w:ind w:left="397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9" w:name="page10"/>
    <w:bookmarkEnd w:id="9"/>
    <w:p>
      <w:pPr>
        <w:jc w:val="both"/>
        <w:ind w:left="380" w:right="159" w:firstLine="374"/>
        <w:spacing w:after="0" w:line="312" w:lineRule="auto"/>
        <w:tabs>
          <w:tab w:leader="none" w:pos="101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Corporation shall provide annual reports to each Participant showing (a) the value of the Account as of the most recent December 31</w:t>
      </w:r>
      <w:r>
        <w:rPr>
          <w:rFonts w:ascii="Arial" w:cs="Arial" w:eastAsia="Arial" w:hAnsi="Arial"/>
          <w:sz w:val="13"/>
          <w:szCs w:val="13"/>
          <w:color w:val="auto"/>
        </w:rPr>
        <w:t>st</w:t>
      </w:r>
      <w:r>
        <w:rPr>
          <w:rFonts w:ascii="Arial" w:cs="Arial" w:eastAsia="Arial" w:hAnsi="Arial"/>
          <w:sz w:val="16"/>
          <w:szCs w:val="16"/>
          <w:color w:val="auto"/>
        </w:rPr>
        <w:t>, (b) the amount of deferral made by the Participant for the Plan Year ending on such date and (c) the amount of any investment gain or loss and the costs of administration credited or debited to the Participant’s Account.</w:t>
      </w:r>
    </w:p>
    <w:p>
      <w:pPr>
        <w:spacing w:after="0" w:line="119" w:lineRule="exact"/>
        <w:rPr>
          <w:rFonts w:ascii="Arial" w:cs="Arial" w:eastAsia="Arial" w:hAnsi="Arial"/>
          <w:sz w:val="16"/>
          <w:szCs w:val="16"/>
          <w:color w:val="auto"/>
        </w:rPr>
      </w:pPr>
    </w:p>
    <w:p>
      <w:pPr>
        <w:jc w:val="both"/>
        <w:ind w:left="380" w:right="159" w:firstLine="374"/>
        <w:spacing w:after="0" w:line="271" w:lineRule="auto"/>
        <w:tabs>
          <w:tab w:leader="none" w:pos="101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17"/>
          <w:szCs w:val="17"/>
          <w:u w:val="single" w:color="auto"/>
          <w:color w:val="auto"/>
        </w:rPr>
        <w:t>shall not</w:t>
      </w:r>
      <w:r>
        <w:rPr>
          <w:rFonts w:ascii="Arial" w:cs="Arial" w:eastAsia="Arial" w:hAnsi="Arial"/>
          <w:sz w:val="17"/>
          <w:szCs w:val="17"/>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VESTING</w:t>
      </w:r>
    </w:p>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his or her Account hereunder.</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MANNER AND TIMING OF DISTRIBUTION</w:t>
      </w:r>
    </w:p>
    <w:p>
      <w:pPr>
        <w:spacing w:after="0" w:line="20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 of Benefits</w:t>
      </w:r>
      <w:r>
        <w:rPr>
          <w:rFonts w:ascii="Arial" w:cs="Arial" w:eastAsia="Arial" w:hAnsi="Arial"/>
          <w:sz w:val="18"/>
          <w:szCs w:val="18"/>
          <w:color w:val="auto"/>
        </w:rPr>
        <w:t>. After a Participant’s Payment Event the Participant’s Account shall be paid to the Participant (or in the event of the Participant’s death, to the Participant’s Beneficiary). Payment shall be made in a Single Sum or Installments as specified in the Participant’s payment election pursuant to Section 6.2:</w:t>
      </w:r>
    </w:p>
    <w:p>
      <w:pPr>
        <w:spacing w:after="0" w:line="141" w:lineRule="exact"/>
        <w:rPr>
          <w:sz w:val="20"/>
          <w:szCs w:val="20"/>
          <w:color w:val="auto"/>
        </w:rPr>
      </w:pPr>
    </w:p>
    <w:p>
      <w:pPr>
        <w:jc w:val="both"/>
        <w:ind w:left="780" w:right="159" w:firstLine="348"/>
        <w:spacing w:after="0" w:line="279" w:lineRule="auto"/>
        <w:tabs>
          <w:tab w:leader="none" w:pos="1352"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Single Sum</w:t>
      </w:r>
      <w:r>
        <w:rPr>
          <w:rFonts w:ascii="Arial" w:cs="Arial" w:eastAsia="Arial" w:hAnsi="Arial"/>
          <w:sz w:val="17"/>
          <w:szCs w:val="17"/>
          <w:color w:val="auto"/>
        </w:rPr>
        <w:t>. A single sum distribution of the value of the balance of the Account on the Distribution Date following the Participant’s Payment Event. If the Participant receives a single sum distribution before Separation from Service with the result that additional amounts are subsequently deposited in the Participant’s Account, a distribution shall be made on each succeeding Distribution Date of the entire value of the then balance of the Account.</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 w:name="page11"/>
    <w:bookmarkEnd w:id="10"/>
    <w:p>
      <w:pPr>
        <w:jc w:val="both"/>
        <w:ind w:left="-80" w:right="179" w:firstLine="348"/>
        <w:spacing w:after="0" w:line="273" w:lineRule="auto"/>
        <w:tabs>
          <w:tab w:leader="none" w:pos="542"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Installments</w:t>
      </w:r>
      <w:r>
        <w:rPr>
          <w:rFonts w:ascii="Arial" w:cs="Arial" w:eastAsia="Arial" w:hAnsi="Arial"/>
          <w:sz w:val="17"/>
          <w:szCs w:val="17"/>
          <w:color w:val="auto"/>
        </w:rPr>
        <w:t>. The value of the balance of the Account shall be paid in annual installments on the Distribution Date each year with the first of such installments to be paid on the Distribution Date following the Participant’s Payment Event.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alternative methods available are as follows:</w:t>
      </w:r>
    </w:p>
    <w:p>
      <w:pPr>
        <w:spacing w:after="0" w:line="151" w:lineRule="exact"/>
        <w:rPr>
          <w:rFonts w:ascii="Arial" w:cs="Arial" w:eastAsia="Arial" w:hAnsi="Arial"/>
          <w:sz w:val="17"/>
          <w:szCs w:val="17"/>
          <w:color w:val="auto"/>
        </w:rPr>
      </w:pPr>
    </w:p>
    <w:p>
      <w:pPr>
        <w:jc w:val="both"/>
        <w:ind w:left="300" w:right="159" w:firstLine="341"/>
        <w:spacing w:after="0" w:line="273" w:lineRule="auto"/>
        <w:tabs>
          <w:tab w:leader="none" w:pos="937"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Fractional Method</w:t>
      </w:r>
      <w:r>
        <w:rPr>
          <w:rFonts w:ascii="Arial" w:cs="Arial" w:eastAsia="Arial" w:hAnsi="Arial"/>
          <w:sz w:val="17"/>
          <w:szCs w:val="17"/>
          <w:color w:val="auto"/>
        </w:rPr>
        <w:t>. The annual installment shall be calculated by multiplying the most recent July 31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Further, regardless of the method selected by the Participant, the final installment payment will include 100% of the then remaining Account value.</w:t>
      </w:r>
    </w:p>
    <w:p>
      <w:pPr>
        <w:spacing w:after="0" w:line="137" w:lineRule="exact"/>
        <w:rPr>
          <w:rFonts w:ascii="Arial" w:cs="Arial" w:eastAsia="Arial" w:hAnsi="Arial"/>
          <w:sz w:val="17"/>
          <w:szCs w:val="17"/>
          <w:color w:val="auto"/>
        </w:rPr>
      </w:pPr>
    </w:p>
    <w:p>
      <w:pPr>
        <w:jc w:val="both"/>
        <w:ind w:left="300" w:right="159" w:firstLine="341"/>
        <w:spacing w:after="0" w:line="255" w:lineRule="auto"/>
        <w:tabs>
          <w:tab w:leader="none" w:pos="927"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Percentage or Fixed Dollar Method</w:t>
      </w:r>
      <w:r>
        <w:rPr>
          <w:rFonts w:ascii="Arial" w:cs="Arial" w:eastAsia="Arial" w:hAnsi="Arial"/>
          <w:sz w:val="18"/>
          <w:szCs w:val="18"/>
          <w:color w:val="auto"/>
        </w:rPr>
        <w:t>. The annual installment shall be calculated by multiplying the most recent July 31 value of the Account, in the case of the percentage method, by the percentage selected by the Participant and paying out the resulting amount or, in the case of the fixed dollar method, by paying out the fixed dollar amount selected by the Participant for the number of years selected by the Participant. However, in the event the dollar amount selected is more than the value of the Account in any given year, the entire value of the Account will be distributed. Further, regardless of the method selected by the Participant, the final installment payment will include 100% of the then remaining Account value.</w:t>
      </w:r>
    </w:p>
    <w:p>
      <w:pPr>
        <w:spacing w:after="0" w:line="148" w:lineRule="exact"/>
        <w:rPr>
          <w:rFonts w:ascii="Arial" w:cs="Arial" w:eastAsia="Arial" w:hAnsi="Arial"/>
          <w:sz w:val="18"/>
          <w:szCs w:val="18"/>
          <w:color w:val="auto"/>
        </w:rPr>
      </w:pPr>
    </w:p>
    <w:p>
      <w:pPr>
        <w:jc w:val="both"/>
        <w:ind w:left="-80" w:right="179" w:firstLine="348"/>
        <w:spacing w:after="0" w:line="259" w:lineRule="auto"/>
        <w:tabs>
          <w:tab w:leader="none" w:pos="60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 Cash or In Stock</w:t>
      </w:r>
      <w:r>
        <w:rPr>
          <w:rFonts w:ascii="Arial" w:cs="Arial" w:eastAsia="Arial" w:hAnsi="Arial"/>
          <w:sz w:val="18"/>
          <w:szCs w:val="18"/>
          <w:color w:val="auto"/>
        </w:rPr>
        <w:t>. Prior to May 1, 2006 all payments shall be made in cash, except that amounts held in the Brady Stock Sub-account attributable to pre-2004 deferrals shall be distributed by means of Class A non-voting common stock of Brady Corporation. From and after May 1, 2006, payments shall be made in cash and/or Class A non-voting common stock of Brady Corporation pursuant to the following:</w:t>
      </w:r>
    </w:p>
    <w:p>
      <w:pPr>
        <w:spacing w:after="0" w:line="159" w:lineRule="exact"/>
        <w:rPr>
          <w:rFonts w:ascii="Arial" w:cs="Arial" w:eastAsia="Arial" w:hAnsi="Arial"/>
          <w:sz w:val="18"/>
          <w:szCs w:val="18"/>
          <w:color w:val="auto"/>
        </w:rPr>
      </w:pPr>
    </w:p>
    <w:p>
      <w:pPr>
        <w:jc w:val="both"/>
        <w:ind w:left="300" w:right="159" w:firstLine="341"/>
        <w:spacing w:after="0" w:line="276" w:lineRule="auto"/>
        <w:tabs>
          <w:tab w:leader="none" w:pos="941"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distribution is made in a single sum, the value of the portion of the Participant’s Account which consists of the General Investment Sub-account shall be paid in cash while the value of the portion of the Account which consists of the Brady Stock Sub-account shall be paid by distributing the number of shares of Class A non-voting stock of Brady Corporation which represent the number of deemed shares held in the Brady Stock Sub-Account, except, however, that any fractional shares shall be valued and distributed in cash.</w:t>
      </w:r>
    </w:p>
    <w:p>
      <w:pPr>
        <w:spacing w:after="0" w:line="132" w:lineRule="exact"/>
        <w:rPr>
          <w:rFonts w:ascii="Arial" w:cs="Arial" w:eastAsia="Arial" w:hAnsi="Arial"/>
          <w:sz w:val="17"/>
          <w:szCs w:val="17"/>
          <w:color w:val="auto"/>
        </w:rPr>
      </w:pPr>
    </w:p>
    <w:p>
      <w:pPr>
        <w:jc w:val="both"/>
        <w:ind w:left="300" w:right="159" w:firstLine="341"/>
        <w:spacing w:after="0" w:line="290" w:lineRule="auto"/>
        <w:tabs>
          <w:tab w:leader="none" w:pos="934"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distribution is made in installments, a portion of each installment shall be distributed in cash and a portion in Class A non-voting shares of common stock of Brady Corporation. The portion to be distributed in cash shall be that portion of the total installment payment which is the same percentage as derived by dividing the value of the Balance in the General Investment Sub-account by the value of the total Account balance and the portion to be distributed in stock shall be the same percentage as determined by dividing the value of the balance of the Brady Stock Sub-account by the 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200" w:lineRule="exact"/>
        <w:rPr>
          <w:sz w:val="20"/>
          <w:szCs w:val="20"/>
          <w:color w:val="auto"/>
        </w:rPr>
      </w:pPr>
    </w:p>
    <w:p>
      <w:pPr>
        <w:spacing w:after="0" w:line="33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1" w:name="page12"/>
    <w:bookmarkEnd w:id="11"/>
    <w:p>
      <w:pPr>
        <w:jc w:val="both"/>
        <w:ind w:left="8" w:right="159" w:firstLine="389"/>
        <w:spacing w:after="0" w:line="28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Payment Election</w:t>
      </w:r>
      <w:r>
        <w:rPr>
          <w:rFonts w:ascii="Arial" w:cs="Arial" w:eastAsia="Arial" w:hAnsi="Arial"/>
          <w:sz w:val="16"/>
          <w:szCs w:val="16"/>
          <w:color w:val="auto"/>
        </w:rPr>
        <w:t>. An individual who first becomes a Participant at the beginning of a Plan Year shall, prior to his date of participation, complete a payment election form specifying the form of payment applicable to such Participant’s Account under the Plan. An individual who first becomes a Participant other than on the first day of a Plan Year shall, no later than 30 days after the effective date of participation, complete a payment election form specifying the form of payment applicable to such Participant’s Account; provided, however, that if such Participant is already a participant in any other nonqualified plan or plans sponsored by the Corporation of the account balance type, the most recent payment election with respect to any one of those plans shall be the form of payment election deemed elected under this Plan regardless of whether the individual elects a different form of payment during that initial 30 day period. A “payment election form” shall mean the form established from time to time by the Administrator which a Participant completes, signs and returns to the Administrator to make an election under the Plan. To the extent authorized by the Administrator, such form may be provided electronically and, in such case, need not be signed by the Participant. A Participant may change the form of payment by completing and filing a new payment election form with the Corporation, and the payment election form on file with the Corporation as of the date of the Participant’s Payment Event shall be controlling. Notwithstanding the foregoing, a payment election form changing the Participant’s form of payment shall not be effective if the Participant has a Payment Event within twelve months after the date on which the election change is filed with the Corporation. Any change in payment method must have the effect of delaying the commencement of payments to a date which is at least five (5) years after the initially scheduled commencement date of payment previously in effect. Any change in the Distribution Date must have the effect of delaying the commencement of payments to a date which is at least five (5) years after the initially scheduled Distribution Date. For purposes of compliance with Code Section 409A, a series of installment payments is designated as a single payment rather than a right to a series of separate payments; therefore, a Participant who has elected (or is deemed to have elected) any option under Section 6.1(a)(i) or</w:t>
      </w:r>
    </w:p>
    <w:p>
      <w:pPr>
        <w:spacing w:after="0" w:line="12" w:lineRule="exact"/>
        <w:rPr>
          <w:sz w:val="20"/>
          <w:szCs w:val="20"/>
          <w:color w:val="auto"/>
        </w:rPr>
      </w:pPr>
    </w:p>
    <w:p>
      <w:pPr>
        <w:jc w:val="both"/>
        <w:ind w:left="8" w:right="159" w:hanging="8"/>
        <w:spacing w:after="0" w:line="269" w:lineRule="auto"/>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may substitute any of the other options for the option originally selected as long as the foregoing one-year and five year rules are satisfied. A switch from the percentage method to the fixed dollar method or vice versa and a switch from either of those methods to the fractional method or vice versa is considered a substitution of a new option for the original option for purposes of this rule even if the number of yearly installments is not changed. The five year delay rule does not apply if the revised payment method applies only upon the Participant’s death or disability. For this purpose, “disability” means that the Participant 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54" w:lineRule="exact"/>
        <w:rPr>
          <w:sz w:val="20"/>
          <w:szCs w:val="20"/>
          <w:color w:val="auto"/>
        </w:rPr>
      </w:pPr>
    </w:p>
    <w:p>
      <w:pPr>
        <w:jc w:val="both"/>
        <w:ind w:left="8" w:right="159" w:firstLine="389"/>
        <w:spacing w:after="0" w:line="26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Financial Hardship</w:t>
      </w:r>
      <w:r>
        <w:rPr>
          <w:rFonts w:ascii="Arial" w:cs="Arial" w:eastAsia="Arial" w:hAnsi="Arial"/>
          <w:sz w:val="17"/>
          <w:szCs w:val="17"/>
          <w:color w:val="auto"/>
        </w:rPr>
        <w:t>. A partial or total distribution of the Participant’s Account shall be made prior to a Payment Event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3.1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3.1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200" w:lineRule="exact"/>
        <w:rPr>
          <w:sz w:val="20"/>
          <w:szCs w:val="20"/>
          <w:color w:val="auto"/>
        </w:rPr>
      </w:pPr>
    </w:p>
    <w:p>
      <w:pPr>
        <w:spacing w:after="0" w:line="33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 w:name="page13"/>
    <w:bookmarkEnd w:id="12"/>
    <w:p>
      <w:pPr>
        <w:ind w:left="38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198" w:lineRule="exact"/>
        <w:rPr>
          <w:sz w:val="20"/>
          <w:szCs w:val="20"/>
          <w:color w:val="auto"/>
        </w:rPr>
      </w:pPr>
    </w:p>
    <w:p>
      <w:pPr>
        <w:jc w:val="both"/>
        <w:ind w:left="380" w:right="159" w:firstLine="374"/>
        <w:spacing w:after="0" w:line="254" w:lineRule="auto"/>
        <w:tabs>
          <w:tab w:leader="none" w:pos="100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anticipates that the making of the payment will violate a term of a loan agreement to which the Corporation is a party, or other similar contract to which the Corporation is a party, and such violation will cause material harm to the Corporation; provided, however, that payments shall be made on the earliest date on which the Corporation reasonably anticipates that the making of the payment will not cause such violation, or such violation will not cause material harm to the Corporation, and provided that the facts and circumstances indicate that the Corporation entered into the loan agreement (including such covenant) or other similar contract for legitimate reasons, and not to avoid the restrictions on deferral elections and subsequent deferral elections under Code Section 409A.</w:t>
      </w:r>
    </w:p>
    <w:p>
      <w:pPr>
        <w:spacing w:after="0" w:line="151" w:lineRule="exact"/>
        <w:rPr>
          <w:rFonts w:ascii="Arial" w:cs="Arial" w:eastAsia="Arial" w:hAnsi="Arial"/>
          <w:sz w:val="18"/>
          <w:szCs w:val="18"/>
          <w:color w:val="auto"/>
        </w:rPr>
      </w:pPr>
    </w:p>
    <w:p>
      <w:pPr>
        <w:jc w:val="both"/>
        <w:ind w:left="380" w:right="159" w:firstLine="374"/>
        <w:spacing w:after="0" w:line="259" w:lineRule="auto"/>
        <w:tabs>
          <w:tab w:leader="none" w:pos="10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146" w:lineRule="exact"/>
        <w:rPr>
          <w:rFonts w:ascii="Arial" w:cs="Arial" w:eastAsia="Arial" w:hAnsi="Arial"/>
          <w:sz w:val="18"/>
          <w:szCs w:val="18"/>
          <w:color w:val="auto"/>
        </w:rPr>
      </w:pPr>
    </w:p>
    <w:p>
      <w:pPr>
        <w:ind w:left="380" w:right="159" w:firstLine="374"/>
        <w:spacing w:after="0" w:line="308" w:lineRule="auto"/>
        <w:tabs>
          <w:tab w:leader="none" w:pos="1017"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120"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Inclusion in Income Under Section 409A</w:t>
      </w:r>
      <w:r>
        <w:rPr>
          <w:rFonts w:ascii="Arial" w:cs="Arial" w:eastAsia="Arial" w:hAnsi="Arial"/>
          <w:sz w:val="18"/>
          <w:szCs w:val="18"/>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General Investment Sub-account and Brady Stock Sub-account in the manner described in Section 6.1(a)(iv)(B).</w:t>
      </w:r>
    </w:p>
    <w:p>
      <w:pPr>
        <w:spacing w:after="0" w:line="153" w:lineRule="exact"/>
        <w:rPr>
          <w:sz w:val="20"/>
          <w:szCs w:val="20"/>
          <w:color w:val="auto"/>
        </w:rPr>
      </w:pPr>
    </w:p>
    <w:p>
      <w:pPr>
        <w:jc w:val="both"/>
        <w:ind w:right="159" w:firstLine="389"/>
        <w:spacing w:after="0" w:line="30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Domestic Relations Order</w:t>
      </w:r>
      <w:r>
        <w:rPr>
          <w:rFonts w:ascii="Arial" w:cs="Arial" w:eastAsia="Arial" w:hAnsi="Arial"/>
          <w:sz w:val="16"/>
          <w:szCs w:val="16"/>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General Investment Sub-account and Brady Stock Sub-account in the manner described in Section 6.1(a)(iv)(B).</w:t>
      </w:r>
    </w:p>
    <w:p>
      <w:pPr>
        <w:spacing w:after="0" w:line="114"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De Minimis Amounts</w:t>
      </w:r>
      <w:r>
        <w:rPr>
          <w:rFonts w:ascii="Arial" w:cs="Arial" w:eastAsia="Arial" w:hAnsi="Arial"/>
          <w:sz w:val="17"/>
          <w:szCs w:val="17"/>
          <w:color w:val="auto"/>
        </w:rPr>
        <w:t>. Notwithstanding any other provision of this Article VI, a Participant’s entire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8"/>
          <w:szCs w:val="18"/>
          <w:b w:val="1"/>
          <w:bCs w:val="1"/>
          <w:color w:val="auto"/>
        </w:rPr>
        <w:t>ARTICLE VII</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Administrator</w:t>
      </w:r>
      <w:r>
        <w:rPr>
          <w:rFonts w:ascii="Arial" w:cs="Arial" w:eastAsia="Arial" w:hAnsi="Arial"/>
          <w:sz w:val="17"/>
          <w:szCs w:val="17"/>
          <w:color w:val="auto"/>
        </w:rPr>
        <w:t>. The Plan shall be administered by the Administrator, which shall be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13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154"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xml:space="preserve">.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 parties and afforded the maximum deference allowed by law. If challenged in court, such determination shall not be subject to </w:t>
      </w:r>
      <w:r>
        <w:rPr>
          <w:rFonts w:ascii="Arial" w:cs="Arial" w:eastAsia="Arial" w:hAnsi="Arial"/>
          <w:sz w:val="17"/>
          <w:szCs w:val="17"/>
          <w:u w:val="single" w:color="auto"/>
          <w:color w:val="auto"/>
        </w:rPr>
        <w:t>de novo</w:t>
      </w:r>
      <w:r>
        <w:rPr>
          <w:rFonts w:ascii="Arial" w:cs="Arial" w:eastAsia="Arial" w:hAnsi="Arial"/>
          <w:sz w:val="17"/>
          <w:szCs w:val="17"/>
          <w:color w:val="auto"/>
        </w:rPr>
        <w:t xml:space="preserve"> review and shall not be overturned unless proven to be arbitrary and capricious based upon the evidence considered by the Administrator at the time of such determination.</w:t>
      </w:r>
    </w:p>
    <w:p>
      <w:pPr>
        <w:spacing w:after="0" w:line="132"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Administrator Actions</w:t>
      </w:r>
      <w:r>
        <w:rPr>
          <w:rFonts w:ascii="Arial" w:cs="Arial" w:eastAsia="Arial" w:hAnsi="Arial"/>
          <w:sz w:val="17"/>
          <w:szCs w:val="17"/>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132" w:lineRule="exact"/>
        <w:rPr>
          <w:sz w:val="20"/>
          <w:szCs w:val="20"/>
          <w:color w:val="auto"/>
        </w:rPr>
      </w:pPr>
    </w:p>
    <w:p>
      <w:pPr>
        <w:jc w:val="both"/>
        <w:ind w:right="179" w:firstLine="389"/>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Minor or Incompetent Payees</w:t>
      </w:r>
      <w:r>
        <w:rPr>
          <w:rFonts w:ascii="Arial" w:cs="Arial" w:eastAsia="Arial" w:hAnsi="Arial"/>
          <w:sz w:val="18"/>
          <w:szCs w:val="18"/>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160" w:lineRule="exact"/>
        <w:rPr>
          <w:sz w:val="20"/>
          <w:szCs w:val="20"/>
          <w:color w:val="auto"/>
        </w:rPr>
      </w:pPr>
    </w:p>
    <w:p>
      <w:pPr>
        <w:jc w:val="both"/>
        <w:ind w:right="159" w:firstLine="389"/>
        <w:spacing w:after="0" w:line="291"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No Liability</w:t>
      </w:r>
      <w:r>
        <w:rPr>
          <w:rFonts w:ascii="Arial" w:cs="Arial" w:eastAsia="Arial" w:hAnsi="Arial"/>
          <w:sz w:val="16"/>
          <w:szCs w:val="16"/>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him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4" w:name="page15"/>
    <w:bookmarkEnd w:id="14"/>
    <w:p>
      <w:pPr>
        <w:ind w:left="38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Claims Procedure</w:t>
      </w:r>
      <w:r>
        <w:rPr>
          <w:rFonts w:ascii="Arial" w:cs="Arial" w:eastAsia="Arial" w:hAnsi="Arial"/>
          <w:sz w:val="18"/>
          <w:szCs w:val="18"/>
          <w:color w:val="auto"/>
        </w:rPr>
        <w:t>.</w:t>
      </w:r>
    </w:p>
    <w:p>
      <w:pPr>
        <w:spacing w:after="0" w:line="198" w:lineRule="exact"/>
        <w:rPr>
          <w:sz w:val="20"/>
          <w:szCs w:val="20"/>
          <w:color w:val="auto"/>
        </w:rPr>
      </w:pPr>
    </w:p>
    <w:p>
      <w:pPr>
        <w:jc w:val="both"/>
        <w:ind w:left="380" w:right="159" w:firstLine="374"/>
        <w:spacing w:after="0" w:line="273" w:lineRule="auto"/>
        <w:tabs>
          <w:tab w:leader="none" w:pos="1001"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Participant or the Participant’s Beneficiary (hereinafter referred to as a “Claimant”) is denied all or a portion of an expected benefit under the Plan for any reason, he or she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137" w:lineRule="exact"/>
        <w:rPr>
          <w:rFonts w:ascii="Arial" w:cs="Arial" w:eastAsia="Arial" w:hAnsi="Arial"/>
          <w:sz w:val="17"/>
          <w:szCs w:val="17"/>
          <w:color w:val="auto"/>
        </w:rPr>
      </w:pPr>
    </w:p>
    <w:p>
      <w:pPr>
        <w:ind w:left="1340" w:hanging="212"/>
        <w:spacing w:after="0"/>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184" w:lineRule="exact"/>
        <w:rPr>
          <w:rFonts w:ascii="Arial" w:cs="Arial" w:eastAsia="Arial" w:hAnsi="Arial"/>
          <w:sz w:val="18"/>
          <w:szCs w:val="18"/>
          <w:color w:val="auto"/>
        </w:rPr>
      </w:pPr>
    </w:p>
    <w:p>
      <w:pPr>
        <w:ind w:left="1400" w:hanging="272"/>
        <w:spacing w:after="0"/>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specific reference to pertinent provisions of the Plan on which the denial is based;</w:t>
      </w:r>
    </w:p>
    <w:p>
      <w:pPr>
        <w:spacing w:after="0" w:line="198" w:lineRule="exact"/>
        <w:rPr>
          <w:rFonts w:ascii="Arial" w:cs="Arial" w:eastAsia="Arial" w:hAnsi="Arial"/>
          <w:sz w:val="18"/>
          <w:szCs w:val="18"/>
          <w:color w:val="auto"/>
        </w:rPr>
      </w:pPr>
    </w:p>
    <w:p>
      <w:pPr>
        <w:ind w:left="780" w:right="159" w:firstLine="348"/>
        <w:spacing w:after="0" w:line="308" w:lineRule="auto"/>
        <w:tabs>
          <w:tab w:leader="none" w:pos="1455" w:val="left"/>
        </w:tabs>
        <w:numPr>
          <w:ilvl w:val="1"/>
          <w:numId w:val="10"/>
        </w:numPr>
        <w:rPr>
          <w:rFonts w:ascii="Arial" w:cs="Arial" w:eastAsia="Arial" w:hAnsi="Arial"/>
          <w:sz w:val="17"/>
          <w:szCs w:val="17"/>
          <w:color w:val="auto"/>
        </w:rPr>
      </w:pPr>
      <w:r>
        <w:rPr>
          <w:rFonts w:ascii="Arial" w:cs="Arial" w:eastAsia="Arial" w:hAnsi="Arial"/>
          <w:sz w:val="17"/>
          <w:szCs w:val="17"/>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06" w:lineRule="exact"/>
        <w:rPr>
          <w:rFonts w:ascii="Arial" w:cs="Arial" w:eastAsia="Arial" w:hAnsi="Arial"/>
          <w:sz w:val="17"/>
          <w:szCs w:val="17"/>
          <w:color w:val="auto"/>
        </w:rPr>
      </w:pPr>
    </w:p>
    <w:p>
      <w:pPr>
        <w:ind w:left="780" w:right="179" w:firstLine="348"/>
        <w:spacing w:after="0" w:line="277" w:lineRule="auto"/>
        <w:tabs>
          <w:tab w:leader="none" w:pos="14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the Plan’s claims review procedure, including a statement of the Claimant’s right to bring a civil action under Section 502 of ERISA if the Claimant’s claim is denied upon review.</w:t>
      </w:r>
    </w:p>
    <w:p>
      <w:pPr>
        <w:spacing w:after="0" w:line="129" w:lineRule="exact"/>
        <w:rPr>
          <w:rFonts w:ascii="Arial" w:cs="Arial" w:eastAsia="Arial" w:hAnsi="Arial"/>
          <w:sz w:val="18"/>
          <w:szCs w:val="18"/>
          <w:color w:val="auto"/>
        </w:rPr>
      </w:pPr>
    </w:p>
    <w:p>
      <w:pPr>
        <w:jc w:val="both"/>
        <w:ind w:left="380" w:right="159" w:firstLine="374"/>
        <w:spacing w:after="0" w:line="268" w:lineRule="auto"/>
        <w:tabs>
          <w:tab w:leader="none" w:pos="9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Claimant is entitled to request a review of any denial of his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 Claimant or his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158" w:lineRule="exact"/>
        <w:rPr>
          <w:rFonts w:ascii="Arial" w:cs="Arial" w:eastAsia="Arial" w:hAnsi="Arial"/>
          <w:sz w:val="17"/>
          <w:szCs w:val="17"/>
          <w:color w:val="auto"/>
        </w:rPr>
      </w:pPr>
    </w:p>
    <w:p>
      <w:pPr>
        <w:jc w:val="both"/>
        <w:ind w:left="380" w:right="159" w:firstLine="374"/>
        <w:spacing w:after="0" w:line="259" w:lineRule="auto"/>
        <w:tabs>
          <w:tab w:leader="none" w:pos="10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146"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Conflict of Interest</w:t>
      </w:r>
      <w:r>
        <w:rPr>
          <w:rFonts w:ascii="Arial" w:cs="Arial" w:eastAsia="Arial" w:hAnsi="Arial"/>
          <w:sz w:val="18"/>
          <w:szCs w:val="18"/>
          <w:color w:val="auto"/>
        </w:rPr>
        <w:t>. No person who is covered under the Plan may vote or decide upon any matter relating solely to himself or vote in any case in which his individual right to any benefit under the Plan is particularly involved. Decisions shall be made by remaining members of the Corporation’s Board of Directors.</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 w:name="page16"/>
    <w:bookmarkEnd w:id="15"/>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MISCELLANEOUS</w:t>
      </w:r>
    </w:p>
    <w:p>
      <w:pPr>
        <w:spacing w:after="0" w:line="189" w:lineRule="exact"/>
        <w:rPr>
          <w:sz w:val="20"/>
          <w:szCs w:val="20"/>
          <w:color w:val="auto"/>
        </w:rPr>
      </w:pPr>
    </w:p>
    <w:p>
      <w:pPr>
        <w:jc w:val="both"/>
        <w:ind w:right="159" w:firstLine="389"/>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Corporation (through its Board of Directors or authorized officers or employees)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him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152"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If the Plan is amended to freeze benefit accruals, no additional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 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52"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by the laws of the State of Wisconsin, except to the extent preempted by the provisions of ERISA or other applicable federal law.</w:t>
      </w:r>
    </w:p>
    <w:p>
      <w:pPr>
        <w:spacing w:after="0" w:line="130"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Relationship to Other Programs</w:t>
      </w:r>
      <w:r>
        <w:rPr>
          <w:rFonts w:ascii="Arial" w:cs="Arial" w:eastAsia="Arial" w:hAnsi="Arial"/>
          <w:sz w:val="17"/>
          <w:szCs w:val="17"/>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any type of compensation or otherwise taken into account in the determination of the Participant’s benefits under any other plans of the Corporation, unless expressly provided otherwise by such plan.</w:t>
      </w:r>
    </w:p>
    <w:p>
      <w:pPr>
        <w:spacing w:after="0" w:line="13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Non-Assignability by Participant</w:t>
      </w:r>
      <w:r>
        <w:rPr>
          <w:rFonts w:ascii="Arial" w:cs="Arial" w:eastAsia="Arial" w:hAnsi="Arial"/>
          <w:sz w:val="18"/>
          <w:szCs w:val="18"/>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154"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w:t>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6" w:name="page17"/>
    <w:bookmarkEnd w:id="16"/>
    <w:p>
      <w:pPr>
        <w:jc w:val="both"/>
        <w:ind w:right="159" w:firstLine="389"/>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166" w:lineRule="exact"/>
        <w:rPr>
          <w:sz w:val="20"/>
          <w:szCs w:val="20"/>
          <w:color w:val="auto"/>
        </w:rPr>
      </w:pPr>
    </w:p>
    <w:p>
      <w:pPr>
        <w:jc w:val="both"/>
        <w:ind w:right="159" w:firstLine="389"/>
        <w:spacing w:after="0" w:line="253"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Unsecured Claim; Grantor Trust</w:t>
      </w:r>
      <w:r>
        <w:rPr>
          <w:rFonts w:ascii="Arial" w:cs="Arial" w:eastAsia="Arial" w:hAnsi="Arial"/>
          <w:sz w:val="18"/>
          <w:szCs w:val="18"/>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 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 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his Beneficiary hereunder shall be considered a payment by the Corporation for purposes of this Plan.</w:t>
      </w:r>
    </w:p>
    <w:p>
      <w:pPr>
        <w:spacing w:after="0" w:line="154"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Notices or Filings</w:t>
      </w:r>
      <w:r>
        <w:rPr>
          <w:rFonts w:ascii="Arial" w:cs="Arial" w:eastAsia="Arial" w:hAnsi="Arial"/>
          <w:sz w:val="18"/>
          <w:szCs w:val="18"/>
          <w:color w:val="auto"/>
        </w:rPr>
        <w:t>. Any notice or filing required or permitted to be given to the Administrator hereunder shall be sufficient if in writing and hand-delivered, or sent by registered or certified mail, to the address below:</w:t>
      </w:r>
    </w:p>
    <w:p>
      <w:pPr>
        <w:spacing w:after="0" w:line="13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Corporate Treasurer</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Milwaukee, WI 53201-0571</w:t>
      </w:r>
    </w:p>
    <w:p>
      <w:pPr>
        <w:spacing w:after="0" w:line="184"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Such notice shall be deemed given as of the date of delivery or, if delivery is made by mail, as of the date shown on the postmark on the receipt for registration or certification.</w:t>
      </w:r>
    </w:p>
    <w:p>
      <w:pPr>
        <w:spacing w:after="0" w:line="130"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Any notice or filing required or permitted to be given to a Participant hereunder shall be sufficient if in writing and hand-delivered, or sent by mail, to the last known address of the Participant.</w:t>
      </w:r>
    </w:p>
    <w:p>
      <w:pPr>
        <w:spacing w:after="0" w:line="130"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Special rules for 2005-2007</w:t>
      </w:r>
      <w:r>
        <w:rPr>
          <w:rFonts w:ascii="Arial" w:cs="Arial" w:eastAsia="Arial" w:hAnsi="Arial"/>
          <w:sz w:val="18"/>
          <w:szCs w:val="18"/>
          <w:color w:val="auto"/>
        </w:rPr>
        <w:t>. Notwithstanding the usual rules required regarding the deferral elections and distribution elections:</w:t>
      </w:r>
    </w:p>
    <w:p>
      <w:pPr>
        <w:spacing w:after="0" w:line="143" w:lineRule="exact"/>
        <w:rPr>
          <w:sz w:val="20"/>
          <w:szCs w:val="20"/>
          <w:color w:val="auto"/>
        </w:rPr>
      </w:pPr>
    </w:p>
    <w:p>
      <w:pPr>
        <w:jc w:val="both"/>
        <w:ind w:left="380" w:right="159" w:firstLine="374"/>
        <w:spacing w:after="0" w:line="264" w:lineRule="auto"/>
        <w:tabs>
          <w:tab w:leader="none" w:pos="10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became payable at the time of the election. Such election shall remain in effect for future years until modified pursuant to Section 3.2.</w:t>
      </w:r>
    </w:p>
    <w:p>
      <w:pPr>
        <w:spacing w:after="0" w:line="140" w:lineRule="exact"/>
        <w:rPr>
          <w:rFonts w:ascii="Arial" w:cs="Arial" w:eastAsia="Arial" w:hAnsi="Arial"/>
          <w:sz w:val="18"/>
          <w:szCs w:val="18"/>
          <w:color w:val="auto"/>
        </w:rPr>
      </w:pPr>
    </w:p>
    <w:p>
      <w:pPr>
        <w:jc w:val="both"/>
        <w:ind w:left="380" w:right="159" w:firstLine="374"/>
        <w:spacing w:after="0" w:line="270" w:lineRule="auto"/>
        <w:tabs>
          <w:tab w:leader="none" w:pos="10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or before December 31, 2007, a Participant may elect an In-Service Payment Event Date and/or make an election as to distribution of his Account from among the choices described at Section 6.1 hereof without complying with the rules described in Section 6.2 hereof as long as the effect of the election is not to accelerate payments into 2006 or to defer payments which would otherwise have been made in 2006 and not to accelerate payments into 2007 or to defer payments which would otherwise have been made in 2007. Such election shall become effective after the last day upon which it is permitted to be made or, if earlier, the first day of the calendar year in which payments under the election are scheduled to commence. In order to change any such election after December 31, 2007, the requirements of Section 6.2 hereof must be satisfied. Any individual who has on or before December 31, 2006 elected an In-Service Payment Event Date of January 1, 2007 and a Distribution Date of April 1, may on or before December 31, 2007 elect to change the Distribution Date to be applicable in calendar year 2008 and subsequent years from April 1 to January 1.</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 w:name="page18"/>
    <w:bookmarkEnd w:id="17"/>
    <w:p>
      <w:pPr>
        <w:ind w:right="179" w:firstLine="389"/>
        <w:spacing w:after="0" w:line="308" w:lineRule="auto"/>
        <w:rPr>
          <w:sz w:val="20"/>
          <w:szCs w:val="20"/>
          <w:color w:val="auto"/>
        </w:rPr>
      </w:pPr>
      <w:r>
        <w:rPr>
          <w:rFonts w:ascii="Arial" w:cs="Arial" w:eastAsia="Arial" w:hAnsi="Arial"/>
          <w:sz w:val="17"/>
          <w:szCs w:val="17"/>
          <w:color w:val="auto"/>
        </w:rPr>
        <w:t>IN WITNESS WHEREOF, the Corporation has caused its duly authorized officer to execute this Plan document on its behalf as of the 9th day of September, 2011, to replace any prior version of this Plan previously adopted by the Corporation.</w:t>
      </w:r>
    </w:p>
    <w:p>
      <w:pPr>
        <w:spacing w:after="0" w:line="14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By:</w:t>
        <w:tab/>
        <w:t>/s/ Allan J. Klotsche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wp:posOffset>
            </wp:positionV>
            <wp:extent cx="2152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Attest: /s/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14605</wp:posOffset>
            </wp:positionV>
            <wp:extent cx="2152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79"/>
          </w:cols>
          <w:pgMar w:left="580" w:top="935" w:right="1440" w:bottom="1440" w:gutter="0" w:footer="0" w:header="0"/>
        </w:sectPr>
      </w:pPr>
    </w:p>
    <w:bookmarkStart w:id="18" w:name="page19"/>
    <w:bookmarkEnd w:id="18"/>
    <w:p>
      <w:pPr>
        <w:jc w:val="right"/>
        <w:ind w:right="159"/>
        <w:spacing w:after="0"/>
        <w:rPr>
          <w:sz w:val="20"/>
          <w:szCs w:val="20"/>
          <w:color w:val="auto"/>
        </w:rPr>
      </w:pPr>
      <w:r>
        <w:rPr>
          <w:rFonts w:ascii="Arial" w:cs="Arial" w:eastAsia="Arial" w:hAnsi="Arial"/>
          <w:sz w:val="18"/>
          <w:szCs w:val="18"/>
          <w:color w:val="auto"/>
        </w:rPr>
        <w:t>EXHIBIT 99.1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2011 Fourth Quarter Results and Announces Share Buyback Program.</w:t>
      </w:r>
    </w:p>
    <w:p>
      <w:pPr>
        <w:spacing w:after="0" w:line="189"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MILWAUKEE (September 12, 2011)—Brady Corporation (NYSE: BRC), a world leader in identification solutions, today reported its full year fiscal 2011 financial results and financial results for the fourth quarter ended July 31, 2011. The company also announced that its Board of Directors authorized a share buyback program for up to two million shares of the company’s Class A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July 31, 2011:</w:t>
      </w:r>
    </w:p>
    <w:p>
      <w:pPr>
        <w:spacing w:after="0" w:line="202" w:lineRule="exact"/>
        <w:rPr>
          <w:sz w:val="20"/>
          <w:szCs w:val="20"/>
          <w:color w:val="auto"/>
        </w:rPr>
      </w:pPr>
    </w:p>
    <w:p>
      <w:pPr>
        <w:ind w:right="219" w:firstLine="389"/>
        <w:spacing w:after="0" w:line="259" w:lineRule="auto"/>
        <w:rPr>
          <w:sz w:val="20"/>
          <w:szCs w:val="20"/>
          <w:color w:val="auto"/>
        </w:rPr>
      </w:pPr>
      <w:r>
        <w:rPr>
          <w:rFonts w:ascii="Arial" w:cs="Arial" w:eastAsia="Arial" w:hAnsi="Arial"/>
          <w:sz w:val="18"/>
          <w:szCs w:val="18"/>
          <w:color w:val="auto"/>
        </w:rPr>
        <w:t>Net income for the year ended July 31, 2011 was up 32.6 percent to $108.7 million compared to $82.0 million for the year ended July 31, 2010. Excluding $6.6 million of after-tax restructuring charges for the year-ended July 31, 2011 and $11.4 million of after-tax restructuring charges for the year ended July 31, 2010, net income was up 23.4 percent to $115.3 million for the year ended July 31, 2011 compared to $93.4 million for the year ended July 31, 2010.</w:t>
      </w:r>
    </w:p>
    <w:p>
      <w:pPr>
        <w:spacing w:after="0" w:line="146" w:lineRule="exact"/>
        <w:rPr>
          <w:sz w:val="20"/>
          <w:szCs w:val="20"/>
          <w:color w:val="auto"/>
        </w:rPr>
      </w:pPr>
    </w:p>
    <w:p>
      <w:pPr>
        <w:ind w:right="319" w:firstLine="389"/>
        <w:spacing w:after="0" w:line="312" w:lineRule="auto"/>
        <w:rPr>
          <w:sz w:val="20"/>
          <w:szCs w:val="20"/>
          <w:color w:val="auto"/>
        </w:rPr>
      </w:pPr>
      <w:r>
        <w:rPr>
          <w:rFonts w:ascii="Arial" w:cs="Arial" w:eastAsia="Arial" w:hAnsi="Arial"/>
          <w:sz w:val="16"/>
          <w:szCs w:val="16"/>
          <w:color w:val="auto"/>
        </w:rPr>
        <w:t>Earnings per diluted Class A Common Share were up 31.6 percent to $2.04 for the year ended July 31, 2011 compared to $1.55 for the year ended July 31, 2010. Excluding after-tax restructuring charges, earnings per diluted Class A Common Share increased 22.7 percent to $2.16 for the year ended July 31, 2011 compared to $1.76 per share for the year ended July 31, 2010.</w:t>
      </w:r>
    </w:p>
    <w:p>
      <w:pPr>
        <w:spacing w:after="0" w:line="106" w:lineRule="exact"/>
        <w:rPr>
          <w:sz w:val="20"/>
          <w:szCs w:val="20"/>
          <w:color w:val="auto"/>
        </w:rPr>
      </w:pPr>
    </w:p>
    <w:p>
      <w:pPr>
        <w:ind w:right="259" w:firstLine="389"/>
        <w:spacing w:after="0" w:line="279" w:lineRule="auto"/>
        <w:rPr>
          <w:sz w:val="20"/>
          <w:szCs w:val="20"/>
          <w:color w:val="auto"/>
        </w:rPr>
      </w:pPr>
      <w:r>
        <w:rPr>
          <w:rFonts w:ascii="Arial" w:cs="Arial" w:eastAsia="Arial" w:hAnsi="Arial"/>
          <w:sz w:val="17"/>
          <w:szCs w:val="17"/>
          <w:color w:val="auto"/>
        </w:rPr>
        <w:t>Sales for the year-ended July 31, 2011 were up 6.4 percent to $1.34 billion compared to $1.26 billion for the year ended July 31, 2010. Organic sales growth was 2.9 percent, acquisitions net of divestitures contributed 1.0 percent to sales growth, and the impact of foreign currency translation increased sales by 2.5 percent during the year ended July 31, 2011. By segment, organic sales increased 3.2 percent in the Americas, 4.7 percent in Europe and 0.4 percent in the Asia-Pacific region.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Ended July 31, 2011:</w:t>
      </w:r>
    </w:p>
    <w:p>
      <w:pPr>
        <w:spacing w:after="0" w:line="189" w:lineRule="exact"/>
        <w:rPr>
          <w:sz w:val="20"/>
          <w:szCs w:val="20"/>
          <w:color w:val="auto"/>
        </w:rPr>
      </w:pPr>
    </w:p>
    <w:p>
      <w:pPr>
        <w:ind w:right="199" w:firstLine="389"/>
        <w:spacing w:after="0" w:line="259" w:lineRule="auto"/>
        <w:rPr>
          <w:sz w:val="20"/>
          <w:szCs w:val="20"/>
          <w:color w:val="auto"/>
        </w:rPr>
      </w:pPr>
      <w:r>
        <w:rPr>
          <w:rFonts w:ascii="Arial" w:cs="Arial" w:eastAsia="Arial" w:hAnsi="Arial"/>
          <w:sz w:val="18"/>
          <w:szCs w:val="18"/>
          <w:color w:val="auto"/>
        </w:rPr>
        <w:t>Net income for the quarter ended July 31, 2011 was up 37.0 percent to $29.6 million compared to $21.6 million in the same quarter last year. Excluding $1.6 million of after-tax restructuring charges in the fourth quarter of fiscal 2011 and $4.6 million of after-tax restructuring charges in the same quarter last year, net income was up 19.1 percent to $31.2 million compared to $26.2 million in the same quarter last year.</w:t>
      </w:r>
    </w:p>
    <w:p>
      <w:pPr>
        <w:spacing w:after="0" w:line="146" w:lineRule="exact"/>
        <w:rPr>
          <w:sz w:val="20"/>
          <w:szCs w:val="20"/>
          <w:color w:val="auto"/>
        </w:rPr>
      </w:pPr>
    </w:p>
    <w:p>
      <w:pPr>
        <w:ind w:right="179" w:firstLine="389"/>
        <w:spacing w:after="0" w:line="312" w:lineRule="auto"/>
        <w:rPr>
          <w:sz w:val="20"/>
          <w:szCs w:val="20"/>
          <w:color w:val="auto"/>
        </w:rPr>
      </w:pPr>
      <w:r>
        <w:rPr>
          <w:rFonts w:ascii="Arial" w:cs="Arial" w:eastAsia="Arial" w:hAnsi="Arial"/>
          <w:sz w:val="16"/>
          <w:szCs w:val="16"/>
          <w:color w:val="auto"/>
        </w:rPr>
        <w:t>Earnings per diluted Class A Common Share were up 34.1 percent to $0.55 in the fourth quarter of fiscal 2011 compared to $0.41 in the fourth quarter of fiscal 2010. Excluding after-tax restructuring charges, earnings per diluted Class A Common Share increased 18.4 percent to $0.58 in the fourth quarter of fiscal 2011 compared to $0.49 per share in the same quarter of fiscal 2010.</w:t>
      </w:r>
    </w:p>
    <w:p>
      <w:pPr>
        <w:spacing w:after="0" w:line="120" w:lineRule="exact"/>
        <w:rPr>
          <w:sz w:val="20"/>
          <w:szCs w:val="20"/>
          <w:color w:val="auto"/>
        </w:rPr>
      </w:pPr>
    </w:p>
    <w:p>
      <w:pPr>
        <w:ind w:right="219" w:firstLine="389"/>
        <w:spacing w:after="0" w:line="259" w:lineRule="auto"/>
        <w:rPr>
          <w:sz w:val="20"/>
          <w:szCs w:val="20"/>
          <w:color w:val="auto"/>
        </w:rPr>
      </w:pPr>
      <w:r>
        <w:rPr>
          <w:rFonts w:ascii="Arial" w:cs="Arial" w:eastAsia="Arial" w:hAnsi="Arial"/>
          <w:sz w:val="18"/>
          <w:szCs w:val="18"/>
          <w:color w:val="auto"/>
        </w:rPr>
        <w:t>Sales for the fiscal 2011 fourth quarter were up 6.3 percent to $343.1 million compared to $322.9 million in the fourth quarter of fiscal 2010. Organic sales declined 0.6 percent, divestitures, net of acquisitions reduced sales by 0.2 percent, and the impact of foreign currency translation increased sales by 7.1 percent. By segment, organic sales increased 2.0 percent in Europe and 0.4 percent in the Asia-Pacific region and decreased 2.7 percent in the Americas’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622935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Share Buyback Program:</w:t>
      </w:r>
    </w:p>
    <w:p>
      <w:pPr>
        <w:spacing w:after="0" w:line="202" w:lineRule="exact"/>
        <w:rPr>
          <w:sz w:val="20"/>
          <w:szCs w:val="20"/>
          <w:color w:val="auto"/>
        </w:rPr>
      </w:pPr>
    </w:p>
    <w:p>
      <w:pPr>
        <w:ind w:right="439" w:firstLine="389"/>
        <w:spacing w:after="0" w:line="342" w:lineRule="auto"/>
        <w:rPr>
          <w:sz w:val="20"/>
          <w:szCs w:val="20"/>
          <w:color w:val="auto"/>
        </w:rPr>
      </w:pPr>
      <w:r>
        <w:rPr>
          <w:rFonts w:ascii="Arial" w:cs="Arial" w:eastAsia="Arial" w:hAnsi="Arial"/>
          <w:sz w:val="16"/>
          <w:szCs w:val="16"/>
          <w:color w:val="auto"/>
        </w:rPr>
        <w:t>Brady’s Board of Directors has authorized a share buyback program for up to two million shares of the Company’s common stock. The share repurchase plan may be implemented from time to time on the open market or in privately negotiated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89" w:lineRule="exact"/>
        <w:rPr>
          <w:sz w:val="20"/>
          <w:szCs w:val="20"/>
          <w:color w:val="auto"/>
        </w:rPr>
      </w:pPr>
    </w:p>
    <w:p>
      <w:pPr>
        <w:ind w:right="179" w:firstLine="389"/>
        <w:spacing w:after="0" w:line="255" w:lineRule="auto"/>
        <w:rPr>
          <w:sz w:val="20"/>
          <w:szCs w:val="20"/>
          <w:color w:val="auto"/>
        </w:rPr>
      </w:pPr>
      <w:r>
        <w:rPr>
          <w:rFonts w:ascii="Arial" w:cs="Arial" w:eastAsia="Arial" w:hAnsi="Arial"/>
          <w:sz w:val="18"/>
          <w:szCs w:val="18"/>
          <w:color w:val="auto"/>
        </w:rPr>
        <w:t>“I am pleased with our strong earnings and cash flow both in the fourth quarter and the full fiscal year in light of a still challenging economy and relative moderate organic growth for the company. This is a testament to the positive impact BBPS is having on efficiency and productivity. During fiscal 2011, we returned $38.1 million of cash to our shareholders in the form of dividends, repaid $61.3 million of debt while increasing our cash position by $75.1 million; ending with $390 million of cash on hand at July 31, 2011,” said Frank M. Jaehnert, Brady’s President and Chief Executive Officer. “I’m also happy to report that our Board of Directors authorized a share buyback program for up to 2 million shares and approved an increase in the dividend to our shareholders for the 26</w:t>
      </w:r>
      <w:r>
        <w:rPr>
          <w:rFonts w:ascii="Arial" w:cs="Arial" w:eastAsia="Arial" w:hAnsi="Arial"/>
          <w:sz w:val="15"/>
          <w:szCs w:val="15"/>
          <w:color w:val="auto"/>
        </w:rPr>
        <w:t>th</w:t>
      </w:r>
      <w:r>
        <w:rPr>
          <w:rFonts w:ascii="Arial" w:cs="Arial" w:eastAsia="Arial" w:hAnsi="Arial"/>
          <w:sz w:val="18"/>
          <w:szCs w:val="18"/>
          <w:color w:val="auto"/>
        </w:rPr>
        <w:t xml:space="preserve"> straight year.”</w:t>
      </w:r>
    </w:p>
    <w:p>
      <w:pPr>
        <w:spacing w:after="0" w:line="162" w:lineRule="exact"/>
        <w:rPr>
          <w:sz w:val="20"/>
          <w:szCs w:val="20"/>
          <w:color w:val="auto"/>
        </w:rPr>
      </w:pPr>
    </w:p>
    <w:p>
      <w:pPr>
        <w:ind w:right="159" w:firstLine="389"/>
        <w:spacing w:after="0" w:line="293" w:lineRule="auto"/>
        <w:rPr>
          <w:sz w:val="20"/>
          <w:szCs w:val="20"/>
          <w:color w:val="auto"/>
        </w:rPr>
      </w:pPr>
      <w:r>
        <w:rPr>
          <w:rFonts w:ascii="Arial" w:cs="Arial" w:eastAsia="Arial" w:hAnsi="Arial"/>
          <w:sz w:val="16"/>
          <w:szCs w:val="16"/>
          <w:color w:val="auto"/>
        </w:rPr>
        <w:t>“We remain focused on putting our cash to work through investment in organic growth opportunities as well as strategic acquisitions,” said Brady Chief Financial Officer Thomas J. Felmer. “As we look into fiscal 2012, we remain cautious about the health of the overall global economy. We believe that the pace of economic growth will be modest. Accordingly, we anticipate low-single-digit organic sales growth in fiscal 2012. For fiscal 2012, we expect earnings per diluted Class A Common Share of between $2.30 and $2.50, exclusive of after-tax restructuring charges. This guidance is based on current exchange rates, a full-year tax rate in the mid-20 percent range, capital expenditures of approximately $25 million, and depreciation and amortization of $45 million.”</w:t>
      </w:r>
    </w:p>
    <w:p>
      <w:pPr>
        <w:spacing w:after="0" w:line="124" w:lineRule="exact"/>
        <w:rPr>
          <w:sz w:val="20"/>
          <w:szCs w:val="20"/>
          <w:color w:val="auto"/>
        </w:rPr>
      </w:pPr>
    </w:p>
    <w:p>
      <w:pPr>
        <w:ind w:right="759" w:firstLine="389"/>
        <w:spacing w:after="0" w:line="277" w:lineRule="auto"/>
        <w:rPr>
          <w:sz w:val="20"/>
          <w:szCs w:val="20"/>
          <w:color w:val="auto"/>
        </w:rPr>
      </w:pPr>
      <w:r>
        <w:rPr>
          <w:rFonts w:ascii="Arial" w:cs="Arial" w:eastAsia="Arial" w:hAnsi="Arial"/>
          <w:sz w:val="18"/>
          <w:szCs w:val="18"/>
          <w:color w:val="auto"/>
        </w:rPr>
        <w:t xml:space="preserve">A webcast regarding Brady’s fiscal 2011 fourth quarter financial results will be available at </w:t>
      </w:r>
      <w:r>
        <w:rPr>
          <w:rFonts w:ascii="Arial" w:cs="Arial" w:eastAsia="Arial" w:hAnsi="Arial"/>
          <w:sz w:val="18"/>
          <w:szCs w:val="18"/>
          <w:u w:val="single" w:color="auto"/>
          <w:color w:val="auto"/>
        </w:rPr>
        <w:t>www.investor.bradycorp.com</w:t>
      </w:r>
      <w:r>
        <w:rPr>
          <w:rFonts w:ascii="Arial" w:cs="Arial" w:eastAsia="Arial" w:hAnsi="Arial"/>
          <w:sz w:val="18"/>
          <w:szCs w:val="18"/>
          <w:color w:val="auto"/>
        </w:rPr>
        <w:t xml:space="preserve"> beginning at 9:30 a.m. Central Time today.</w:t>
      </w:r>
    </w:p>
    <w:p>
      <w:pPr>
        <w:spacing w:after="0" w:line="130" w:lineRule="exact"/>
        <w:rPr>
          <w:sz w:val="20"/>
          <w:szCs w:val="20"/>
          <w:color w:val="auto"/>
        </w:rPr>
      </w:pPr>
    </w:p>
    <w:p>
      <w:pPr>
        <w:ind w:right="159" w:firstLine="389"/>
        <w:spacing w:after="0" w:line="291" w:lineRule="auto"/>
        <w:rPr>
          <w:sz w:val="20"/>
          <w:szCs w:val="20"/>
          <w:color w:val="auto"/>
        </w:rPr>
      </w:pPr>
      <w:r>
        <w:rPr>
          <w:rFonts w:ascii="Arial" w:cs="Arial" w:eastAsia="Arial" w:hAnsi="Arial"/>
          <w:sz w:val="16"/>
          <w:szCs w:val="16"/>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employs approximately 6,500 people at operations in the Americas, Europe and Asia-Pacific. Brady’s fiscal 2011 sales were approximately $1.34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619125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0" w:name="page21"/>
    <w:bookmarkEnd w:id="20"/>
    <w:p>
      <w:pPr>
        <w:jc w:val="center"/>
        <w:ind w:right="179"/>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right="179"/>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616585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8"/>
                <w:szCs w:val="18"/>
                <w:color w:val="auto"/>
              </w:rPr>
              <w:t>(Unaudited)</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0" w:type="dxa"/>
            <w:vAlign w:val="bottom"/>
            <w:gridSpan w:val="7"/>
          </w:tcPr>
          <w:p>
            <w:pPr>
              <w:jc w:val="right"/>
              <w:ind w:right="780"/>
              <w:spacing w:after="0"/>
              <w:rPr>
                <w:sz w:val="20"/>
                <w:szCs w:val="20"/>
                <w:color w:val="auto"/>
              </w:rPr>
            </w:pPr>
            <w:r>
              <w:rPr>
                <w:rFonts w:ascii="Arial" w:cs="Arial" w:eastAsia="Arial" w:hAnsi="Arial"/>
                <w:sz w:val="18"/>
                <w:szCs w:val="18"/>
                <w:color w:val="auto"/>
              </w:rPr>
              <w:t>Three Months Ended Jul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6"/>
          </w:tcPr>
          <w:p>
            <w:pPr>
              <w:ind w:left="420"/>
              <w:spacing w:after="0"/>
              <w:rPr>
                <w:sz w:val="20"/>
                <w:szCs w:val="20"/>
                <w:color w:val="auto"/>
              </w:rPr>
            </w:pPr>
            <w:r>
              <w:rPr>
                <w:rFonts w:ascii="Arial" w:cs="Arial" w:eastAsia="Arial" w:hAnsi="Arial"/>
                <w:sz w:val="18"/>
                <w:szCs w:val="18"/>
                <w:color w:val="auto"/>
              </w:rPr>
              <w:t>Twelve Months Ended Jul 31,</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2"/>
              </w:rPr>
              <w:t>Percentage</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2011</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2010</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343,104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322,894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1,339,597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1,259,096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178,068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164,155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683,401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635,799</w:t>
            </w:r>
          </w:p>
        </w:tc>
        <w:tc>
          <w:tcPr>
            <w:tcW w:w="3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165,036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158,739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656,196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623,297</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11,671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2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2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109,421</w:t>
            </w: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107,268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441,815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435,906</w:t>
            </w:r>
          </w:p>
        </w:tc>
        <w:tc>
          <w:tcPr>
            <w:tcW w:w="3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9,188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15,314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122,398</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124,656</w:t>
            </w:r>
          </w:p>
        </w:tc>
        <w:tc>
          <w:tcPr>
            <w:tcW w:w="3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494,004</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493,841</w:t>
            </w:r>
          </w:p>
        </w:tc>
        <w:tc>
          <w:tcPr>
            <w:tcW w:w="3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42,638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34,083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162,192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129,456</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Investment and other income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(5,484)</w:t>
            </w: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(5,750)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(21,222)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38,252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28,228</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144,058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8,669</w:t>
            </w:r>
          </w:p>
        </w:tc>
        <w:tc>
          <w:tcPr>
            <w:tcW w:w="14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6,636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35,406</w:t>
            </w:r>
          </w:p>
        </w:tc>
        <w:tc>
          <w:tcPr>
            <w:tcW w:w="1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27,446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21,592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108,652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81,956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20" w:type="dxa"/>
            <w:vAlign w:val="bottom"/>
            <w:vMerge w:val="restart"/>
          </w:tcPr>
          <w:p>
            <w:pPr>
              <w:spacing w:after="0"/>
              <w:rPr>
                <w:sz w:val="20"/>
                <w:szCs w:val="20"/>
                <w:color w:val="auto"/>
              </w:rPr>
            </w:pPr>
            <w:r>
              <w:rPr>
                <w:rFonts w:ascii="Arial" w:cs="Arial" w:eastAsia="Arial" w:hAnsi="Arial"/>
                <w:sz w:val="18"/>
                <w:szCs w:val="18"/>
                <w:color w:val="auto"/>
              </w:rPr>
              <w:t>Per Class A Nonvoting Common</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0.41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0.175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4"/>
              </w:rPr>
              <w:t>Per Class B Voting Common Share: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0.41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1.53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0.175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6"/>
              </w:rPr>
              <w:t>Weighted average common shares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52,815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52,476</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52,402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53,333</w:t>
            </w:r>
          </w:p>
        </w:tc>
        <w:tc>
          <w:tcPr>
            <w:tcW w:w="14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52,872</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53,133</w:t>
            </w:r>
          </w:p>
        </w:tc>
        <w:tc>
          <w:tcPr>
            <w:tcW w:w="1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52,946</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3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color w:val="auto"/>
                <w:w w:val="91"/>
              </w:rPr>
              <w:t>(Unaudited)</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July 31, 2011</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w w:val="88"/>
              </w:rPr>
              <w:t>July 31, 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1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389,971</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228,483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Finished products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62,152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Raw materials and supplies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27,484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35,647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758,287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800,343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89,961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30"/>
        </w:trPr>
        <w:tc>
          <w:tcPr>
            <w:tcW w:w="7260" w:type="dxa"/>
            <w:vAlign w:val="bottom"/>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02"/>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104,644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c>
          <w:tcPr>
            <w:tcW w:w="0" w:type="dxa"/>
            <w:vAlign w:val="bottom"/>
          </w:tcPr>
          <w:p>
            <w:pPr>
              <w:spacing w:after="0"/>
              <w:rPr>
                <w:sz w:val="1"/>
                <w:szCs w:val="1"/>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427,833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c>
          <w:tcPr>
            <w:tcW w:w="0" w:type="dxa"/>
            <w:vAlign w:val="bottom"/>
          </w:tcPr>
          <w:p>
            <w:pPr>
              <w:spacing w:after="0"/>
              <w:rPr>
                <w:sz w:val="1"/>
                <w:szCs w:val="1"/>
                <w:color w:val="auto"/>
              </w:rPr>
            </w:pPr>
          </w:p>
        </w:tc>
      </w:tr>
      <w:tr>
        <w:trPr>
          <w:trHeight w:val="432"/>
        </w:trPr>
        <w:tc>
          <w:tcPr>
            <w:tcW w:w="72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287,918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Property, plant and equipment — net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139,915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60" w:type="dxa"/>
            <w:vAlign w:val="bottom"/>
            <w:vMerge w:val="continue"/>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1,861,505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1,746,531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STOCKHOLDERS’ INVESTMENT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98,847</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69,798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Current maturities on long-term debt</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61,264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301,881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331,914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705,313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741,504</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common stock — Issued 51,261,487 and 51,261,487 shares,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respectively and outstanding 49,284,252 and 48,875,716 shares, respectively</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7260" w:type="dxa"/>
            <w:vAlign w:val="bottom"/>
          </w:tcPr>
          <w:p>
            <w:pPr>
              <w:ind w:left="4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307,527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304,205</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Income retained in the business</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789,100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718,512</w:t>
            </w:r>
          </w:p>
        </w:tc>
        <w:tc>
          <w:tcPr>
            <w:tcW w:w="0" w:type="dxa"/>
            <w:vAlign w:val="bottom"/>
          </w:tcPr>
          <w:p>
            <w:pPr>
              <w:spacing w:after="0"/>
              <w:rPr>
                <w:sz w:val="1"/>
                <w:szCs w:val="1"/>
                <w:color w:val="auto"/>
              </w:rPr>
            </w:pPr>
          </w:p>
        </w:tc>
      </w:tr>
      <w:tr>
        <w:trPr>
          <w:trHeight w:val="202"/>
        </w:trPr>
        <w:tc>
          <w:tcPr>
            <w:tcW w:w="7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Treasury stock — 1,667,235 and 2,175,771 shares, respectively of Class A nonvoting</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 at cost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(50,017)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(66,314)</w:t>
            </w:r>
          </w:p>
        </w:tc>
        <w:tc>
          <w:tcPr>
            <w:tcW w:w="0" w:type="dxa"/>
            <w:vAlign w:val="bottom"/>
          </w:tcPr>
          <w:p>
            <w:pPr>
              <w:spacing w:after="0"/>
              <w:rPr>
                <w:sz w:val="1"/>
                <w:szCs w:val="1"/>
                <w:color w:val="auto"/>
              </w:rPr>
            </w:pPr>
          </w:p>
        </w:tc>
      </w:tr>
      <w:tr>
        <w:trPr>
          <w:trHeight w:val="216"/>
        </w:trPr>
        <w:tc>
          <w:tcPr>
            <w:tcW w:w="7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113,898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260" w:type="dxa"/>
            <w:vAlign w:val="bottom"/>
          </w:tcPr>
          <w:p>
            <w:pPr>
              <w:ind w:left="400"/>
              <w:spacing w:after="0"/>
              <w:rPr>
                <w:sz w:val="20"/>
                <w:szCs w:val="20"/>
                <w:color w:val="auto"/>
              </w:rPr>
            </w:pPr>
            <w:r>
              <w:rPr>
                <w:rFonts w:ascii="Arial" w:cs="Arial" w:eastAsia="Arial" w:hAnsi="Arial"/>
                <w:sz w:val="18"/>
                <w:szCs w:val="18"/>
                <w:b w:val="1"/>
                <w:bCs w:val="1"/>
                <w:color w:val="auto"/>
              </w:rPr>
              <w:t>Total stockholders’ investment</w:t>
            </w:r>
          </w:p>
        </w:tc>
        <w:tc>
          <w:tcPr>
            <w:tcW w:w="980" w:type="dxa"/>
            <w:vAlign w:val="bottom"/>
          </w:tcPr>
          <w:p>
            <w:pPr>
              <w:jc w:val="right"/>
              <w:spacing w:after="0"/>
              <w:rPr>
                <w:sz w:val="20"/>
                <w:szCs w:val="20"/>
                <w:color w:val="auto"/>
              </w:rPr>
            </w:pPr>
            <w:r>
              <w:rPr>
                <w:rFonts w:ascii="Arial" w:cs="Arial" w:eastAsia="Arial" w:hAnsi="Arial"/>
                <w:sz w:val="18"/>
                <w:szCs w:val="18"/>
                <w:color w:val="auto"/>
              </w:rPr>
              <w:t>1,156,192</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1,005,027</w:t>
            </w:r>
          </w:p>
        </w:tc>
        <w:tc>
          <w:tcPr>
            <w:tcW w:w="13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1,861,505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1,746,531</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626"/>
        </w:trPr>
        <w:tc>
          <w:tcPr>
            <w:tcW w:w="340" w:type="dxa"/>
            <w:vAlign w:val="bottom"/>
            <w:tcBorders>
              <w:bottom w:val="single" w:sz="8" w:color="808080"/>
            </w:tcBorders>
          </w:tcPr>
          <w:p>
            <w:pPr>
              <w:spacing w:after="0"/>
              <w:rPr>
                <w:sz w:val="24"/>
                <w:szCs w:val="24"/>
                <w:color w:val="auto"/>
              </w:rPr>
            </w:pPr>
          </w:p>
        </w:tc>
        <w:tc>
          <w:tcPr>
            <w:tcW w:w="72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left="410"/>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center"/>
              <w:ind w:right="300"/>
              <w:spacing w:after="0"/>
              <w:rPr>
                <w:sz w:val="20"/>
                <w:szCs w:val="20"/>
                <w:color w:val="auto"/>
              </w:rPr>
            </w:pPr>
            <w:r>
              <w:rPr>
                <w:rFonts w:ascii="Arial" w:cs="Arial" w:eastAsia="Arial" w:hAnsi="Arial"/>
                <w:sz w:val="18"/>
                <w:szCs w:val="18"/>
                <w:color w:val="auto"/>
                <w:w w:val="92"/>
              </w:rPr>
              <w:t>Twelve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0"/>
              </w:rPr>
              <w:t>July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108,652</w:t>
            </w: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81,956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48,827</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53,022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(8,161)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Gain on the sale of business (pre-tax)</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(4,394)</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portion of restructuring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9,830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of effects of business acquisitions/divestitures):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7,680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(29,479)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(2,886)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5,624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(3,365)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5,258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(1,528)</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Divestiture of business, net of cash retained in business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12,980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(20,532)</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(26,296)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 of net investment hedges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(5,542)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(22,631)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(38,064)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(36,786)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8,193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(61,264)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94,915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tcPr>
          <w:p>
            <w:pPr>
              <w:ind w:left="200"/>
              <w:spacing w:after="0" w:line="201" w:lineRule="exact"/>
              <w:rPr>
                <w:sz w:val="20"/>
                <w:szCs w:val="20"/>
                <w:color w:val="auto"/>
              </w:rPr>
            </w:pPr>
            <w:r>
              <w:rPr>
                <w:rFonts w:ascii="Arial" w:cs="Arial" w:eastAsia="Arial" w:hAnsi="Arial"/>
                <w:sz w:val="18"/>
                <w:szCs w:val="18"/>
                <w:color w:val="auto"/>
                <w:w w:val="95"/>
              </w:rPr>
              <w:t>Income tax benefit from the exercise of stock options and deferred compensation distribution,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tcPr>
          <w:p>
            <w:pPr>
              <w:ind w:left="400"/>
              <w:spacing w:after="0"/>
              <w:rPr>
                <w:sz w:val="20"/>
                <w:szCs w:val="20"/>
                <w:color w:val="auto"/>
              </w:rPr>
            </w:pPr>
            <w:r>
              <w:rPr>
                <w:rFonts w:ascii="Arial" w:cs="Arial" w:eastAsia="Arial" w:hAnsi="Arial"/>
                <w:sz w:val="18"/>
                <w:szCs w:val="18"/>
                <w:color w:val="auto"/>
              </w:rPr>
              <w:t>and other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(439)</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(91,574)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21,986</w:t>
            </w:r>
          </w:p>
        </w:tc>
        <w:tc>
          <w:tcPr>
            <w:tcW w:w="2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(5,148)</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75,131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314,840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188,156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389,971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vMerge w:val="restart"/>
          </w:tcPr>
          <w:p>
            <w:pPr>
              <w:spacing w:after="0"/>
              <w:rPr>
                <w:sz w:val="20"/>
                <w:szCs w:val="20"/>
                <w:color w:val="auto"/>
              </w:rPr>
            </w:pPr>
            <w:r>
              <w:rPr>
                <w:rFonts w:ascii="Arial" w:cs="Arial" w:eastAsia="Arial" w:hAnsi="Arial"/>
                <w:sz w:val="18"/>
                <w:szCs w:val="18"/>
                <w:color w:val="auto"/>
              </w:rPr>
              <w:t>Supplemental disclosures: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21,298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21,626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net of refunds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35,851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(1,446)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tcPr>
          <w:p>
            <w:pPr>
              <w:ind w:left="800"/>
              <w:spacing w:after="0"/>
              <w:rPr>
                <w:sz w:val="20"/>
                <w:szCs w:val="20"/>
                <w:color w:val="auto"/>
              </w:rPr>
            </w:pPr>
            <w:r>
              <w:rPr>
                <w:rFonts w:ascii="Arial" w:cs="Arial" w:eastAsia="Arial" w:hAnsi="Arial"/>
                <w:sz w:val="18"/>
                <w:szCs w:val="18"/>
                <w:color w:val="auto"/>
              </w:rPr>
              <w:t>Net cash paid for acquisitions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340" w:type="dxa"/>
            <w:vAlign w:val="bottom"/>
            <w:tcBorders>
              <w:bottom w:val="single" w:sz="8" w:color="808080"/>
            </w:tcBorders>
          </w:tcPr>
          <w:p>
            <w:pPr>
              <w:spacing w:after="0"/>
              <w:rPr>
                <w:sz w:val="24"/>
                <w:szCs w:val="24"/>
                <w:color w:val="auto"/>
              </w:rPr>
            </w:pPr>
          </w:p>
        </w:tc>
        <w:tc>
          <w:tcPr>
            <w:tcW w:w="7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Information by regional segment for the three and twelve months ended July 31, 2011 and 2010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6"/>
          </w:tcPr>
          <w:p>
            <w:pPr>
              <w:ind w:left="80"/>
              <w:spacing w:after="0"/>
              <w:rPr>
                <w:sz w:val="20"/>
                <w:szCs w:val="20"/>
                <w:color w:val="auto"/>
              </w:rPr>
            </w:pPr>
            <w:r>
              <w:rPr>
                <w:rFonts w:ascii="Arial" w:cs="Arial" w:eastAsia="Arial" w:hAnsi="Arial"/>
                <w:sz w:val="18"/>
                <w:szCs w:val="18"/>
                <w:color w:val="auto"/>
              </w:rPr>
              <w:t>Corporate and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Americas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Europe</w:t>
            </w:r>
          </w:p>
        </w:tc>
        <w:tc>
          <w:tcPr>
            <w:tcW w:w="20" w:type="dxa"/>
            <w:vAlign w:val="bottom"/>
          </w:tcPr>
          <w:p>
            <w:pPr>
              <w:spacing w:after="0"/>
              <w:rPr>
                <w:sz w:val="20"/>
                <w:szCs w:val="20"/>
                <w:color w:val="auto"/>
              </w:rPr>
            </w:pPr>
          </w:p>
        </w:tc>
        <w:tc>
          <w:tcPr>
            <w:tcW w:w="1300" w:type="dxa"/>
            <w:vAlign w:val="bottom"/>
            <w:gridSpan w:val="5"/>
          </w:tcPr>
          <w:p>
            <w:pPr>
              <w:ind w:left="80"/>
              <w:spacing w:after="0"/>
              <w:rPr>
                <w:sz w:val="20"/>
                <w:szCs w:val="20"/>
                <w:color w:val="auto"/>
              </w:rPr>
            </w:pPr>
            <w:r>
              <w:rPr>
                <w:rFonts w:ascii="Arial" w:cs="Arial" w:eastAsia="Arial" w:hAnsi="Arial"/>
                <w:sz w:val="18"/>
                <w:szCs w:val="18"/>
                <w:color w:val="auto"/>
              </w:rPr>
              <w:t>Asia-Pacific</w:t>
            </w:r>
          </w:p>
        </w:tc>
        <w:tc>
          <w:tcPr>
            <w:tcW w:w="1180" w:type="dxa"/>
            <w:vAlign w:val="bottom"/>
            <w:gridSpan w:val="5"/>
          </w:tcPr>
          <w:p>
            <w:pPr>
              <w:spacing w:after="0"/>
              <w:rPr>
                <w:sz w:val="20"/>
                <w:szCs w:val="20"/>
                <w:color w:val="auto"/>
              </w:rPr>
            </w:pPr>
            <w:r>
              <w:rPr>
                <w:rFonts w:ascii="Arial" w:cs="Arial" w:eastAsia="Arial" w:hAnsi="Arial"/>
                <w:sz w:val="18"/>
                <w:szCs w:val="18"/>
                <w:color w:val="auto"/>
              </w:rPr>
              <w:t>Total Region</w:t>
            </w:r>
          </w:p>
        </w:tc>
        <w:tc>
          <w:tcPr>
            <w:tcW w:w="80" w:type="dxa"/>
            <w:vAlign w:val="bottom"/>
          </w:tcPr>
          <w:p>
            <w:pPr>
              <w:spacing w:after="0"/>
              <w:rPr>
                <w:sz w:val="20"/>
                <w:szCs w:val="20"/>
                <w:color w:val="auto"/>
              </w:rPr>
            </w:pPr>
          </w:p>
        </w:tc>
        <w:tc>
          <w:tcPr>
            <w:tcW w:w="1220" w:type="dxa"/>
            <w:vAlign w:val="bottom"/>
            <w:gridSpan w:val="5"/>
          </w:tcPr>
          <w:p>
            <w:pPr>
              <w:jc w:val="right"/>
              <w:ind w:right="260"/>
              <w:spacing w:after="0"/>
              <w:rPr>
                <w:sz w:val="20"/>
                <w:szCs w:val="20"/>
                <w:color w:val="auto"/>
              </w:rPr>
            </w:pPr>
            <w:r>
              <w:rPr>
                <w:rFonts w:ascii="Arial" w:cs="Arial" w:eastAsia="Arial" w:hAnsi="Arial"/>
                <w:sz w:val="18"/>
                <w:szCs w:val="18"/>
                <w:color w:val="auto"/>
                <w:w w:val="96"/>
              </w:rPr>
              <w:t>Eliminations</w:t>
            </w:r>
          </w:p>
        </w:tc>
        <w:tc>
          <w:tcPr>
            <w:tcW w:w="1340" w:type="dxa"/>
            <w:vAlign w:val="bottom"/>
            <w:gridSpan w:val="5"/>
          </w:tcPr>
          <w:p>
            <w:pPr>
              <w:ind w:left="60"/>
              <w:spacing w:after="0"/>
              <w:rPr>
                <w:sz w:val="20"/>
                <w:szCs w:val="20"/>
                <w:color w:val="auto"/>
              </w:rPr>
            </w:pPr>
            <w:r>
              <w:rPr>
                <w:rFonts w:ascii="Arial" w:cs="Arial" w:eastAsia="Arial" w:hAnsi="Arial"/>
                <w:sz w:val="18"/>
                <w:szCs w:val="18"/>
                <w:color w:val="auto"/>
              </w:rPr>
              <w:t>Total Company</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34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146,212</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102,970</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93,922</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343,104</w:t>
            </w: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July 31, 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148,929</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91,020</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82,945</w:t>
            </w:r>
          </w:p>
        </w:tc>
        <w:tc>
          <w:tcPr>
            <w:tcW w:w="3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322,894</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124,867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86,567</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75,769</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287,203</w:t>
            </w: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Twelve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577,428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404,955</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357,214</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1,339,597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1,339,597</w:t>
            </w: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July 31, 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551,185</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380,121</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327,790</w:t>
            </w:r>
          </w:p>
        </w:tc>
        <w:tc>
          <w:tcPr>
            <w:tcW w:w="3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1,259,096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1,259,096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534,440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367,156</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307,106</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1,208,702</w:t>
            </w: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b w:val="1"/>
                <w:bCs w:val="1"/>
                <w:color w:val="auto"/>
              </w:rPr>
              <w:t>SALES GROWTH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Three months ended July 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Base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Acquisitions/Divestitures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w w:val="95"/>
              </w:rPr>
              <w:t>Twelve months ended July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29,882</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11,775</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78,507</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74,852</w:t>
            </w: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July 31, 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34,964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25,035</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13,516</w:t>
            </w:r>
          </w:p>
        </w:tc>
        <w:tc>
          <w:tcPr>
            <w:tcW w:w="3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73,515</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69,545</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i w:val="1"/>
                <w:iCs w:val="1"/>
                <w:color w:val="auto"/>
              </w:rPr>
              <w:t>Percentage increase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Twelve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145,516</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112,047</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50,105</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(15,742)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291,926</w:t>
            </w: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July 31, 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125,169</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103,316</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52,105</w:t>
            </w:r>
          </w:p>
        </w:tc>
        <w:tc>
          <w:tcPr>
            <w:tcW w:w="3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(14,131)</w:t>
            </w:r>
          </w:p>
        </w:tc>
        <w:tc>
          <w:tcPr>
            <w:tcW w:w="10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266,459</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i w:val="1"/>
                <w:iCs w:val="1"/>
                <w:color w:val="auto"/>
              </w:rPr>
              <w:t>Percentage increase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340" w:type="dxa"/>
            <w:vAlign w:val="bottom"/>
            <w:shd w:val="clear" w:color="auto" w:fill="CCEEFF"/>
          </w:tcPr>
          <w:p>
            <w:pPr>
              <w:ind w:left="600"/>
              <w:spacing w:after="0"/>
              <w:rPr>
                <w:sz w:val="20"/>
                <w:szCs w:val="20"/>
                <w:color w:val="auto"/>
              </w:rPr>
            </w:pPr>
            <w:r>
              <w:rPr>
                <w:rFonts w:ascii="Arial" w:cs="Arial" w:eastAsia="Arial" w:hAnsi="Arial"/>
                <w:sz w:val="18"/>
                <w:szCs w:val="18"/>
                <w:i w:val="1"/>
                <w:iCs w:val="1"/>
                <w:color w:val="auto"/>
              </w:rPr>
              <w:t>(decrease)</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58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8"/>
          </w:tcPr>
          <w:p>
            <w:pPr>
              <w:jc w:val="right"/>
              <w:ind w:right="560"/>
              <w:spacing w:after="0"/>
              <w:rPr>
                <w:sz w:val="20"/>
                <w:szCs w:val="20"/>
                <w:color w:val="auto"/>
              </w:rPr>
            </w:pPr>
            <w:r>
              <w:rPr>
                <w:rFonts w:ascii="Arial" w:cs="Arial" w:eastAsia="Arial" w:hAnsi="Arial"/>
                <w:sz w:val="18"/>
                <w:szCs w:val="18"/>
                <w:color w:val="auto"/>
                <w:w w:val="95"/>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8"/>
          </w:tcPr>
          <w:p>
            <w:pPr>
              <w:jc w:val="right"/>
              <w:ind w:right="440"/>
              <w:spacing w:after="0"/>
              <w:rPr>
                <w:sz w:val="20"/>
                <w:szCs w:val="20"/>
                <w:color w:val="auto"/>
              </w:rPr>
            </w:pPr>
            <w:r>
              <w:rPr>
                <w:rFonts w:ascii="Arial" w:cs="Arial" w:eastAsia="Arial" w:hAnsi="Arial"/>
                <w:sz w:val="18"/>
                <w:szCs w:val="18"/>
                <w:color w:val="auto"/>
                <w:w w:val="96"/>
              </w:rPr>
              <w:t>Twelve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7"/>
              </w:rPr>
              <w:t>July 31, 2011</w:t>
            </w:r>
          </w:p>
        </w:tc>
        <w:tc>
          <w:tcPr>
            <w:tcW w:w="340" w:type="dxa"/>
            <w:vAlign w:val="bottom"/>
            <w:tcBorders>
              <w:top w:val="single" w:sz="8" w:color="auto"/>
            </w:tcBorders>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9"/>
              </w:rPr>
              <w:t>July 31, 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87"/>
              </w:rPr>
              <w:t>July 31, 2011</w:t>
            </w:r>
          </w:p>
        </w:tc>
        <w:tc>
          <w:tcPr>
            <w:tcW w:w="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82"/>
              </w:rPr>
              <w:t>July 31, 2010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Total profit for reportable segments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78,507</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73,515</w:t>
            </w:r>
          </w:p>
        </w:tc>
        <w:tc>
          <w:tcPr>
            <w:tcW w:w="440" w:type="dxa"/>
            <w:vAlign w:val="bottom"/>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307,668</w:t>
            </w: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(3,655)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(3,970)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(15,742)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(30,012)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(29,745)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(120,546)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(121,689)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costs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5"/>
          </w:tcPr>
          <w:p>
            <w:pPr>
              <w:ind w:left="200"/>
              <w:spacing w:after="0"/>
              <w:rPr>
                <w:sz w:val="20"/>
                <w:szCs w:val="20"/>
                <w:color w:val="auto"/>
              </w:rPr>
            </w:pPr>
            <w:r>
              <w:rPr>
                <w:rFonts w:ascii="Arial" w:cs="Arial" w:eastAsia="Arial" w:hAnsi="Arial"/>
                <w:sz w:val="18"/>
                <w:szCs w:val="18"/>
                <w:color w:val="auto"/>
              </w:rPr>
              <w:t>Investment and other income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3,990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(22,124)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144,058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(8,669)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3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21,592</w:t>
            </w:r>
          </w:p>
        </w:tc>
        <w:tc>
          <w:tcPr>
            <w:tcW w:w="1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108,652</w:t>
            </w: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3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ind w:left="8" w:right="4019"/>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2011</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26,281</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24,199</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28,589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29,583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108,652</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22,124</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9,925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8,607</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8,669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35,406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48,827</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54,487</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54,319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55,041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215,009</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Fiscal 2010</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Q1</w:t>
            </w: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Q2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Q4</w:t>
            </w:r>
          </w:p>
        </w:tc>
        <w:tc>
          <w:tcPr>
            <w:tcW w:w="200" w:type="dxa"/>
            <w:vAlign w:val="bottom"/>
          </w:tcPr>
          <w:p>
            <w:pPr>
              <w:spacing w:after="0"/>
              <w:rPr>
                <w:sz w:val="18"/>
                <w:szCs w:val="18"/>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21,668</w:t>
            </w:r>
          </w:p>
        </w:tc>
        <w:tc>
          <w:tcPr>
            <w:tcW w:w="4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15,001</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23,695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21,592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81,956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21,222</w:t>
            </w:r>
          </w:p>
        </w:tc>
      </w:tr>
      <w:tr>
        <w:trPr>
          <w:trHeight w:val="216"/>
        </w:trPr>
        <w:tc>
          <w:tcPr>
            <w:tcW w:w="3220" w:type="dxa"/>
            <w:vAlign w:val="bottom"/>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7,193</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6,636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27,446</w:t>
            </w: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53,022</w:t>
            </w:r>
          </w:p>
        </w:tc>
      </w:tr>
      <w:tr>
        <w:trPr>
          <w:trHeight w:val="20"/>
        </w:trPr>
        <w:tc>
          <w:tcPr>
            <w:tcW w:w="3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220" w:type="dxa"/>
            <w:vAlign w:val="bottom"/>
          </w:tcPr>
          <w:p>
            <w:pPr>
              <w:ind w:left="200"/>
              <w:spacing w:after="0"/>
              <w:rPr>
                <w:sz w:val="20"/>
                <w:szCs w:val="20"/>
                <w:color w:val="auto"/>
              </w:rPr>
            </w:pPr>
            <w:r>
              <w:rPr>
                <w:rFonts w:ascii="Arial" w:cs="Arial" w:eastAsia="Arial" w:hAnsi="Arial"/>
                <w:sz w:val="18"/>
                <w:szCs w:val="18"/>
                <w:color w:val="auto"/>
              </w:rPr>
              <w:t>EBITDA (non-GAAP measure)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49,422</w:t>
            </w:r>
          </w:p>
        </w:tc>
        <w:tc>
          <w:tcPr>
            <w:tcW w:w="42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38,555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48,945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46,724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183,646</w:t>
            </w:r>
          </w:p>
        </w:tc>
      </w:tr>
      <w:tr>
        <w:trPr>
          <w:trHeight w:val="20"/>
        </w:trPr>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388" w:right="159" w:hanging="388"/>
        <w:spacing w:after="0" w:line="291" w:lineRule="auto"/>
        <w:tabs>
          <w:tab w:leader="none" w:pos="38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9887"/>
          </w:cols>
          <w:pgMar w:left="572" w:top="931" w:right="1440" w:bottom="1440" w:gutter="0" w:footer="0" w:header="0"/>
        </w:sectPr>
      </w:pPr>
    </w:p>
    <w:bookmarkStart w:id="27" w:name="page28"/>
    <w:bookmarkEnd w:id="27"/>
    <w:p>
      <w:pPr>
        <w:jc w:val="right"/>
        <w:ind w:right="159"/>
        <w:spacing w:after="0"/>
        <w:rPr>
          <w:sz w:val="20"/>
          <w:szCs w:val="20"/>
          <w:color w:val="auto"/>
        </w:rPr>
      </w:pPr>
      <w:r>
        <w:rPr>
          <w:rFonts w:ascii="Arial" w:cs="Arial" w:eastAsia="Arial" w:hAnsi="Arial"/>
          <w:sz w:val="18"/>
          <w:szCs w:val="18"/>
          <w:color w:val="auto"/>
        </w:rPr>
        <w:t>EXHIBIT 99.2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Aaron Pearce (414) 438-6895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Dividend to Shareholders for the 26</w:t>
      </w:r>
      <w:r>
        <w:rPr>
          <w:rFonts w:ascii="Arial" w:cs="Arial" w:eastAsia="Arial" w:hAnsi="Arial"/>
          <w:sz w:val="15"/>
          <w:szCs w:val="15"/>
          <w:b w:val="1"/>
          <w:bCs w:val="1"/>
          <w:u w:val="single" w:color="auto"/>
          <w:color w:val="auto"/>
        </w:rPr>
        <w:t>th</w:t>
      </w:r>
      <w:r>
        <w:rPr>
          <w:rFonts w:ascii="Arial" w:cs="Arial" w:eastAsia="Arial" w:hAnsi="Arial"/>
          <w:sz w:val="18"/>
          <w:szCs w:val="18"/>
          <w:b w:val="1"/>
          <w:bCs w:val="1"/>
          <w:u w:val="single" w:color="auto"/>
          <w:color w:val="auto"/>
        </w:rPr>
        <w:t xml:space="preserve"> Straight Year.</w:t>
      </w:r>
    </w:p>
    <w:p>
      <w:pPr>
        <w:spacing w:after="0" w:line="189" w:lineRule="exact"/>
        <w:rPr>
          <w:sz w:val="20"/>
          <w:szCs w:val="20"/>
          <w:color w:val="auto"/>
        </w:rPr>
      </w:pPr>
    </w:p>
    <w:p>
      <w:pPr>
        <w:ind w:right="279"/>
        <w:spacing w:after="0" w:line="259" w:lineRule="auto"/>
        <w:rPr>
          <w:sz w:val="20"/>
          <w:szCs w:val="20"/>
          <w:color w:val="auto"/>
        </w:rPr>
      </w:pPr>
      <w:r>
        <w:rPr>
          <w:rFonts w:ascii="Arial" w:cs="Arial" w:eastAsia="Arial" w:hAnsi="Arial"/>
          <w:sz w:val="18"/>
          <w:szCs w:val="18"/>
          <w:color w:val="auto"/>
        </w:rPr>
        <w:t>MILWAUKEE (September 9, 2011)—Brady Corporation’s (NYSE: BRC) Board of Directors has announced an increase in its annual dividend to shareholders of the company’s Class A Common stock from $0.72 per share to $0.74 per share. A quarterly dividend of $0.185 per share will be paid on October 31, 2011 to shareholders of record at the close of business on October 10, 2011. This dividend represents the 26</w:t>
      </w:r>
      <w:r>
        <w:rPr>
          <w:rFonts w:ascii="Arial" w:cs="Arial" w:eastAsia="Arial" w:hAnsi="Arial"/>
          <w:sz w:val="15"/>
          <w:szCs w:val="15"/>
          <w:color w:val="auto"/>
        </w:rPr>
        <w:t>th</w:t>
      </w:r>
      <w:r>
        <w:rPr>
          <w:rFonts w:ascii="Arial" w:cs="Arial" w:eastAsia="Arial" w:hAnsi="Arial"/>
          <w:sz w:val="18"/>
          <w:szCs w:val="18"/>
          <w:color w:val="auto"/>
        </w:rPr>
        <w:t xml:space="preserve"> consecutive annual increase in dividends.</w:t>
      </w:r>
    </w:p>
    <w:p>
      <w:pPr>
        <w:spacing w:after="0" w:line="146" w:lineRule="exact"/>
        <w:rPr>
          <w:sz w:val="20"/>
          <w:szCs w:val="20"/>
          <w:color w:val="auto"/>
        </w:rPr>
      </w:pPr>
    </w:p>
    <w:p>
      <w:pPr>
        <w:ind w:right="159" w:firstLine="389"/>
        <w:spacing w:after="0" w:line="272"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employs approximately 6,500 people at operations in the Americas, Europe and Asia-Pacific. Brady stock trades on the New York Stock Exchange under the symbol BRC. More information is available on the Internet at </w:t>
      </w:r>
      <w:r>
        <w:rPr>
          <w:rFonts w:ascii="Arial" w:cs="Arial" w:eastAsia="Arial" w:hAnsi="Arial"/>
          <w:sz w:val="17"/>
          <w:szCs w:val="17"/>
          <w:u w:val="single" w:color="auto"/>
          <w:color w:val="auto"/>
        </w:rPr>
        <w:t>www.bradycorp.com.</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lowerLetter"/>
      <w:start w:val="1"/>
    </w:lvl>
    <w:lvl w:ilvl="1">
      <w:lvlJc w:val="left"/>
      <w:lvlText w:val="(%2)"/>
      <w:numFmt w:val="lowerRoman"/>
      <w:start w:val="2"/>
    </w:lvl>
  </w:abstractNum>
  <w:abstractNum w:abstractNumId="2">
    <w:nsid w:val="79E2A9E3"/>
    <w:multiLevelType w:val="hybridMultilevel"/>
    <w:lvl w:ilvl="0">
      <w:lvlJc w:val="left"/>
      <w:lvlText w:val="%1"/>
      <w:numFmt w:val="lowerRoman"/>
      <w:start w:val="1"/>
    </w:lvl>
    <w:lvl w:ilvl="1">
      <w:lvlJc w:val="left"/>
      <w:lvlText w:val="(%2)"/>
      <w:numFmt w:val="lowerRoman"/>
      <w:start w:val="5"/>
    </w:lvl>
  </w:abstractNum>
  <w:abstractNum w:abstractNumId="3">
    <w:nsid w:val="7545E146"/>
    <w:multiLevelType w:val="hybridMultilevel"/>
    <w:lvl w:ilvl="0">
      <w:lvlJc w:val="left"/>
      <w:lvlText w:val="(%1)"/>
      <w:numFmt w:val="lowerRoman"/>
      <w:start w:val="1"/>
    </w:lvl>
    <w:lvl w:ilvl="1">
      <w:lvlJc w:val="left"/>
      <w:lvlText w:val="(%2)"/>
      <w:numFmt w:val="lowerRoman"/>
      <w:start w:val="10"/>
    </w:lvl>
  </w:abstractNum>
  <w:abstractNum w:abstractNumId="4">
    <w:nsid w:val="515F007C"/>
    <w:multiLevelType w:val="hybridMultilevel"/>
    <w:lvl w:ilvl="0">
      <w:lvlJc w:val="left"/>
      <w:lvlText w:val="(%1)"/>
      <w:numFmt w:val="lowerLetter"/>
      <w:start w:val="3"/>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2"/>
    </w:lvl>
    <w:lvl w:ilvl="1">
      <w:lvlJc w:val="left"/>
      <w:lvlText w:val="(%2)"/>
      <w:numFmt w:val="upperLetter"/>
      <w:start w:val="1"/>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2019-12-10T06:25:44Z</dcterms:created>
  <dcterms:modified xsi:type="dcterms:W3CDTF">2019-12-10T06:25:44Z</dcterms:modified>
</cp:coreProperties>
</file>