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5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2" w:lineRule="exact"/>
        <w:rPr>
          <w:sz w:val="24"/>
          <w:szCs w:val="24"/>
          <w:color w:val="auto"/>
        </w:rPr>
      </w:pPr>
    </w:p>
    <w:p>
      <w:pPr>
        <w:ind w:left="405"/>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685" w:hanging="685"/>
        <w:spacing w:after="0"/>
        <w:tabs>
          <w:tab w:leader="none" w:pos="685"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13" w:lineRule="exact"/>
        <w:rPr>
          <w:sz w:val="24"/>
          <w:szCs w:val="24"/>
          <w:color w:val="auto"/>
        </w:rPr>
      </w:pPr>
    </w:p>
    <w:p>
      <w:pPr>
        <w:ind w:left="405"/>
        <w:spacing w:after="0"/>
        <w:tabs>
          <w:tab w:leader="none" w:pos="3605"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200" w:lineRule="exact"/>
        <w:rPr>
          <w:sz w:val="24"/>
          <w:szCs w:val="24"/>
          <w:color w:val="auto"/>
        </w:rPr>
      </w:pPr>
    </w:p>
    <w:p>
      <w:pPr>
        <w:spacing w:after="0" w:line="259" w:lineRule="exact"/>
        <w:rPr>
          <w:sz w:val="24"/>
          <w:szCs w:val="24"/>
          <w:color w:val="auto"/>
        </w:rPr>
      </w:pPr>
    </w:p>
    <w:p>
      <w:pPr>
        <w:ind w:left="685" w:hanging="685"/>
        <w:spacing w:after="0"/>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MATCHED 401(k) PLAN</w:t>
      </w:r>
    </w:p>
    <w:p>
      <w:pPr>
        <w:spacing w:after="0" w:line="354"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6555 WEST GOOD HOPE ROAD</w:t>
      </w:r>
    </w:p>
    <w:p>
      <w:pPr>
        <w:spacing w:after="0" w:line="7"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MILWAUKEE WI 53202-0571</w:t>
      </w:r>
    </w:p>
    <w:p>
      <w:pPr>
        <w:sectPr>
          <w:pgSz w:w="11900" w:h="16838" w:orient="portrait"/>
          <w:cols w:equalWidth="0" w:num="1">
            <w:col w:w="11045"/>
          </w:cols>
          <w:pgMar w:left="275" w:top="733"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Financial Statements as of and for the Years Ended December 31, 2012 and 2011, Supplemental Schedule as of December 31, 2012, and Report of Independent Registered Public Accounting Firm</w:t>
      </w:r>
    </w:p>
    <w:p>
      <w:pPr>
        <w:sectPr>
          <w:pgSz w:w="11900" w:h="16838" w:orient="portrait"/>
          <w:cols w:equalWidth="0" w:num="1">
            <w:col w:w="10560"/>
          </w:cols>
          <w:pgMar w:left="240" w:top="584" w:right="10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PAGE</w:t>
            </w:r>
          </w:p>
        </w:tc>
      </w:tr>
      <w:tr>
        <w:trPr>
          <w:trHeight w:val="256"/>
        </w:trPr>
        <w:tc>
          <w:tcPr>
            <w:tcW w:w="8160" w:type="dxa"/>
            <w:vAlign w:val="bottom"/>
            <w:gridSpan w:val="8"/>
            <w:shd w:val="clear" w:color="auto" w:fill="CCEEFF"/>
          </w:tcPr>
          <w:p>
            <w:pPr>
              <w:ind w:left="4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 xml:space="preserve">REPORT </w:t>
              </w:r>
            </w:hyperlink>
            <w:r>
              <w:rPr>
                <w:rFonts w:ascii="Arial" w:cs="Arial" w:eastAsia="Arial" w:hAnsi="Arial"/>
                <w:sz w:val="18"/>
                <w:szCs w:val="18"/>
                <w:b w:val="1"/>
                <w:bCs w:val="1"/>
                <w:color w:val="000000"/>
              </w:rPr>
              <w:t>OF</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INDEPENDENT REGISTERED PUBLIC ACCOUNTING FIRM</w:t>
            </w:r>
          </w:p>
        </w:tc>
        <w:tc>
          <w:tcPr>
            <w:tcW w:w="2980" w:type="dxa"/>
            <w:vAlign w:val="bottom"/>
            <w:gridSpan w:val="3"/>
            <w:shd w:val="clear" w:color="auto" w:fill="CCEEFF"/>
          </w:tcPr>
          <w:p>
            <w:pPr>
              <w:jc w:val="right"/>
              <w:ind w:right="1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324"/>
        </w:trPr>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816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80" w:type="dxa"/>
            <w:vAlign w:val="bottom"/>
            <w:gridSpan w:val="6"/>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Statements of Net Assets Available for Benefits</w:t>
              </w:r>
            </w:hyperlink>
          </w:p>
        </w:tc>
        <w:tc>
          <w:tcPr>
            <w:tcW w:w="2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w:t>
            </w: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780" w:type="dxa"/>
            <w:vAlign w:val="bottom"/>
            <w:gridSpan w:val="6"/>
            <w:shd w:val="clear" w:color="auto" w:fill="CCEEFF"/>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Statements of Changes in Net Assets Available for Benefits</w:t>
              </w:r>
            </w:hyperlink>
          </w:p>
        </w:tc>
        <w:tc>
          <w:tcPr>
            <w:tcW w:w="2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324"/>
        </w:trPr>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780" w:type="dxa"/>
            <w:vAlign w:val="bottom"/>
            <w:gridSpan w:val="6"/>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Notes to Financial Statements</w:t>
              </w:r>
            </w:hyperlink>
          </w:p>
        </w:tc>
        <w:tc>
          <w:tcPr>
            <w:tcW w:w="2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324"/>
        </w:trPr>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3"/>
        </w:trPr>
        <w:tc>
          <w:tcPr>
            <w:tcW w:w="8160" w:type="dxa"/>
            <w:vAlign w:val="bottom"/>
            <w:gridSpan w:val="8"/>
            <w:shd w:val="clear" w:color="auto" w:fill="CCEEFF"/>
          </w:tcPr>
          <w:p>
            <w:pPr>
              <w:ind w:left="40"/>
              <w:spacing w:after="0" w:line="202" w:lineRule="exact"/>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SUPPLEMENTAL SCHEDULE</w:t>
              </w:r>
            </w:hyperlink>
          </w:p>
        </w:tc>
        <w:tc>
          <w:tcPr>
            <w:tcW w:w="2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76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80" w:type="dxa"/>
            <w:vAlign w:val="bottom"/>
            <w:gridSpan w:val="6"/>
          </w:tcPr>
          <w:p>
            <w:pPr>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Schedule H, Line 4i — Schedule of Assets (Held at End of Year)</w:t>
              </w:r>
            </w:hyperlink>
          </w:p>
        </w:tc>
        <w:tc>
          <w:tcPr>
            <w:tcW w:w="2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7517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23.1 — Consent of CliftonLarsonAllen LLP</w:t>
      </w:r>
    </w:p>
    <w:p>
      <w:pPr>
        <w:sectPr>
          <w:pgSz w:w="11900" w:h="16838" w:orient="portrait"/>
          <w:cols w:equalWidth="0" w:num="1">
            <w:col w:w="11140"/>
          </w:cols>
          <w:pgMar w:left="240" w:top="580" w:right="51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2">
            <w:col w:w="560" w:space="600"/>
            <w:col w:w="9980"/>
          </w:cols>
          <w:pgMar w:left="240" w:top="580" w:right="519" w:bottom="1440" w:gutter="0" w:footer="0" w:header="0"/>
          <w:type w:val="continuous"/>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statements of net assets available for benefits of Brady Matched 401(k) Plan as of December 31, 2012 and 2011, and the related statement of changes in net assets available for benefits for the years ended December 31, 2012 and 2011. These financial statements are the responsibility of the Plan's management. Our responsibility is to express an opinion on these financial statements based on our audits.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Brady Matched 401(k) Plan as of December 31, 2012 and 2011, and the changes in net assets available for benefits for the year ended December 31, 2012 and 2011 in conformity with accounting principles generally accepted in the United States of America.</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audits were made for the purpose of forming an opinion on the basic financial statements taken as a whole. The accompanying supplemental schedule is presented for purposes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are presented fairly, in all material respects, in relation to the basic financial statements taken as a whole.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center"/>
        <w:ind w:right="-4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December 31, 2012 and 2011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Investments - at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177,674,450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159,385,286</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44,526</w:t>
            </w:r>
          </w:p>
        </w:tc>
      </w:tr>
      <w:tr>
        <w:trPr>
          <w:trHeight w:val="223"/>
        </w:trPr>
        <w:tc>
          <w:tcPr>
            <w:tcW w:w="736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Company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1,054,438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934,524</w:t>
            </w: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55,144</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3,041,438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3,225,308</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Total receivables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4,095,876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4,214,976</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181,839,010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163,644,788</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 AT FAIR VALUE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181,836,529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163,644,788</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w w:val="98"/>
              </w:rPr>
              <w:t>Adjustments from fair value to contract value for fully benefit-responsive investment contracts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(685,203)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(621,779)</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181,151,326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163,023,009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240" w:top="580" w:right="67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Years Ended December 31, 2012 and 2011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ADDITIONS TO NET ASSETS ATTRIBUTED TO</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Contributions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Participant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8,466,810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8,130,759</w:t>
            </w: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Company</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4,139,668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4,211,835</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Rollover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128,148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406,394</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12,734,626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12,748,988</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Net appreciation (depreciation) in fair value of investments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16,672,285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(7,307,220)</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3,693,191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2,964,919</w:t>
            </w:r>
          </w:p>
        </w:tc>
      </w:tr>
      <w:tr>
        <w:trPr>
          <w:trHeight w:val="243"/>
        </w:trPr>
        <w:tc>
          <w:tcPr>
            <w:tcW w:w="7360" w:type="dxa"/>
            <w:vAlign w:val="bottom"/>
          </w:tcPr>
          <w:p>
            <w:pPr>
              <w:ind w:left="1140"/>
              <w:spacing w:after="0"/>
              <w:rPr>
                <w:sz w:val="20"/>
                <w:szCs w:val="20"/>
                <w:color w:val="auto"/>
              </w:rPr>
            </w:pPr>
            <w:r>
              <w:rPr>
                <w:rFonts w:ascii="Arial" w:cs="Arial" w:eastAsia="Arial" w:hAnsi="Arial"/>
                <w:sz w:val="18"/>
                <w:szCs w:val="18"/>
                <w:color w:val="auto"/>
              </w:rPr>
              <w:t>Net investment income (loss)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20,365,476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(4,342,301)</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 from notes receivable from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114,458</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Transfers of assets from affiliated plans</w:t>
            </w:r>
          </w:p>
        </w:tc>
        <w:tc>
          <w:tcPr>
            <w:tcW w:w="4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additions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33,216,568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8,521,288</w:t>
            </w:r>
          </w:p>
        </w:tc>
      </w:tr>
      <w:tr>
        <w:trPr>
          <w:trHeight w:val="22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DEDUCTIONS FROM NET ASSETS ATTRIBUTED TO</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 to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14,625,079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11,791,034</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Administrative expenses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463,172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464,124</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15,088,251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12,255,158</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18,128,317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(3,733,870)</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163,023,009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166,756,879</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 END OF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181,151,326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163,023,009</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580" w:right="6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PLAN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non-resident aliens, co-op students, on-call employees or interns. An employee may become a participant in the Plan on the employee’s initial date of employment. The Plan is subject to the provisions of the Employee Retirement Income Security Act of 1974, as amended (ERISA).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Each year, participants may contribute up to 50% of their annual base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$250,000 for calendar year 2012, adjusted for inflation. Participants self-direct all participant and Company contributions.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9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1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any newly eligible participant, the Plan will automatically withhold 3% of the employee’s pay, on a pre-tax basis, unless a waiver form to opt-out of the plan is completed by the employee within ninety days of their hire date. The withheld funds will be deposited into an account under the employee’s name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 options include various mutual funds, a common collective trust fund, two money market funds, and Brady Corporation Class A Non-Voting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9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The participants’ share of the Company contribution becomes fully vested, in any event, upon normal retirement at age 65, termination due to permanent or total disability or death, or a plan termination.</w:t>
      </w:r>
    </w:p>
    <w:p>
      <w:pPr>
        <w:spacing w:after="0" w:line="12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Participants may borrow up to 50% of their vested account balance. Individual loan amounts must be at least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2012, the interest rates on outstanding loans range from 3.25% to 9.00%.</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center"/>
        <w:ind w:right="-4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1—DESCRIPTION OF THE PLAN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2012 and 2011, forfeited non-vested accounts totaled $96,711 and $55,144, respectively. These amounts were used to reduce Company contribution receivables as of December 31, 2012 and 2011.</w:t>
      </w:r>
    </w:p>
    <w:p>
      <w:pPr>
        <w:spacing w:after="0" w:line="200" w:lineRule="exact"/>
        <w:rPr>
          <w:sz w:val="20"/>
          <w:szCs w:val="20"/>
          <w:color w:val="auto"/>
        </w:rPr>
      </w:pPr>
    </w:p>
    <w:p>
      <w:pPr>
        <w:spacing w:after="0" w:line="37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580" w:right="6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Investment contracts held by a defined-contribution plan are required to be reported at fair value. However, contract value is the relevant measurement attribute for that portion of the net assets available for benefits for a defined contribution plan attributable for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 as well as the adjustment of the fully benefit-responsive investment contract from fair value to contract value. The Statements of Changes in Net Assets Available for Benefits are prepared on a contract value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Plan utilizes various investment instruments, including various mutual funds, a common collective trust fund, two money market funds,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Refer to Note 4.</w:t>
      </w:r>
    </w:p>
    <w:p>
      <w:pPr>
        <w:spacing w:after="0" w:line="11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are paid by the Plan. This includes administrative, investment management, audit, legal and other miscellaneous fees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2—SUMMARY OF SIGNIFICANT ACCOUNTING POLICIES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 payments to participants are recorded upon distribution. There were no amounts allocated to accounts of persons who have elected to withdraw from the Plan, but have not yet been paid as of December 31, 2012 and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were excess contributions of $2,481 and $0 for the years ended December 31,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1440"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individual investments held which exceeded 5% of the net assets available for benefits at December 31, 2012 and 2011,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Growth Fund of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27,173,134</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23,728,153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PNC Investment Contract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18,769,641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18,936,617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Vanguard Total Bond Market Index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17,170,399</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15,519,578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Vanguard Institutional Index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15,042,322</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13,284,114</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Fidelity Diversified International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11,735,456</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9,910,022</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 Rowe Price Retirement 2030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10,760,863</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9,082,428</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Vanguard Prime Money Market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10,274,398</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11,061,790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LSV Value Equity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9,782,211</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8,935,661</w:t>
            </w:r>
          </w:p>
        </w:tc>
        <w:tc>
          <w:tcPr>
            <w:tcW w:w="340" w:type="dxa"/>
            <w:vAlign w:val="bottom"/>
          </w:tcPr>
          <w:p>
            <w:pPr>
              <w:spacing w:after="0"/>
              <w:rPr>
                <w:sz w:val="21"/>
                <w:szCs w:val="21"/>
                <w:color w:val="auto"/>
              </w:rPr>
            </w:pPr>
          </w:p>
        </w:tc>
      </w:tr>
      <w:tr>
        <w:trPr>
          <w:trHeight w:val="405"/>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6420" w:type="dxa"/>
            <w:vAlign w:val="bottom"/>
          </w:tcPr>
          <w:p>
            <w:pPr>
              <w:ind w:left="300"/>
              <w:spacing w:after="0"/>
              <w:rPr>
                <w:sz w:val="20"/>
                <w:szCs w:val="20"/>
                <w:color w:val="auto"/>
              </w:rPr>
            </w:pPr>
            <w:r>
              <w:rPr>
                <w:rFonts w:ascii="Arial" w:cs="Arial" w:eastAsia="Arial" w:hAnsi="Arial"/>
                <w:sz w:val="18"/>
                <w:szCs w:val="18"/>
                <w:color w:val="auto"/>
              </w:rPr>
              <w:t>Party-in-interest in the Plan.</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5" w:lineRule="exact"/>
        <w:rPr>
          <w:sz w:val="20"/>
          <w:szCs w:val="20"/>
          <w:color w:val="auto"/>
        </w:rPr>
      </w:pPr>
    </w:p>
    <w:p>
      <w:pPr>
        <w:ind w:left="660" w:hanging="62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years ended December 31, 2012 and 2011, the Plan’s investments (including gains and losses on investments bought and sold, as well as held during the year) appreciated (depreciated) in value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29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16,071,311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(7,602,060)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Common collective trust fund</w:t>
            </w:r>
          </w:p>
        </w:tc>
        <w:tc>
          <w:tcPr>
            <w:tcW w:w="2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366,632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424,515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Brady Corporation common stock</w:t>
            </w:r>
          </w:p>
        </w:tc>
        <w:tc>
          <w:tcPr>
            <w:tcW w:w="25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234,342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(129,675)</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Net appreciation (depreciation) in fair value of investments</w:t>
            </w:r>
          </w:p>
        </w:tc>
        <w:tc>
          <w:tcPr>
            <w:tcW w:w="25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16,672,285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(7,307,220)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540" w:type="dxa"/>
            <w:vAlign w:val="bottom"/>
            <w:vMerge w:val="restart"/>
          </w:tcPr>
          <w:p>
            <w:pPr>
              <w:jc w:val="right"/>
              <w:ind w:right="1810"/>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1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principles generally accepted in the United States of America (GAAP) establishes a hierarchal disclosure framework which prioritizes and ranks the level of observable inputs used in measuring fair value.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GAAP defines fair value as the price that would be received upon the sale of an asset or paid to transfer a liability in an orderly transaction between market participants at the measurement date (exit price). The Plan primarily applies the market approach for recurring fair value measurements and attempts to utilize the best available information. Accordingly, the Plan also utilizes valuation techniques that maximize the use of observable inputs and minimize the use of unobservable inputs. The Plan is able to classify fair value balances based on the observability of those inputs. The hierarchy gives the highest priority to unadjusted quoted prices in active markets for identical assets or liabilities (Level 1) and the lowest priority to unobservable inputs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Plan's assets measured at fair market value are classified in one of the following categories:</w:t>
      </w:r>
    </w:p>
    <w:p>
      <w:pPr>
        <w:spacing w:after="0" w:line="225" w:lineRule="exact"/>
        <w:rPr>
          <w:sz w:val="20"/>
          <w:szCs w:val="20"/>
          <w:color w:val="auto"/>
        </w:rPr>
      </w:pPr>
    </w:p>
    <w:p>
      <w:pPr>
        <w:ind w:left="1540" w:hanging="904"/>
        <w:spacing w:after="0" w:line="277" w:lineRule="auto"/>
        <w:tabs>
          <w:tab w:leader="none" w:pos="1520" w:val="left"/>
        </w:tabs>
        <w:rPr>
          <w:sz w:val="20"/>
          <w:szCs w:val="20"/>
          <w:color w:val="auto"/>
        </w:rPr>
      </w:pPr>
      <w:r>
        <w:rPr>
          <w:rFonts w:ascii="Arial" w:cs="Arial" w:eastAsia="Arial" w:hAnsi="Arial"/>
          <w:sz w:val="18"/>
          <w:szCs w:val="18"/>
          <w:color w:val="auto"/>
        </w:rPr>
        <w:t>Level 1 -</w:t>
        <w:tab/>
        <w:t>Inputs to the valuation methodology are unadjusted quoted prices for identical assets or liabilities in active markets that the Plan has the ability to access.</w:t>
      </w:r>
    </w:p>
    <w:p>
      <w:pPr>
        <w:spacing w:after="0" w:line="170"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to the valuation methodology include:</w:t>
      </w:r>
    </w:p>
    <w:p>
      <w:pPr>
        <w:spacing w:after="0" w:line="36" w:lineRule="exact"/>
        <w:rPr>
          <w:sz w:val="20"/>
          <w:szCs w:val="20"/>
          <w:color w:val="auto"/>
        </w:rPr>
      </w:pPr>
    </w:p>
    <w:p>
      <w:pPr>
        <w:ind w:left="2020" w:hanging="229"/>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49" w:lineRule="exact"/>
        <w:rPr>
          <w:rFonts w:ascii="Arial" w:cs="Arial" w:eastAsia="Arial" w:hAnsi="Arial"/>
          <w:sz w:val="18"/>
          <w:szCs w:val="18"/>
          <w:color w:val="auto"/>
        </w:rPr>
      </w:pPr>
    </w:p>
    <w:p>
      <w:pPr>
        <w:ind w:left="2000" w:hanging="223"/>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 w:lineRule="exact"/>
        <w:rPr>
          <w:sz w:val="20"/>
          <w:szCs w:val="20"/>
          <w:color w:val="auto"/>
        </w:rPr>
      </w:pPr>
    </w:p>
    <w:p>
      <w:pPr>
        <w:ind w:left="1540" w:firstLine="648"/>
        <w:spacing w:after="0" w:line="276"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71"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asset's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4—FAIR VALUE MEASUREMENT </w:t>
      </w:r>
      <w:r>
        <w:rPr>
          <w:rFonts w:ascii="Arial" w:cs="Arial" w:eastAsia="Arial" w:hAnsi="Arial"/>
          <w:sz w:val="18"/>
          <w:szCs w:val="18"/>
          <w:color w:val="auto"/>
        </w:rPr>
        <w:t>(continued)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measured at fair value.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of mutual funds are valued at quoted market prices, which represent the net asset value of shares held by the Plan at year end. Common stock is valued at quoted market prices.</w:t>
      </w:r>
    </w:p>
    <w:p>
      <w:pPr>
        <w:spacing w:after="0" w:line="11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common collective trust fund is valued at the net asset value of the fund based on the fair value of the underlying investments and then adjusted by the issuer to contract value. The objectives of the common collective trust fund are to maximize current income, while maintaining principal and to provide for withdrawals for certain participant-initiated transactions under a plan without penalty or adjustments. The collective trust fund does not have a finite life, unfunded commitments relating to these types of investments, or significant restrictions on redemptions.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money market fund is valued at a stable $1.00 net asset value which approximates fair value.</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24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Growth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34,706,363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34,706,363</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15,042,322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15,042,322</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16,924,835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16,924,835</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20,788,231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20,788,231</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34,373,790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34,373,790</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18,104,121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18,104,121</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Other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3,830,931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3,830,931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10,279,219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10,279,219</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4,169,794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4,169,794</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19,454,844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19,454,844</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147,940,387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29,734,063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177,674,450</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796" w:right="259" w:bottom="1440" w:gutter="0" w:footer="0" w:header="0"/>
          <w:type w:val="continuous"/>
        </w:sectPr>
      </w:pPr>
    </w:p>
    <w:bookmarkStart w:id="13" w:name="page14"/>
    <w:bookmarkEnd w:id="13"/>
    <w:p>
      <w:pPr>
        <w:jc w:val="center"/>
        <w:ind w:right="-15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4—FAIR VALUE MEASUREMENT </w:t>
      </w:r>
      <w:r>
        <w:rPr>
          <w:rFonts w:ascii="Arial" w:cs="Arial" w:eastAsia="Arial" w:hAnsi="Arial"/>
          <w:sz w:val="18"/>
          <w:szCs w:val="18"/>
          <w:color w:val="auto"/>
        </w:rPr>
        <w:t>(continued)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24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Growth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30,930,343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30,930,343</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13,284,114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13,284,114</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15,517,530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15,517,530</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17,424,540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17,424,540</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28,309,810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28,309,810</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15,519,578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15,519,578</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Other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3,616,865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3,616,865</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11,070,909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11,070,909</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4,153,201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4,153,201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19,558,396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19,558,396</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128,755,981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30,629,305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159,385,286</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796" w:right="3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5—PLAN TERMINATION</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Company matching contributions in their accounts.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6—FEDERAL INCOME TAX STATUS</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Plan uses a prototype plan document sponsored by PNC Bank (PNC or the Trustee). PNC received an opinion letter from the Internal Revenue Service (IRS), dated March 31, 2008,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examinations for years prior to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7—EXEMPT PARTY-IN-INTEREST TRANSACTIONS</w:t>
      </w:r>
    </w:p>
    <w:p>
      <w:pPr>
        <w:spacing w:after="0" w:line="9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Plan invests in Company common stock. In addition, certain plan investments represent shares of mutual funds and a common collective trust fund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2012 and 2011, the Plan held 124,844 and 131,555 shares, respectively, of common stock of Brady Corporation, with a cost basis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$2,995,161 and $3,182,618, respectively. During the years ended December 31, 2012 and 2011, the Plan recorded dividend income from the common stock of Brady Corporation of $97,111 and $91,377,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AND FOR THE YEARS ENDED DECEMBER 31, 2012 AND 2011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8—RECONCILIATION TO FORM 5500</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181,151,326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163,023,009</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685,203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621,779</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181,836,529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163,644,788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increase in net assets available for benefits per the financial statements to the Form 5500 for the year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18,128,317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(3,733,870)</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3"/>
              </w:rPr>
              <w:t>Adjustment from contract value to fair value for fully benefit-responsive investment contract at end</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of year</w:t>
            </w:r>
          </w:p>
        </w:tc>
        <w:tc>
          <w:tcPr>
            <w:tcW w:w="4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685,203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621,779</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 at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(621,779)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(378,761)</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Transfer of assets to Plan</w:t>
            </w:r>
          </w:p>
        </w:tc>
        <w:tc>
          <w:tcPr>
            <w:tcW w:w="4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18,191,741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(3,490,995)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evaluated subsequent events through June 25, 2013, the date the financial statements were issued. Events or transactions occurring after December 31, 2012, but prior to June 25, 2013 that provide additional evidence about conditions that existed at December 31, 2012 have been recognized in the financial statements for the year ended December 31, 2012. Events or transactions that provided evidence about conditions that did not exist at December 31, 2012 but arose before the financial statements were issued, have not been recognized in the financial statements for the year ended December 31, 2012.</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0" w:right="29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1440"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BRADY MATCHED 401(k) PLAN</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jc w:val="center"/>
              <w:ind w:left="1230"/>
              <w:spacing w:after="0"/>
              <w:rPr>
                <w:sz w:val="20"/>
                <w:szCs w:val="20"/>
                <w:color w:val="auto"/>
              </w:rPr>
            </w:pPr>
            <w:r>
              <w:rPr>
                <w:rFonts w:ascii="Arial" w:cs="Arial" w:eastAsia="Arial" w:hAnsi="Arial"/>
                <w:sz w:val="18"/>
                <w:szCs w:val="18"/>
                <w:b w:val="1"/>
                <w:bCs w:val="1"/>
                <w:color w:val="auto"/>
                <w:w w:val="99"/>
              </w:rPr>
              <w:t>SCHEDULE H, LINE 4i—SCHEDULE OF ASSETS (HELD AT END OF YEAR)</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2012</w:t>
            </w: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EIN #: 39-0178960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Plan #: 003</w:t>
            </w:r>
          </w:p>
        </w:tc>
        <w:tc>
          <w:tcPr>
            <w:tcW w:w="0" w:type="dxa"/>
            <w:vAlign w:val="bottom"/>
          </w:tcPr>
          <w:p>
            <w:pPr>
              <w:spacing w:after="0"/>
              <w:rPr>
                <w:sz w:val="1"/>
                <w:szCs w:val="1"/>
                <w:color w:val="auto"/>
              </w:rPr>
            </w:pPr>
          </w:p>
        </w:tc>
      </w:tr>
      <w:tr>
        <w:trPr>
          <w:trHeight w:val="801"/>
        </w:trPr>
        <w:tc>
          <w:tcPr>
            <w:tcW w:w="9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24"/>
                <w:szCs w:val="24"/>
                <w:color w:val="auto"/>
              </w:rPr>
            </w:pPr>
          </w:p>
        </w:tc>
        <w:tc>
          <w:tcPr>
            <w:tcW w:w="1680" w:type="dxa"/>
            <w:vAlign w:val="bottom"/>
          </w:tcPr>
          <w:p>
            <w:pPr>
              <w:jc w:val="right"/>
              <w:ind w:right="81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93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ind w:right="771"/>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MUTUAL FUNDS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Growth Fund of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27,173,134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Fidelity Diversified International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11,735,456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BlackRock Small Cap Growth*</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7,533,229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American Century Small Cap Val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7,142,624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LSV Value Equity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9,782,211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 Rowe Price Retirement 2010</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4,824,707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T. Rowe Price Retirement 2020</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7,999,361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 Rowe Price Retirement 2030</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10,760,863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T. Rowe Price Retirement 2040</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8,370,201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 Rowe Price Retirement 2050</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2,418,658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Oppenheimer Developing Markets</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9,052,775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PIMCO CommoditiesPLUS Strategy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3,830,931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Vanguard Institutional Index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15,042,322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Vanguard Total Bond Market Index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17,170,399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MFS Emerging Market Debt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933,722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143,770,593</w:t>
            </w:r>
          </w:p>
        </w:tc>
        <w:tc>
          <w:tcPr>
            <w:tcW w:w="0" w:type="dxa"/>
            <w:vAlign w:val="bottom"/>
          </w:tcPr>
          <w:p>
            <w:pPr>
              <w:spacing w:after="0"/>
              <w:rPr>
                <w:sz w:val="1"/>
                <w:szCs w:val="1"/>
                <w:color w:val="auto"/>
              </w:rPr>
            </w:pPr>
          </w:p>
        </w:tc>
      </w:tr>
      <w:tr>
        <w:trPr>
          <w:trHeight w:val="493"/>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COMMON COLLECTIVE TRUST FUND</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PNC Investment Contract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19,454,844</w:t>
            </w:r>
          </w:p>
        </w:tc>
        <w:tc>
          <w:tcPr>
            <w:tcW w:w="0" w:type="dxa"/>
            <w:vAlign w:val="bottom"/>
          </w:tcPr>
          <w:p>
            <w:pPr>
              <w:spacing w:after="0"/>
              <w:rPr>
                <w:sz w:val="1"/>
                <w:szCs w:val="1"/>
                <w:color w:val="auto"/>
              </w:rPr>
            </w:pPr>
          </w:p>
        </w:tc>
      </w:tr>
      <w:tr>
        <w:trPr>
          <w:trHeight w:val="513"/>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MONEY MARKET FUNDS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Vanguard Prime Money Market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10,274,398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Brady Stock Liquidity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10,279,219</w:t>
            </w:r>
          </w:p>
        </w:tc>
        <w:tc>
          <w:tcPr>
            <w:tcW w:w="0" w:type="dxa"/>
            <w:vAlign w:val="bottom"/>
          </w:tcPr>
          <w:p>
            <w:pPr>
              <w:spacing w:after="0"/>
              <w:rPr>
                <w:sz w:val="1"/>
                <w:szCs w:val="1"/>
                <w:color w:val="auto"/>
              </w:rPr>
            </w:pPr>
          </w:p>
        </w:tc>
      </w:tr>
      <w:tr>
        <w:trPr>
          <w:trHeight w:val="493"/>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COMMON STOCK</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Brady Corporation Class A Non-voting*</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4,169,794</w:t>
            </w:r>
          </w:p>
        </w:tc>
        <w:tc>
          <w:tcPr>
            <w:tcW w:w="0" w:type="dxa"/>
            <w:vAlign w:val="bottom"/>
          </w:tcPr>
          <w:p>
            <w:pPr>
              <w:spacing w:after="0"/>
              <w:rPr>
                <w:sz w:val="1"/>
                <w:szCs w:val="1"/>
                <w:color w:val="auto"/>
              </w:rPr>
            </w:pPr>
          </w:p>
        </w:tc>
      </w:tr>
      <w:tr>
        <w:trPr>
          <w:trHeight w:val="475"/>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NOTES RECEIVABLE from PARTICIPANTS, at various interest rates and due through</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28, 2042*</w:t>
            </w:r>
          </w:p>
        </w:tc>
        <w:tc>
          <w:tcPr>
            <w:tcW w:w="380" w:type="dxa"/>
            <w:vAlign w:val="bottom"/>
          </w:tcPr>
          <w:p>
            <w:pPr>
              <w:spacing w:after="0"/>
              <w:rPr>
                <w:sz w:val="20"/>
                <w:szCs w:val="20"/>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3,041,438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(HELD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180,715,888</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9200" w:type="dxa"/>
            <w:vAlign w:val="bottom"/>
            <w:tcBorders>
              <w:top w:val="single" w:sz="8" w:color="CCEEFF"/>
              <w:bottom w:val="single" w:sz="8" w:color="CCEEFF"/>
            </w:tcBorders>
            <w:gridSpan w:val="2"/>
            <w:vMerge w:val="restart"/>
          </w:tcPr>
          <w:p>
            <w:pPr>
              <w:ind w:left="540"/>
              <w:spacing w:after="0"/>
              <w:rPr>
                <w:sz w:val="20"/>
                <w:szCs w:val="20"/>
                <w:color w:val="auto"/>
              </w:rPr>
            </w:pPr>
            <w:r>
              <w:rPr>
                <w:rFonts w:ascii="Arial" w:cs="Arial" w:eastAsia="Arial" w:hAnsi="Arial"/>
                <w:sz w:val="18"/>
                <w:szCs w:val="18"/>
                <w:color w:val="auto"/>
              </w:rPr>
              <w:t>Party-in-interest in the Plan.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60" w:type="dxa"/>
            <w:vAlign w:val="bottom"/>
            <w:gridSpan w:val="2"/>
            <w:vMerge w:val="continue"/>
          </w:tcPr>
          <w:p>
            <w:pPr>
              <w:spacing w:after="0"/>
              <w:rPr>
                <w:sz w:val="24"/>
                <w:szCs w:val="24"/>
                <w:color w:val="auto"/>
              </w:rPr>
            </w:pPr>
          </w:p>
        </w:tc>
        <w:tc>
          <w:tcPr>
            <w:tcW w:w="92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784" w:gutter="0" w:footer="0" w:header="0"/>
          <w:type w:val="continuous"/>
        </w:sectPr>
      </w:pPr>
    </w:p>
    <w:bookmarkStart w:id="18" w:name="page19"/>
    <w:bookmarkEnd w:id="18"/>
    <w:p>
      <w:pPr>
        <w:jc w:val="center"/>
        <w:ind w:right="-4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BRADY MATCHED 401(k) PLAN</w:t>
      </w:r>
    </w:p>
    <w:p>
      <w:pPr>
        <w:spacing w:after="0" w:line="387" w:lineRule="exact"/>
        <w:rPr>
          <w:sz w:val="20"/>
          <w:szCs w:val="20"/>
          <w:color w:val="auto"/>
        </w:rPr>
      </w:pPr>
    </w:p>
    <w:p>
      <w:pPr>
        <w:ind w:left="40"/>
        <w:spacing w:after="0"/>
        <w:tabs>
          <w:tab w:leader="none" w:pos="7320" w:val="left"/>
        </w:tabs>
        <w:rPr>
          <w:sz w:val="20"/>
          <w:szCs w:val="20"/>
          <w:color w:val="auto"/>
        </w:rPr>
      </w:pPr>
      <w:r>
        <w:rPr>
          <w:rFonts w:ascii="Arial" w:cs="Arial" w:eastAsia="Arial" w:hAnsi="Arial"/>
          <w:sz w:val="18"/>
          <w:szCs w:val="18"/>
          <w:color w:val="auto"/>
        </w:rPr>
        <w:t>Date: June 25, 2013</w:t>
      </w:r>
      <w:r>
        <w:rPr>
          <w:sz w:val="20"/>
          <w:szCs w:val="20"/>
          <w:color w:val="auto"/>
        </w:rPr>
        <w:tab/>
      </w:r>
      <w:r>
        <w:rPr>
          <w:rFonts w:ascii="Arial" w:cs="Arial" w:eastAsia="Arial" w:hAnsi="Arial"/>
          <w:sz w:val="17"/>
          <w:szCs w:val="17"/>
          <w:color w:val="auto"/>
        </w:rPr>
        <w:t>/s/ WENDY SALMON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Wendy Salmon</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Plan Administrative Committee Member</w:t>
      </w:r>
    </w:p>
    <w:p>
      <w:pPr>
        <w:sectPr>
          <w:pgSz w:w="11900" w:h="16838" w:orient="portrait"/>
          <w:cols w:equalWidth="0" w:num="1">
            <w:col w:w="11000"/>
          </w:cols>
          <w:pgMar w:left="240" w:top="584" w:right="6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25, 2013 appearing in this Annual Report on Form 11-K of Brady Matched 401(k) Plan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25, 2013</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2019-12-05T20:41:25Z</dcterms:created>
  <dcterms:modified xsi:type="dcterms:W3CDTF">2019-12-05T20:41:25Z</dcterms:modified>
</cp:coreProperties>
</file>