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551"/>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088"/>
        <w:spacing w:after="0"/>
        <w:rPr>
          <w:sz w:val="20"/>
          <w:szCs w:val="20"/>
          <w:color w:val="auto"/>
        </w:rPr>
      </w:pPr>
      <w:r>
        <w:rPr>
          <w:rFonts w:ascii="Arial" w:cs="Arial" w:eastAsia="Arial" w:hAnsi="Arial"/>
          <w:sz w:val="18"/>
          <w:szCs w:val="18"/>
          <w:b w:val="1"/>
          <w:bCs w:val="1"/>
          <w:color w:val="auto"/>
        </w:rPr>
        <w:t>Date of Report (Date of earliest event reported): February 17, 2010</w:t>
      </w:r>
    </w:p>
    <w:p>
      <w:pPr>
        <w:spacing w:after="0" w:line="200" w:lineRule="exact"/>
        <w:rPr>
          <w:sz w:val="24"/>
          <w:szCs w:val="24"/>
          <w:color w:val="auto"/>
        </w:rPr>
      </w:pPr>
    </w:p>
    <w:p>
      <w:pPr>
        <w:jc w:val="center"/>
        <w:ind w:right="551"/>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ind w:left="2808"/>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 w:type="dxa"/>
        <w:tblCellMar>
          <w:top w:w="0" w:type="dxa"/>
          <w:left w:w="0" w:type="dxa"/>
          <w:bottom w:w="0" w:type="dxa"/>
          <w:right w:w="0" w:type="dxa"/>
        </w:tblCellMar>
      </w:tblPr>
      <w:tr>
        <w:trPr>
          <w:trHeight w:val="234"/>
        </w:trPr>
        <w:tc>
          <w:tcPr>
            <w:tcW w:w="352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6"/>
              </w:rPr>
              <w:t>Wisconsin</w:t>
            </w:r>
          </w:p>
        </w:tc>
        <w:tc>
          <w:tcPr>
            <w:tcW w:w="2640" w:type="dxa"/>
            <w:vAlign w:val="bottom"/>
            <w:gridSpan w:val="3"/>
          </w:tcPr>
          <w:p>
            <w:pPr>
              <w:jc w:val="right"/>
              <w:ind w:right="1180"/>
              <w:spacing w:after="0"/>
              <w:rPr>
                <w:sz w:val="20"/>
                <w:szCs w:val="20"/>
                <w:color w:val="auto"/>
              </w:rPr>
            </w:pPr>
            <w:r>
              <w:rPr>
                <w:rFonts w:ascii="Arial" w:cs="Arial" w:eastAsia="Arial" w:hAnsi="Arial"/>
                <w:sz w:val="18"/>
                <w:szCs w:val="18"/>
                <w:b w:val="1"/>
                <w:bCs w:val="1"/>
                <w:color w:val="auto"/>
              </w:rPr>
              <w:t>1-14959</w:t>
            </w:r>
          </w:p>
        </w:tc>
        <w:tc>
          <w:tcPr>
            <w:tcW w:w="3160" w:type="dxa"/>
            <w:vAlign w:val="bottom"/>
            <w:gridSpan w:val="2"/>
          </w:tcPr>
          <w:p>
            <w:pPr>
              <w:jc w:val="right"/>
              <w:ind w:right="970"/>
              <w:spacing w:after="0"/>
              <w:rPr>
                <w:sz w:val="20"/>
                <w:szCs w:val="20"/>
                <w:color w:val="auto"/>
              </w:rPr>
            </w:pPr>
            <w:r>
              <w:rPr>
                <w:rFonts w:ascii="Arial" w:cs="Arial" w:eastAsia="Arial" w:hAnsi="Arial"/>
                <w:sz w:val="18"/>
                <w:szCs w:val="18"/>
                <w:b w:val="1"/>
                <w:bCs w:val="1"/>
                <w:color w:val="auto"/>
              </w:rPr>
              <w:t>39-0971239</w:t>
            </w:r>
          </w:p>
        </w:tc>
      </w:tr>
      <w:tr>
        <w:trPr>
          <w:trHeight w:val="209"/>
        </w:trPr>
        <w:tc>
          <w:tcPr>
            <w:tcW w:w="3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gridSpan w:val="3"/>
          </w:tcPr>
          <w:p>
            <w:pPr>
              <w:jc w:val="center"/>
              <w:ind w:right="340"/>
              <w:spacing w:after="0"/>
              <w:rPr>
                <w:sz w:val="20"/>
                <w:szCs w:val="20"/>
                <w:color w:val="auto"/>
              </w:rPr>
            </w:pPr>
            <w:r>
              <w:rPr>
                <w:rFonts w:ascii="Arial" w:cs="Arial" w:eastAsia="Arial" w:hAnsi="Arial"/>
                <w:sz w:val="18"/>
                <w:szCs w:val="18"/>
                <w:color w:val="auto"/>
                <w:w w:val="92"/>
              </w:rPr>
              <w:t>(Commission File Number)</w:t>
            </w:r>
          </w:p>
        </w:tc>
        <w:tc>
          <w:tcPr>
            <w:tcW w:w="180" w:type="dxa"/>
            <w:vAlign w:val="bottom"/>
          </w:tcPr>
          <w:p>
            <w:pPr>
              <w:spacing w:after="0"/>
              <w:rPr>
                <w:sz w:val="18"/>
                <w:szCs w:val="18"/>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520" w:type="dxa"/>
            <w:vAlign w:val="bottom"/>
            <w:gridSpan w:val="3"/>
          </w:tcPr>
          <w:p>
            <w:pPr>
              <w:jc w:val="center"/>
              <w:ind w:right="540"/>
              <w:spacing w:after="0"/>
              <w:rPr>
                <w:sz w:val="20"/>
                <w:szCs w:val="20"/>
                <w:color w:val="auto"/>
              </w:rPr>
            </w:pPr>
            <w:r>
              <w:rPr>
                <w:rFonts w:ascii="Arial" w:cs="Arial" w:eastAsia="Arial" w:hAnsi="Arial"/>
                <w:sz w:val="18"/>
                <w:szCs w:val="18"/>
                <w:color w:val="auto"/>
                <w:w w:val="93"/>
              </w:rPr>
              <w:t>of incorporation)</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4"/>
        </w:trPr>
        <w:tc>
          <w:tcPr>
            <w:tcW w:w="352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89"/>
              </w:rPr>
              <w:t>6555 West Good Hope Road</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4"/>
        </w:trPr>
        <w:tc>
          <w:tcPr>
            <w:tcW w:w="352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b w:val="1"/>
                <w:bCs w:val="1"/>
                <w:color w:val="auto"/>
                <w:w w:val="90"/>
              </w:rPr>
              <w:t>Milwaukee, Wisconsin</w:t>
            </w:r>
          </w:p>
        </w:tc>
        <w:tc>
          <w:tcPr>
            <w:tcW w:w="10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2"/>
          </w:tcPr>
          <w:p>
            <w:pPr>
              <w:jc w:val="right"/>
              <w:ind w:right="1970"/>
              <w:spacing w:after="0"/>
              <w:rPr>
                <w:sz w:val="20"/>
                <w:szCs w:val="20"/>
                <w:color w:val="auto"/>
              </w:rPr>
            </w:pPr>
            <w:r>
              <w:rPr>
                <w:rFonts w:ascii="Arial" w:cs="Arial" w:eastAsia="Arial" w:hAnsi="Arial"/>
                <w:sz w:val="18"/>
                <w:szCs w:val="18"/>
                <w:b w:val="1"/>
                <w:bCs w:val="1"/>
                <w:color w:val="auto"/>
              </w:rPr>
              <w:t>53223</w:t>
            </w:r>
          </w:p>
        </w:tc>
      </w:tr>
      <w:tr>
        <w:trPr>
          <w:trHeight w:val="224"/>
        </w:trPr>
        <w:tc>
          <w:tcPr>
            <w:tcW w:w="456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tcPr>
          <w:p>
            <w:pPr>
              <w:jc w:val="center"/>
              <w:ind w:right="1510"/>
              <w:spacing w:after="0"/>
              <w:rPr>
                <w:sz w:val="20"/>
                <w:szCs w:val="20"/>
                <w:color w:val="auto"/>
              </w:rPr>
            </w:pPr>
            <w:r>
              <w:rPr>
                <w:rFonts w:ascii="Arial" w:cs="Arial" w:eastAsia="Arial" w:hAnsi="Arial"/>
                <w:sz w:val="18"/>
                <w:szCs w:val="18"/>
                <w:color w:val="auto"/>
                <w:w w:val="91"/>
              </w:rPr>
              <w:t>(Zip Code)</w:t>
            </w:r>
          </w:p>
        </w:tc>
      </w:tr>
    </w:tbl>
    <w:p>
      <w:pPr>
        <w:spacing w:after="0" w:line="197"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358-6600</w:t>
      </w:r>
    </w:p>
    <w:p>
      <w:pPr>
        <w:spacing w:after="0" w:line="229" w:lineRule="exact"/>
        <w:rPr>
          <w:sz w:val="24"/>
          <w:szCs w:val="24"/>
          <w:color w:val="auto"/>
        </w:rPr>
      </w:pPr>
    </w:p>
    <w:p>
      <w:pPr>
        <w:jc w:val="both"/>
        <w:ind w:left="8"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9258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342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313055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22" w:right="1440" w:bottom="1440" w:gutter="0" w:footer="0" w:header="0"/>
        </w:sectPr>
      </w:pPr>
    </w:p>
    <w:bookmarkStart w:id="1" w:name="page2"/>
    <w:bookmarkEnd w:id="1"/>
    <w:p>
      <w:pPr>
        <w:ind w:left="340"/>
        <w:spacing w:after="0"/>
        <w:rPr>
          <w:sz w:val="20"/>
          <w:szCs w:val="20"/>
          <w:color w:val="auto"/>
        </w:rPr>
      </w:pPr>
      <w:r>
        <w:rPr>
          <w:rFonts w:ascii="Arial" w:cs="Arial" w:eastAsia="Arial" w:hAnsi="Arial"/>
          <w:sz w:val="18"/>
          <w:szCs w:val="18"/>
          <w:color w:val="auto"/>
        </w:rPr>
        <w:t>Item 2.02 RESULTS OF OPERATIONS AND FINANCIAL CONDITION</w:t>
      </w:r>
    </w:p>
    <w:p>
      <w:pPr>
        <w:spacing w:after="0" w:line="198" w:lineRule="exact"/>
        <w:rPr>
          <w:sz w:val="20"/>
          <w:szCs w:val="20"/>
          <w:color w:val="auto"/>
        </w:rPr>
      </w:pPr>
    </w:p>
    <w:p>
      <w:pPr>
        <w:ind w:left="340" w:right="2160" w:firstLine="373"/>
        <w:spacing w:after="0" w:line="264" w:lineRule="auto"/>
        <w:rPr>
          <w:sz w:val="20"/>
          <w:szCs w:val="20"/>
          <w:color w:val="auto"/>
        </w:rPr>
      </w:pPr>
      <w:r>
        <w:rPr>
          <w:rFonts w:ascii="Arial" w:cs="Arial" w:eastAsia="Arial" w:hAnsi="Arial"/>
          <w:sz w:val="18"/>
          <w:szCs w:val="18"/>
          <w:color w:val="auto"/>
        </w:rPr>
        <w:t>On February 19, 2010, Brady Corporation (the “Corporation”) issued a press release announcing its fiscal 2010 second quarter financial results. A copy of the press release is being furnished to the Securities and Exchange Commission as Exhibit 99.1 attached hereto and is incorporated herein by reference.</w:t>
      </w:r>
    </w:p>
    <w:p>
      <w:pPr>
        <w:spacing w:after="0" w:line="141" w:lineRule="exact"/>
        <w:rPr>
          <w:sz w:val="20"/>
          <w:szCs w:val="20"/>
          <w:color w:val="auto"/>
        </w:rPr>
      </w:pPr>
    </w:p>
    <w:p>
      <w:pPr>
        <w:ind w:left="340" w:right="2100"/>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30" w:lineRule="exact"/>
        <w:rPr>
          <w:sz w:val="20"/>
          <w:szCs w:val="20"/>
          <w:color w:val="auto"/>
        </w:rPr>
      </w:pPr>
    </w:p>
    <w:p>
      <w:pPr>
        <w:ind w:left="340" w:right="1780" w:hanging="8"/>
        <w:spacing w:after="0" w:line="288" w:lineRule="auto"/>
        <w:tabs>
          <w:tab w:leader="none" w:pos="585" w:val="left"/>
        </w:tabs>
        <w:numPr>
          <w:ilvl w:val="0"/>
          <w:numId w:val="2"/>
        </w:numPr>
        <w:rPr>
          <w:rFonts w:ascii="Arial" w:cs="Arial" w:eastAsia="Arial" w:hAnsi="Arial"/>
          <w:sz w:val="16"/>
          <w:szCs w:val="16"/>
          <w:color w:val="auto"/>
        </w:rPr>
      </w:pPr>
      <w:r>
        <w:rPr>
          <w:rFonts w:ascii="Arial" w:cs="Arial" w:eastAsia="Arial" w:hAnsi="Arial"/>
          <w:sz w:val="16"/>
          <w:szCs w:val="16"/>
          <w:color w:val="auto"/>
        </w:rPr>
        <w:t>Effective February 17, 2010, the Compensation Committee of the Board of Directors of the Corporation approved an amendment to the granting agreement under which the Corporation issued performance-based stock options on August 1, 2005. Pursuant to the amendment, the exercise period for the performance-based stock options has been extended to ten years from five years. Also, the amendment provides that during the extension period, executives may exercise the performance-based stock options following a termination only if the termination is as a result of the executive’s death or disability or qualifies as a retirement. The foregoing summary is qualified in its entirety by the text of the form of amendment to the granting agreement, a copy of which is attached hereto as Exhibit 10.1 and is incorporated herein by reference. The Corporation’s Chief Executive Officer, Chief Financial Officer, and three of its named executive officers currently have the following exercisable performance-based stock options affected by this amendment: Frank M. Jaehnert, 60,000 options; Thomas J. Felmer, 30,000 options; Peter C. Sephton, 30,000 options; Matthew O. Williamson, 30,000 options; and Allan J. Klotsche, 30,000 options.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9.01 FINANCIAL STATEMENTS AND EXHIBITS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filed as Exhibits to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440" w:type="dxa"/>
            <w:vAlign w:val="bottom"/>
          </w:tcPr>
          <w:p>
            <w:pPr>
              <w:spacing w:after="0"/>
              <w:rPr>
                <w:sz w:val="20"/>
                <w:szCs w:val="20"/>
                <w:color w:val="auto"/>
              </w:rPr>
            </w:pPr>
          </w:p>
        </w:tc>
        <w:tc>
          <w:tcPr>
            <w:tcW w:w="8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c>
          <w:tcPr>
            <w:tcW w:w="1760" w:type="dxa"/>
            <w:vAlign w:val="bottom"/>
          </w:tcPr>
          <w:p>
            <w:pPr>
              <w:spacing w:after="0"/>
              <w:rPr>
                <w:sz w:val="20"/>
                <w:szCs w:val="20"/>
                <w:color w:val="auto"/>
              </w:rPr>
            </w:pPr>
          </w:p>
        </w:tc>
      </w:tr>
      <w:tr>
        <w:trPr>
          <w:trHeight w:val="411"/>
        </w:trPr>
        <w:tc>
          <w:tcPr>
            <w:tcW w:w="3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44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92"/>
              </w:rPr>
              <w:t>Press Release of Brady Corporation, dated February 19, 2010, relating to fiscal 2010 second quarter financial</w:t>
            </w: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results.</w:t>
            </w: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4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93"/>
              </w:rPr>
              <w:t>Form of Amendment, dated February 17, 2010, to granting agreement for performance-based stock options</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91"/>
              </w:rPr>
              <w:t>issued on August 1, 2005 to Frank M. Jaehnert, Thomas J. Felmer, Peter C. Sephton, Matthew O. Williamson,</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and Allan J. Klotsche.</w:t>
            </w:r>
          </w:p>
        </w:tc>
        <w:tc>
          <w:tcPr>
            <w:tcW w:w="1760" w:type="dxa"/>
            <w:vAlign w:val="bottom"/>
          </w:tcPr>
          <w:p>
            <w:pPr>
              <w:spacing w:after="0"/>
              <w:rPr>
                <w:sz w:val="20"/>
                <w:szCs w:val="20"/>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0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 w:name="page3"/>
    <w:bookmarkEnd w:id="2"/>
    <w:p>
      <w:pPr>
        <w:jc w:val="center"/>
        <w:ind w:right="1420"/>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ind w:left="340" w:right="19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BRADY CORPORATION</w:t>
            </w:r>
          </w:p>
        </w:tc>
        <w:tc>
          <w:tcPr>
            <w:tcW w:w="3140" w:type="dxa"/>
            <w:vAlign w:val="bottom"/>
          </w:tcPr>
          <w:p>
            <w:pPr>
              <w:spacing w:after="0"/>
              <w:rPr>
                <w:sz w:val="20"/>
                <w:szCs w:val="20"/>
                <w:color w:val="auto"/>
              </w:rPr>
            </w:pPr>
          </w:p>
        </w:tc>
      </w:tr>
      <w:tr>
        <w:trPr>
          <w:trHeight w:val="432"/>
        </w:trPr>
        <w:tc>
          <w:tcPr>
            <w:tcW w:w="4820" w:type="dxa"/>
            <w:vAlign w:val="bottom"/>
          </w:tcPr>
          <w:p>
            <w:pPr>
              <w:ind w:left="340"/>
              <w:spacing w:after="0"/>
              <w:rPr>
                <w:sz w:val="20"/>
                <w:szCs w:val="20"/>
                <w:color w:val="auto"/>
              </w:rPr>
            </w:pPr>
            <w:r>
              <w:rPr>
                <w:rFonts w:ascii="Arial" w:cs="Arial" w:eastAsia="Arial" w:hAnsi="Arial"/>
                <w:sz w:val="18"/>
                <w:szCs w:val="18"/>
                <w:color w:val="auto"/>
              </w:rPr>
              <w:t>Date: February 23, 2010</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c>
          <w:tcPr>
            <w:tcW w:w="3140" w:type="dxa"/>
            <w:vAlign w:val="bottom"/>
          </w:tcPr>
          <w:p>
            <w:pPr>
              <w:spacing w:after="0"/>
              <w:rPr>
                <w:sz w:val="24"/>
                <w:szCs w:val="24"/>
                <w:color w:val="auto"/>
              </w:rPr>
            </w:pPr>
          </w:p>
        </w:tc>
      </w:tr>
      <w:tr>
        <w:trPr>
          <w:trHeight w:val="195"/>
        </w:trPr>
        <w:tc>
          <w:tcPr>
            <w:tcW w:w="482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Thomas J. Felmer</w:t>
            </w:r>
          </w:p>
        </w:tc>
        <w:tc>
          <w:tcPr>
            <w:tcW w:w="3140" w:type="dxa"/>
            <w:vAlign w:val="bottom"/>
          </w:tcPr>
          <w:p>
            <w:pPr>
              <w:spacing w:after="0"/>
              <w:rPr>
                <w:sz w:val="16"/>
                <w:szCs w:val="16"/>
                <w:color w:val="auto"/>
              </w:rPr>
            </w:pPr>
          </w:p>
        </w:tc>
      </w:tr>
      <w:tr>
        <w:trPr>
          <w:trHeight w:val="216"/>
        </w:trPr>
        <w:tc>
          <w:tcPr>
            <w:tcW w:w="4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Senior Vice President &amp;</w:t>
            </w:r>
          </w:p>
        </w:tc>
        <w:tc>
          <w:tcPr>
            <w:tcW w:w="3140" w:type="dxa"/>
            <w:vAlign w:val="bottom"/>
          </w:tcPr>
          <w:p>
            <w:pPr>
              <w:spacing w:after="0"/>
              <w:rPr>
                <w:sz w:val="18"/>
                <w:szCs w:val="18"/>
                <w:color w:val="auto"/>
              </w:rPr>
            </w:pPr>
          </w:p>
        </w:tc>
      </w:tr>
      <w:tr>
        <w:trPr>
          <w:trHeight w:val="230"/>
        </w:trPr>
        <w:tc>
          <w:tcPr>
            <w:tcW w:w="48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140" w:type="dxa"/>
            <w:vAlign w:val="bottom"/>
          </w:tcPr>
          <w:p>
            <w:pPr>
              <w:spacing w:after="0"/>
              <w:rPr>
                <w:sz w:val="20"/>
                <w:szCs w:val="20"/>
                <w:color w:val="auto"/>
              </w:rPr>
            </w:pPr>
          </w:p>
        </w:tc>
      </w:tr>
      <w:tr>
        <w:trPr>
          <w:trHeight w:val="618"/>
        </w:trPr>
        <w:tc>
          <w:tcPr>
            <w:tcW w:w="482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120" w:type="dxa"/>
            <w:vAlign w:val="bottom"/>
          </w:tcPr>
          <w:p>
            <w:pPr>
              <w:ind w:left="2800"/>
              <w:spacing w:after="0"/>
              <w:rPr>
                <w:sz w:val="20"/>
                <w:szCs w:val="20"/>
                <w:color w:val="auto"/>
              </w:rPr>
            </w:pPr>
            <w:r>
              <w:rPr>
                <w:rFonts w:ascii="Arial" w:cs="Arial" w:eastAsia="Arial" w:hAnsi="Arial"/>
                <w:sz w:val="18"/>
                <w:szCs w:val="18"/>
                <w:color w:val="auto"/>
              </w:rPr>
              <w:t>EXHIBIT INDEX</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EXHIBIT</w:t>
            </w:r>
          </w:p>
        </w:tc>
        <w:tc>
          <w:tcPr>
            <w:tcW w:w="420" w:type="dxa"/>
            <w:vAlign w:val="bottom"/>
          </w:tcPr>
          <w:p>
            <w:pPr>
              <w:spacing w:after="0"/>
              <w:rPr>
                <w:sz w:val="24"/>
                <w:szCs w:val="24"/>
                <w:color w:val="auto"/>
              </w:rPr>
            </w:pPr>
          </w:p>
        </w:tc>
        <w:tc>
          <w:tcPr>
            <w:tcW w:w="8120" w:type="dxa"/>
            <w:vAlign w:val="bottom"/>
          </w:tcPr>
          <w:p>
            <w:pPr>
              <w:spacing w:after="0"/>
              <w:rPr>
                <w:sz w:val="24"/>
                <w:szCs w:val="24"/>
                <w:color w:val="auto"/>
              </w:rPr>
            </w:pPr>
          </w:p>
        </w:tc>
      </w:tr>
      <w:tr>
        <w:trPr>
          <w:trHeight w:val="230"/>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NUMBER</w:t>
            </w:r>
          </w:p>
        </w:tc>
        <w:tc>
          <w:tcPr>
            <w:tcW w:w="420" w:type="dxa"/>
            <w:vAlign w:val="bottom"/>
          </w:tcPr>
          <w:p>
            <w:pPr>
              <w:spacing w:after="0"/>
              <w:rPr>
                <w:sz w:val="20"/>
                <w:szCs w:val="20"/>
                <w:color w:val="auto"/>
              </w:rPr>
            </w:pPr>
          </w:p>
        </w:tc>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195"/>
        </w:trPr>
        <w:tc>
          <w:tcPr>
            <w:tcW w:w="780" w:type="dxa"/>
            <w:vAlign w:val="bottom"/>
          </w:tcPr>
          <w:p>
            <w:pPr>
              <w:jc w:val="center"/>
              <w:spacing w:after="0" w:line="195" w:lineRule="exact"/>
              <w:rPr>
                <w:sz w:val="20"/>
                <w:szCs w:val="20"/>
                <w:color w:val="auto"/>
              </w:rPr>
            </w:pPr>
            <w:r>
              <w:rPr>
                <w:rFonts w:ascii="Arial" w:cs="Arial" w:eastAsia="Arial" w:hAnsi="Arial"/>
                <w:sz w:val="18"/>
                <w:szCs w:val="18"/>
                <w:color w:val="auto"/>
                <w:w w:val="91"/>
              </w:rPr>
              <w:t>99.1</w:t>
            </w:r>
          </w:p>
        </w:tc>
        <w:tc>
          <w:tcPr>
            <w:tcW w:w="420" w:type="dxa"/>
            <w:vAlign w:val="bottom"/>
          </w:tcPr>
          <w:p>
            <w:pPr>
              <w:spacing w:after="0"/>
              <w:rPr>
                <w:sz w:val="16"/>
                <w:szCs w:val="16"/>
                <w:color w:val="auto"/>
              </w:rPr>
            </w:pPr>
          </w:p>
        </w:tc>
        <w:tc>
          <w:tcPr>
            <w:tcW w:w="8120" w:type="dxa"/>
            <w:vAlign w:val="bottom"/>
          </w:tcPr>
          <w:p>
            <w:pPr>
              <w:spacing w:after="0" w:line="195" w:lineRule="exact"/>
              <w:rPr>
                <w:sz w:val="20"/>
                <w:szCs w:val="20"/>
                <w:color w:val="auto"/>
              </w:rPr>
            </w:pPr>
            <w:r>
              <w:rPr>
                <w:rFonts w:ascii="Arial" w:cs="Arial" w:eastAsia="Arial" w:hAnsi="Arial"/>
                <w:sz w:val="18"/>
                <w:szCs w:val="18"/>
                <w:color w:val="auto"/>
                <w:w w:val="92"/>
              </w:rPr>
              <w:t>Press Release of Brady Corporation, dated February 19, 2010, relating to fiscal 2010 second quarter financial</w:t>
            </w:r>
          </w:p>
        </w:tc>
      </w:tr>
      <w:tr>
        <w:trPr>
          <w:trHeight w:val="230"/>
        </w:trPr>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results.</w:t>
            </w:r>
          </w:p>
        </w:tc>
      </w:tr>
      <w:tr>
        <w:trPr>
          <w:trHeight w:val="418"/>
        </w:trPr>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20" w:type="dxa"/>
            <w:vAlign w:val="bottom"/>
          </w:tcPr>
          <w:p>
            <w:pPr>
              <w:spacing w:after="0"/>
              <w:rPr>
                <w:sz w:val="24"/>
                <w:szCs w:val="24"/>
                <w:color w:val="auto"/>
              </w:rPr>
            </w:pPr>
          </w:p>
        </w:tc>
        <w:tc>
          <w:tcPr>
            <w:tcW w:w="8120" w:type="dxa"/>
            <w:vAlign w:val="bottom"/>
          </w:tcPr>
          <w:p>
            <w:pPr>
              <w:spacing w:after="0"/>
              <w:rPr>
                <w:sz w:val="20"/>
                <w:szCs w:val="20"/>
                <w:color w:val="auto"/>
              </w:rPr>
            </w:pPr>
            <w:r>
              <w:rPr>
                <w:rFonts w:ascii="Arial" w:cs="Arial" w:eastAsia="Arial" w:hAnsi="Arial"/>
                <w:sz w:val="18"/>
                <w:szCs w:val="18"/>
                <w:color w:val="auto"/>
                <w:w w:val="94"/>
              </w:rPr>
              <w:t>Form of Amendment, dated February 17, 2010, to granting agreement for performance-based stock options</w:t>
            </w:r>
          </w:p>
        </w:tc>
      </w:tr>
      <w:tr>
        <w:trPr>
          <w:trHeight w:val="216"/>
        </w:trPr>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w w:val="92"/>
              </w:rPr>
              <w:t>issued on August 1, 2005 to Frank M. Jaehnert, Thomas J. Felmer, Peter C. Sephton, Matthew O. Williamson,</w:t>
            </w:r>
          </w:p>
        </w:tc>
      </w:tr>
      <w:tr>
        <w:trPr>
          <w:trHeight w:val="230"/>
        </w:trPr>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and Allan J. Klotsche.</w:t>
            </w:r>
          </w:p>
        </w:tc>
      </w:tr>
    </w:tbl>
    <w:p>
      <w:pPr>
        <w:sectPr>
          <w:pgSz w:w="11900" w:h="16838" w:orient="portrait"/>
          <w:cols w:equalWidth="0" w:num="1">
            <w:col w:w="9879"/>
          </w:cols>
          <w:pgMar w:left="580" w:top="1341" w:right="1440" w:bottom="1440" w:gutter="0" w:footer="0" w:header="0"/>
        </w:sectPr>
      </w:pPr>
    </w:p>
    <w:bookmarkStart w:id="4" w:name="page5"/>
    <w:bookmarkEnd w:id="4"/>
    <w:p>
      <w:pPr>
        <w:ind w:left="8400"/>
        <w:spacing w:after="0"/>
        <w:rPr>
          <w:sz w:val="20"/>
          <w:szCs w:val="20"/>
          <w:color w:val="auto"/>
        </w:rPr>
      </w:pPr>
      <w:r>
        <w:rPr>
          <w:rFonts w:ascii="Arial" w:cs="Arial" w:eastAsia="Arial" w:hAnsi="Arial"/>
          <w:sz w:val="16"/>
          <w:szCs w:val="16"/>
          <w:b w:val="1"/>
          <w:bCs w:val="1"/>
          <w:color w:val="auto"/>
        </w:rPr>
        <w:t>Exhibit 10.1</w:t>
      </w:r>
    </w:p>
    <w:p>
      <w:pPr>
        <w:spacing w:after="0" w:line="20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FORM OF AMENDMENT TO</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2005 NONQUALIFIED STOCK OPTION AGREEMENT</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UNDER THE BRADY CORPORATION 2004 OMNIBUS INCENTIVE STOCK PLAN</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amended on February 17, 2010)</w:t>
      </w:r>
    </w:p>
    <w:p>
      <w:pPr>
        <w:spacing w:after="0" w:line="184" w:lineRule="exact"/>
        <w:rPr>
          <w:sz w:val="20"/>
          <w:szCs w:val="20"/>
          <w:color w:val="auto"/>
        </w:rPr>
      </w:pPr>
    </w:p>
    <w:p>
      <w:pPr>
        <w:ind w:right="1139" w:firstLine="747"/>
        <w:spacing w:after="0" w:line="277" w:lineRule="auto"/>
        <w:rPr>
          <w:sz w:val="20"/>
          <w:szCs w:val="20"/>
          <w:color w:val="auto"/>
        </w:rPr>
      </w:pPr>
      <w:r>
        <w:rPr>
          <w:rFonts w:ascii="Arial" w:cs="Arial" w:eastAsia="Arial" w:hAnsi="Arial"/>
          <w:sz w:val="18"/>
          <w:szCs w:val="18"/>
          <w:color w:val="auto"/>
        </w:rPr>
        <w:t>The following sets forth an amendment to the August 1, 2005 performance stock option grants under the Brady Corporation 2004 Omnibus Incentive Stock Plan (the “2005 Grants”).</w:t>
      </w:r>
    </w:p>
    <w:p>
      <w:pPr>
        <w:spacing w:after="0" w:line="13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Section 7 of the 2005 Grants is amended to read as follows:</w:t>
      </w:r>
    </w:p>
    <w:p>
      <w:pPr>
        <w:spacing w:after="0" w:line="185" w:lineRule="exact"/>
        <w:rPr>
          <w:sz w:val="20"/>
          <w:szCs w:val="20"/>
          <w:color w:val="auto"/>
        </w:rPr>
      </w:pPr>
    </w:p>
    <w:p>
      <w:pPr>
        <w:ind w:left="360" w:right="559"/>
        <w:spacing w:after="0" w:line="257" w:lineRule="auto"/>
        <w:rPr>
          <w:sz w:val="20"/>
          <w:szCs w:val="20"/>
          <w:color w:val="auto"/>
        </w:rPr>
      </w:pPr>
      <w:r>
        <w:rPr>
          <w:rFonts w:ascii="Arial" w:cs="Arial" w:eastAsia="Arial" w:hAnsi="Arial"/>
          <w:sz w:val="18"/>
          <w:szCs w:val="18"/>
          <w:color w:val="auto"/>
        </w:rPr>
        <w:t>“This Option shall expire five years after the date on which this Option was granted; provided, however that if Employee continues in employment through August 1, 2010, the Option shall thereafter expire upon the earliest of: (a) one year after the date on which the Employee terminates employment as a result of death, disability or retirement (all as described in Section 3), (b) the date on which the Employee terminates employment for any other reason or (c) ten years after the date on which this Option was granted.”</w:t>
      </w:r>
    </w:p>
    <w:p>
      <w:pPr>
        <w:sectPr>
          <w:pgSz w:w="11900" w:h="16838" w:orient="portrait"/>
          <w:cols w:equalWidth="0" w:num="1">
            <w:col w:w="9879"/>
          </w:cols>
          <w:pgMar w:left="580" w:top="121" w:right="1440" w:bottom="1440" w:gutter="0" w:footer="0" w:header="0"/>
        </w:sectPr>
      </w:pPr>
    </w:p>
    <w:bookmarkStart w:id="5" w:name="page6"/>
    <w:bookmarkEnd w:id="5"/>
    <w:p>
      <w:pPr>
        <w:jc w:val="right"/>
        <w:ind w:right="559"/>
        <w:spacing w:after="0"/>
        <w:rPr>
          <w:sz w:val="20"/>
          <w:szCs w:val="20"/>
          <w:color w:val="auto"/>
        </w:rPr>
      </w:pPr>
      <w:r>
        <w:rPr>
          <w:rFonts w:ascii="Arial" w:cs="Arial" w:eastAsia="Arial" w:hAnsi="Arial"/>
          <w:sz w:val="18"/>
          <w:szCs w:val="18"/>
          <w:b w:val="1"/>
          <w:bCs w:val="1"/>
          <w:color w:val="auto"/>
        </w:rPr>
        <w:t>Exhibit 99.1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Aaron Pearce 414-438-6895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2010 second quarter results</w:t>
      </w:r>
    </w:p>
    <w:p>
      <w:pPr>
        <w:spacing w:after="0" w:line="189" w:lineRule="exact"/>
        <w:rPr>
          <w:sz w:val="20"/>
          <w:szCs w:val="20"/>
          <w:color w:val="auto"/>
        </w:rPr>
      </w:pPr>
    </w:p>
    <w:p>
      <w:pPr>
        <w:ind w:right="699"/>
        <w:spacing w:after="0" w:line="277" w:lineRule="auto"/>
        <w:rPr>
          <w:sz w:val="20"/>
          <w:szCs w:val="20"/>
          <w:color w:val="auto"/>
        </w:rPr>
      </w:pPr>
      <w:r>
        <w:rPr>
          <w:rFonts w:ascii="Arial" w:cs="Arial" w:eastAsia="Arial" w:hAnsi="Arial"/>
          <w:sz w:val="18"/>
          <w:szCs w:val="18"/>
          <w:color w:val="auto"/>
        </w:rPr>
        <w:t>MILWAUKEE (February 19, 2010)—Brady Corporation (NYSE: BRC), a world leader in identification solutions, reports sales and earnings for its fiscal 2010 second quarter ended January 31, 2010.</w:t>
      </w:r>
    </w:p>
    <w:p>
      <w:pPr>
        <w:spacing w:after="0" w:line="130" w:lineRule="exact"/>
        <w:rPr>
          <w:sz w:val="20"/>
          <w:szCs w:val="20"/>
          <w:color w:val="auto"/>
        </w:rPr>
      </w:pPr>
    </w:p>
    <w:p>
      <w:pPr>
        <w:ind w:right="639" w:firstLine="373"/>
        <w:spacing w:after="0" w:line="259" w:lineRule="auto"/>
        <w:rPr>
          <w:sz w:val="20"/>
          <w:szCs w:val="20"/>
          <w:color w:val="auto"/>
        </w:rPr>
      </w:pPr>
      <w:r>
        <w:rPr>
          <w:rFonts w:ascii="Arial" w:cs="Arial" w:eastAsia="Arial" w:hAnsi="Arial"/>
          <w:sz w:val="18"/>
          <w:szCs w:val="18"/>
          <w:color w:val="auto"/>
        </w:rPr>
        <w:t>Sales for the quarter were up 11.0 percent to $295.8 million compared to $266.4 million in the second quarter of fiscal 2009. Organic sales were up 2.9 percent, acquisitions contributed 0.9 percent to sales, and the impact of foreign currency translation improved sales by 7.2 percent. By segment, organic sales declined 4.3 percent in the Americas, 1.6 percent in Europe and were up 25.7 percent in the Asia-Pacific region.</w:t>
      </w:r>
    </w:p>
    <w:p>
      <w:pPr>
        <w:spacing w:after="0" w:line="160" w:lineRule="exact"/>
        <w:rPr>
          <w:sz w:val="20"/>
          <w:szCs w:val="20"/>
          <w:color w:val="auto"/>
        </w:rPr>
      </w:pPr>
    </w:p>
    <w:p>
      <w:pPr>
        <w:ind w:right="819" w:firstLine="373"/>
        <w:spacing w:after="0" w:line="297" w:lineRule="auto"/>
        <w:rPr>
          <w:sz w:val="20"/>
          <w:szCs w:val="20"/>
          <w:color w:val="auto"/>
        </w:rPr>
      </w:pPr>
      <w:r>
        <w:rPr>
          <w:rFonts w:ascii="Arial" w:cs="Arial" w:eastAsia="Arial" w:hAnsi="Arial"/>
          <w:sz w:val="16"/>
          <w:szCs w:val="16"/>
          <w:color w:val="auto"/>
        </w:rPr>
        <w:t>Net income for the quarter was $15.0 million compared to a net loss of $4.2 million in the fiscal 2009 second quarter. Excluding restructuring charges, net income in the quarter was up 79.4 percent from $9.8 million in the fiscal 2009 second quarter to $17.6 million this quarter. Earnings per diluted Class A Common share were $0.28 in the quarter compared to a net loss of $0.08 per share in the fiscal 2009 second quarter. 2010 results include after-tax restructuring charges of $2.6 million or $0.05 per diluted share; 2009 results include after-tax restructuring charges of $14.0 million or $0.27 per diluted share.</w:t>
      </w:r>
    </w:p>
    <w:p>
      <w:pPr>
        <w:spacing w:after="0" w:line="118" w:lineRule="exact"/>
        <w:rPr>
          <w:sz w:val="20"/>
          <w:szCs w:val="20"/>
          <w:color w:val="auto"/>
        </w:rPr>
      </w:pPr>
    </w:p>
    <w:p>
      <w:pPr>
        <w:ind w:right="659" w:firstLine="373"/>
        <w:spacing w:after="0" w:line="255" w:lineRule="auto"/>
        <w:rPr>
          <w:sz w:val="20"/>
          <w:szCs w:val="20"/>
          <w:color w:val="auto"/>
        </w:rPr>
      </w:pPr>
      <w:r>
        <w:rPr>
          <w:rFonts w:ascii="Arial" w:cs="Arial" w:eastAsia="Arial" w:hAnsi="Arial"/>
          <w:sz w:val="18"/>
          <w:szCs w:val="18"/>
          <w:color w:val="auto"/>
        </w:rPr>
        <w:t>Sales for the six months ended January 31, 2010 were $614.3 million compared to $644.8 million in the same period last year. Net income for the first six months of fiscal 2010 was $36.7 million compared to $33.0 million in the same period in fiscal 2009. For the six-month period, earnings per diluted Class A Common share were $0.69 compared to $0.62 in the prior year. Results include after-tax restructuring charges of $5.2 million or $0.10 per diluted share for the six-month period ended January 31, 2010 and $15.2 million or $0.29 per diluted share for the six month period ended January 31, 2009. Excluding the after-tax impact of restructuring charges, six-month earnings per diluted share were $0.79, compared to $0.91 in the first-half of fiscal 2009.</w:t>
      </w:r>
    </w:p>
    <w:p>
      <w:pPr>
        <w:spacing w:after="0" w:line="149" w:lineRule="exact"/>
        <w:rPr>
          <w:sz w:val="20"/>
          <w:szCs w:val="20"/>
          <w:color w:val="auto"/>
        </w:rPr>
      </w:pPr>
    </w:p>
    <w:p>
      <w:pPr>
        <w:jc w:val="both"/>
        <w:ind w:right="599" w:firstLine="373"/>
        <w:spacing w:after="0" w:line="259" w:lineRule="auto"/>
        <w:rPr>
          <w:sz w:val="20"/>
          <w:szCs w:val="20"/>
          <w:color w:val="auto"/>
        </w:rPr>
      </w:pPr>
      <w:r>
        <w:rPr>
          <w:rFonts w:ascii="Arial" w:cs="Arial" w:eastAsia="Arial" w:hAnsi="Arial"/>
          <w:sz w:val="18"/>
          <w:szCs w:val="18"/>
          <w:color w:val="auto"/>
        </w:rPr>
        <w:t>“I’m encouraged to see our quarterly organic sales improve on a year-over-year basis, fueled by growth in our Asia-Pacific business. I’m also pleased with the continued improvement in our gross margin. However, we remain cautious about the stability of the global economy and we continue our vigilance on cost controls while continuing to strategically invest in our future,” said Frank M. Jaehnert, Brady’s President and Chief Executive Officer.</w:t>
      </w:r>
    </w:p>
    <w:p>
      <w:pPr>
        <w:spacing w:after="0" w:line="160" w:lineRule="exact"/>
        <w:rPr>
          <w:sz w:val="20"/>
          <w:szCs w:val="20"/>
          <w:color w:val="auto"/>
        </w:rPr>
      </w:pPr>
    </w:p>
    <w:p>
      <w:pPr>
        <w:ind w:right="819" w:firstLine="373"/>
        <w:spacing w:after="0" w:line="257" w:lineRule="auto"/>
        <w:rPr>
          <w:sz w:val="20"/>
          <w:szCs w:val="20"/>
          <w:color w:val="auto"/>
        </w:rPr>
      </w:pPr>
      <w:r>
        <w:rPr>
          <w:rFonts w:ascii="Arial" w:cs="Arial" w:eastAsia="Arial" w:hAnsi="Arial"/>
          <w:sz w:val="18"/>
          <w:szCs w:val="18"/>
          <w:color w:val="auto"/>
        </w:rPr>
        <w:t>“Our cash position remains strong at $206 million, and our balance sheet continues to provide us flexibility to take advantage of opportunities for future investments, including new product development, other core growth initiatives and acquisitions,” said Brady Chief Financial Officer, Thomas J. Felmer. “We are reiterating our guidance range for net income of $85 to $95 million and earnings per diluted share of $1.60 to $1.80, excluding pretax restructuring charges of $15 million and $0.20 per diluted share.”</w:t>
      </w:r>
    </w:p>
    <w:p>
      <w:pPr>
        <w:spacing w:after="0" w:line="148" w:lineRule="exact"/>
        <w:rPr>
          <w:sz w:val="20"/>
          <w:szCs w:val="20"/>
          <w:color w:val="auto"/>
        </w:rPr>
      </w:pPr>
    </w:p>
    <w:p>
      <w:pPr>
        <w:ind w:right="679" w:firstLine="373"/>
        <w:spacing w:after="0" w:line="277" w:lineRule="auto"/>
        <w:rPr>
          <w:sz w:val="20"/>
          <w:szCs w:val="20"/>
          <w:color w:val="auto"/>
        </w:rPr>
      </w:pPr>
      <w:r>
        <w:rPr>
          <w:rFonts w:ascii="Arial" w:cs="Arial" w:eastAsia="Arial" w:hAnsi="Arial"/>
          <w:sz w:val="18"/>
          <w:szCs w:val="18"/>
          <w:color w:val="auto"/>
        </w:rPr>
        <w:t xml:space="preserve">A webcast regarding fiscal 2010 second quarter results will be available at </w:t>
      </w:r>
      <w:r>
        <w:rPr>
          <w:rFonts w:ascii="Arial" w:cs="Arial" w:eastAsia="Arial" w:hAnsi="Arial"/>
          <w:sz w:val="18"/>
          <w:szCs w:val="18"/>
          <w:u w:val="single" w:color="auto"/>
          <w:color w:val="auto"/>
        </w:rPr>
        <w:t>www.investor.bradycorp.com</w:t>
      </w:r>
      <w:r>
        <w:rPr>
          <w:rFonts w:ascii="Arial" w:cs="Arial" w:eastAsia="Arial" w:hAnsi="Arial"/>
          <w:sz w:val="18"/>
          <w:szCs w:val="18"/>
          <w:color w:val="auto"/>
        </w:rPr>
        <w:t xml:space="preserve"> beginning at 9:30 a.m. Central Standard Time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621030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6" w:name="page7"/>
    <w:bookmarkEnd w:id="6"/>
    <w:p>
      <w:pPr>
        <w:ind w:right="739" w:firstLine="373"/>
        <w:spacing w:after="0" w:line="293" w:lineRule="auto"/>
        <w:rPr>
          <w:sz w:val="20"/>
          <w:szCs w:val="20"/>
          <w:color w:val="auto"/>
        </w:rPr>
      </w:pPr>
      <w:r>
        <w:rPr>
          <w:rFonts w:ascii="Arial" w:cs="Arial" w:eastAsia="Arial" w:hAnsi="Arial"/>
          <w:sz w:val="16"/>
          <w:szCs w:val="16"/>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about 7,000 people at operations in the Americas, Europe and Asia/Pacific. Brady’s fiscal 2009 sales were approximately $1.2 billion.</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More information is available on the Internet at </w:t>
      </w:r>
      <w:r>
        <w:rPr>
          <w:rFonts w:ascii="Arial" w:cs="Arial" w:eastAsia="Arial" w:hAnsi="Arial"/>
          <w:sz w:val="18"/>
          <w:szCs w:val="18"/>
          <w:u w:val="single" w:color="auto"/>
          <w:color w:val="auto"/>
        </w:rPr>
        <w:t>www.bradycorp.com</w:t>
      </w:r>
      <w:r>
        <w:rPr>
          <w:rFonts w:ascii="Arial" w:cs="Arial" w:eastAsia="Arial" w:hAnsi="Arial"/>
          <w:sz w:val="18"/>
          <w:szCs w:val="18"/>
          <w:color w:val="auto"/>
        </w:rPr>
        <w:t>.</w:t>
      </w:r>
    </w:p>
    <w:p>
      <w:pPr>
        <w:spacing w:after="0" w:line="18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right="559"/>
        <w:spacing w:after="0" w:line="284" w:lineRule="auto"/>
        <w:rPr>
          <w:sz w:val="20"/>
          <w:szCs w:val="20"/>
          <w:color w:val="auto"/>
        </w:rPr>
      </w:pPr>
      <w:r>
        <w:rPr>
          <w:rFonts w:ascii="Arial" w:cs="Arial" w:eastAsia="Arial" w:hAnsi="Arial"/>
          <w:sz w:val="16"/>
          <w:szCs w:val="16"/>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attract and retain key talent;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for new and existing products;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2009. These uncertainties may cause Brady’s actual future results to be materially different than those expressed in its forward-looking statements. Brady does not undertake to update its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761365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8"/>
                <w:szCs w:val="18"/>
                <w:color w:val="auto"/>
              </w:rPr>
              <w:t>(Unaudited)</w:t>
            </w: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7"/>
          </w:tcPr>
          <w:p>
            <w:pPr>
              <w:jc w:val="right"/>
              <w:ind w:right="720"/>
              <w:spacing w:after="0"/>
              <w:rPr>
                <w:sz w:val="20"/>
                <w:szCs w:val="20"/>
                <w:color w:val="auto"/>
              </w:rPr>
            </w:pPr>
            <w:r>
              <w:rPr>
                <w:rFonts w:ascii="Arial" w:cs="Arial" w:eastAsia="Arial" w:hAnsi="Arial"/>
                <w:sz w:val="18"/>
                <w:szCs w:val="18"/>
                <w:color w:val="auto"/>
                <w:w w:val="95"/>
              </w:rPr>
              <w:t>Three Months Ended January 31,</w:t>
            </w:r>
          </w:p>
        </w:tc>
        <w:tc>
          <w:tcPr>
            <w:tcW w:w="120" w:type="dxa"/>
            <w:vAlign w:val="bottom"/>
          </w:tcPr>
          <w:p>
            <w:pPr>
              <w:spacing w:after="0"/>
              <w:rPr>
                <w:sz w:val="18"/>
                <w:szCs w:val="18"/>
                <w:color w:val="auto"/>
              </w:rPr>
            </w:pPr>
          </w:p>
        </w:tc>
        <w:tc>
          <w:tcPr>
            <w:tcW w:w="2840" w:type="dxa"/>
            <w:vAlign w:val="bottom"/>
            <w:gridSpan w:val="6"/>
          </w:tcPr>
          <w:p>
            <w:pPr>
              <w:jc w:val="center"/>
              <w:ind w:right="30"/>
              <w:spacing w:after="0"/>
              <w:rPr>
                <w:sz w:val="20"/>
                <w:szCs w:val="20"/>
                <w:color w:val="auto"/>
              </w:rPr>
            </w:pPr>
            <w:r>
              <w:rPr>
                <w:rFonts w:ascii="Arial" w:cs="Arial" w:eastAsia="Arial" w:hAnsi="Arial"/>
                <w:sz w:val="18"/>
                <w:szCs w:val="18"/>
                <w:color w:val="auto"/>
                <w:w w:val="89"/>
              </w:rPr>
              <w:t>Six Months Ended January 31,</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2"/>
              </w:rPr>
              <w:t>Percentage</w:t>
            </w:r>
          </w:p>
        </w:tc>
        <w:tc>
          <w:tcPr>
            <w:tcW w:w="4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4"/>
              </w:rPr>
              <w:t>Percentage</w:t>
            </w: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2010</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2010</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2009</w:t>
            </w:r>
          </w:p>
        </w:tc>
        <w:tc>
          <w:tcPr>
            <w:tcW w:w="3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295,829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266,449</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614,315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644,766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Cost of products sold</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148,911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140,307</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309,955</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337,478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146,918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126,142</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304,360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307,288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10,632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8,503</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20,241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17,559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780" w:type="dxa"/>
            <w:vAlign w:val="bottom"/>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80" w:type="dxa"/>
            <w:vAlign w:val="bottom"/>
          </w:tcPr>
          <w:p>
            <w:pPr>
              <w:ind w:left="400"/>
              <w:spacing w:after="0"/>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108,735</w:t>
            </w: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93,613</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217,411</w:t>
            </w:r>
          </w:p>
        </w:tc>
        <w:tc>
          <w:tcPr>
            <w:tcW w:w="14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207,870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3,649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19,408</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7,250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21,047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123,016</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121,524</w:t>
            </w:r>
          </w:p>
        </w:tc>
        <w:tc>
          <w:tcPr>
            <w:tcW w:w="36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244,902</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246,476</w:t>
            </w:r>
          </w:p>
        </w:tc>
        <w:tc>
          <w:tcPr>
            <w:tcW w:w="3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23,902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4,618</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59,458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60,812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Other income and (expense):</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 and other income</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(expense)</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(1,698)</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1,153</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(5,163)</w:t>
            </w: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(6,314)</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(10,325)</w:t>
            </w: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(12,675)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19,843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(3,394)</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684.6%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50,286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48,291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4,842</w:t>
            </w:r>
          </w:p>
        </w:tc>
        <w:tc>
          <w:tcPr>
            <w:tcW w:w="120" w:type="dxa"/>
            <w:vAlign w:val="bottom"/>
          </w:tcPr>
          <w:p>
            <w:pPr>
              <w:spacing w:after="0"/>
              <w:rPr>
                <w:sz w:val="24"/>
                <w:szCs w:val="2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756</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540.5%</w:t>
            </w:r>
          </w:p>
        </w:tc>
        <w:tc>
          <w:tcPr>
            <w:tcW w:w="12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13,617</w:t>
            </w:r>
          </w:p>
        </w:tc>
        <w:tc>
          <w:tcPr>
            <w:tcW w:w="14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15,331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15,001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(4,150)</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36,669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32,960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780" w:type="dxa"/>
            <w:vAlign w:val="bottom"/>
            <w:vMerge w:val="restart"/>
          </w:tcPr>
          <w:p>
            <w:pPr>
              <w:spacing w:after="0"/>
              <w:rPr>
                <w:sz w:val="20"/>
                <w:szCs w:val="20"/>
                <w:color w:val="auto"/>
              </w:rPr>
            </w:pPr>
            <w:r>
              <w:rPr>
                <w:rFonts w:ascii="Arial" w:cs="Arial" w:eastAsia="Arial" w:hAnsi="Arial"/>
                <w:sz w:val="18"/>
                <w:szCs w:val="18"/>
                <w:color w:val="auto"/>
              </w:rPr>
              <w:t>Per Class A Nonvoting Common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(0.08)</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Diluted 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(0.08)</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450.0%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0.62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0.17</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Per Class B Voting Common</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(0.08)</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Diluted 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(0.08)</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450.0%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0.67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0.60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0.17</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Arial" w:cs="Arial" w:eastAsia="Arial" w:hAnsi="Arial"/>
                <w:sz w:val="18"/>
                <w:szCs w:val="18"/>
                <w:color w:val="auto"/>
                <w:w w:val="98"/>
              </w:rPr>
              <w:t>Weighted average common shares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outstanding (in Thousands):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52,370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52,350</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52,354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52,821</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53,096</w:t>
            </w: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52,350</w:t>
            </w: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53,020</w:t>
            </w:r>
          </w:p>
        </w:tc>
        <w:tc>
          <w:tcPr>
            <w:tcW w:w="14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53,144</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5"/>
        </w:trPr>
        <w:tc>
          <w:tcPr>
            <w:tcW w:w="340" w:type="dxa"/>
            <w:vAlign w:val="bottom"/>
            <w:tcBorders>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(Unaudited)</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(Unaudited)</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13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January 31, 2010</w:t>
            </w:r>
          </w:p>
        </w:tc>
        <w:tc>
          <w:tcPr>
            <w:tcW w:w="340" w:type="dxa"/>
            <w:vAlign w:val="bottom"/>
          </w:tcPr>
          <w:p>
            <w:pPr>
              <w:spacing w:after="0"/>
              <w:rPr>
                <w:sz w:val="18"/>
                <w:szCs w:val="18"/>
                <w:color w:val="auto"/>
              </w:rPr>
            </w:pPr>
          </w:p>
        </w:tc>
        <w:tc>
          <w:tcPr>
            <w:tcW w:w="10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July 31, 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3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205,584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188,156</w:t>
            </w: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w w:val="98"/>
              </w:rPr>
              <w:t>Accounts receivable, less allowance for losses ($8,065 and $7,931, respectively)</w:t>
            </w:r>
          </w:p>
        </w:tc>
        <w:tc>
          <w:tcPr>
            <w:tcW w:w="16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203,375</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191,189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00"/>
              <w:spacing w:after="0"/>
              <w:rPr>
                <w:sz w:val="20"/>
                <w:szCs w:val="20"/>
                <w:color w:val="auto"/>
              </w:rPr>
            </w:pPr>
            <w:r>
              <w:rPr>
                <w:rFonts w:ascii="Arial" w:cs="Arial" w:eastAsia="Arial" w:hAnsi="Arial"/>
                <w:sz w:val="18"/>
                <w:szCs w:val="18"/>
                <w:color w:val="auto"/>
              </w:rPr>
              <w:t>Finished products</w:t>
            </w:r>
          </w:p>
        </w:tc>
        <w:tc>
          <w:tcPr>
            <w:tcW w:w="16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54,003</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53,244</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Work-in-process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16,729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13,159</w:t>
            </w:r>
          </w:p>
        </w:tc>
        <w:tc>
          <w:tcPr>
            <w:tcW w:w="0" w:type="dxa"/>
            <w:vAlign w:val="bottom"/>
          </w:tcPr>
          <w:p>
            <w:pPr>
              <w:spacing w:after="0"/>
              <w:rPr>
                <w:sz w:val="1"/>
                <w:szCs w:val="1"/>
                <w:color w:val="auto"/>
              </w:rPr>
            </w:pPr>
          </w:p>
        </w:tc>
      </w:tr>
      <w:tr>
        <w:trPr>
          <w:trHeight w:val="216"/>
        </w:trPr>
        <w:tc>
          <w:tcPr>
            <w:tcW w:w="6520" w:type="dxa"/>
            <w:vAlign w:val="bottom"/>
          </w:tcPr>
          <w:p>
            <w:pPr>
              <w:ind w:left="400"/>
              <w:spacing w:after="0"/>
              <w:rPr>
                <w:sz w:val="20"/>
                <w:szCs w:val="20"/>
                <w:color w:val="auto"/>
              </w:rPr>
            </w:pPr>
            <w:r>
              <w:rPr>
                <w:rFonts w:ascii="Arial" w:cs="Arial" w:eastAsia="Arial" w:hAnsi="Arial"/>
                <w:sz w:val="18"/>
                <w:szCs w:val="18"/>
                <w:color w:val="auto"/>
              </w:rPr>
              <w:t>Raw materials and supplies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26,611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27,405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inventories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93,808</w:t>
            </w: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37,501</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36,274</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543,803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509,427</w:t>
            </w:r>
          </w:p>
        </w:tc>
        <w:tc>
          <w:tcPr>
            <w:tcW w:w="0" w:type="dxa"/>
            <w:vAlign w:val="bottom"/>
          </w:tcPr>
          <w:p>
            <w:pPr>
              <w:spacing w:after="0"/>
              <w:rPr>
                <w:sz w:val="1"/>
                <w:szCs w:val="1"/>
                <w:color w:val="auto"/>
              </w:rPr>
            </w:pPr>
          </w:p>
        </w:tc>
      </w:tr>
      <w:tr>
        <w:trPr>
          <w:trHeight w:val="432"/>
        </w:trPr>
        <w:tc>
          <w:tcPr>
            <w:tcW w:w="65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767,692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751,173</w:t>
            </w: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111,388</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115,754</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38,141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36,374</w:t>
            </w:r>
          </w:p>
        </w:tc>
        <w:tc>
          <w:tcPr>
            <w:tcW w:w="0" w:type="dxa"/>
            <w:vAlign w:val="bottom"/>
          </w:tcPr>
          <w:p>
            <w:pPr>
              <w:spacing w:after="0"/>
              <w:rPr>
                <w:sz w:val="1"/>
                <w:szCs w:val="1"/>
                <w:color w:val="auto"/>
              </w:rPr>
            </w:pPr>
          </w:p>
        </w:tc>
      </w:tr>
      <w:tr>
        <w:trPr>
          <w:trHeight w:val="230"/>
        </w:trPr>
        <w:tc>
          <w:tcPr>
            <w:tcW w:w="6520" w:type="dxa"/>
            <w:vAlign w:val="bottom"/>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22,783</w:t>
            </w: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18,551</w:t>
            </w:r>
          </w:p>
        </w:tc>
        <w:tc>
          <w:tcPr>
            <w:tcW w:w="0" w:type="dxa"/>
            <w:vAlign w:val="bottom"/>
          </w:tcPr>
          <w:p>
            <w:pPr>
              <w:spacing w:after="0"/>
              <w:rPr>
                <w:sz w:val="1"/>
                <w:szCs w:val="1"/>
                <w:color w:val="auto"/>
              </w:rPr>
            </w:pPr>
          </w:p>
        </w:tc>
      </w:tr>
      <w:tr>
        <w:trPr>
          <w:trHeight w:val="202"/>
        </w:trPr>
        <w:tc>
          <w:tcPr>
            <w:tcW w:w="6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6,334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16"/>
        </w:trPr>
        <w:tc>
          <w:tcPr>
            <w:tcW w:w="6520" w:type="dxa"/>
            <w:vAlign w:val="bottom"/>
          </w:tcPr>
          <w:p>
            <w:pPr>
              <w:ind w:left="400"/>
              <w:spacing w:after="0"/>
              <w:rPr>
                <w:sz w:val="20"/>
                <w:szCs w:val="20"/>
                <w:color w:val="auto"/>
              </w:rPr>
            </w:pPr>
            <w:r>
              <w:rPr>
                <w:rFonts w:ascii="Arial" w:cs="Arial" w:eastAsia="Arial" w:hAnsi="Arial"/>
                <w:sz w:val="18"/>
                <w:szCs w:val="18"/>
                <w:color w:val="auto"/>
              </w:rPr>
              <w:t>Buildings and improvements</w:t>
            </w:r>
          </w:p>
        </w:tc>
        <w:tc>
          <w:tcPr>
            <w:tcW w:w="16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99,188</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96,968</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287,434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283,301</w:t>
            </w:r>
          </w:p>
        </w:tc>
        <w:tc>
          <w:tcPr>
            <w:tcW w:w="0" w:type="dxa"/>
            <w:vAlign w:val="bottom"/>
          </w:tcPr>
          <w:p>
            <w:pPr>
              <w:spacing w:after="0"/>
              <w:rPr>
                <w:sz w:val="1"/>
                <w:szCs w:val="1"/>
                <w:color w:val="auto"/>
              </w:rPr>
            </w:pPr>
          </w:p>
        </w:tc>
      </w:tr>
      <w:tr>
        <w:trPr>
          <w:trHeight w:val="216"/>
        </w:trPr>
        <w:tc>
          <w:tcPr>
            <w:tcW w:w="6520" w:type="dxa"/>
            <w:vAlign w:val="bottom"/>
          </w:tcPr>
          <w:p>
            <w:pPr>
              <w:ind w:left="400"/>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11,371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404,327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394,473</w:t>
            </w:r>
          </w:p>
        </w:tc>
        <w:tc>
          <w:tcPr>
            <w:tcW w:w="0" w:type="dxa"/>
            <w:vAlign w:val="bottom"/>
          </w:tcPr>
          <w:p>
            <w:pPr>
              <w:spacing w:after="0"/>
              <w:rPr>
                <w:sz w:val="1"/>
                <w:szCs w:val="1"/>
                <w:color w:val="auto"/>
              </w:rPr>
            </w:pPr>
          </w:p>
        </w:tc>
      </w:tr>
      <w:tr>
        <w:trPr>
          <w:trHeight w:val="432"/>
        </w:trPr>
        <w:tc>
          <w:tcPr>
            <w:tcW w:w="6520" w:type="dxa"/>
            <w:vAlign w:val="bottom"/>
          </w:tcPr>
          <w:p>
            <w:pPr>
              <w:ind w:left="20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4"/>
                <w:szCs w:val="24"/>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253,269</w:t>
            </w:r>
          </w:p>
        </w:tc>
        <w:tc>
          <w:tcPr>
            <w:tcW w:w="2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242,485</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Property, plant and equipment — net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151,058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151,988</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20" w:type="dxa"/>
            <w:vAlign w:val="bottom"/>
            <w:vMerge w:val="continue"/>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1,634,865</w:t>
            </w:r>
          </w:p>
        </w:tc>
        <w:tc>
          <w:tcPr>
            <w:tcW w:w="3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1,583,267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4"/>
            <w:shd w:val="clear" w:color="auto" w:fill="CCEEFF"/>
          </w:tcPr>
          <w:p>
            <w:pPr>
              <w:ind w:left="2460"/>
              <w:spacing w:after="0"/>
              <w:rPr>
                <w:sz w:val="20"/>
                <w:szCs w:val="20"/>
                <w:color w:val="auto"/>
              </w:rPr>
            </w:pPr>
            <w:r>
              <w:rPr>
                <w:rFonts w:ascii="Arial" w:cs="Arial" w:eastAsia="Arial" w:hAnsi="Arial"/>
                <w:sz w:val="18"/>
                <w:szCs w:val="18"/>
                <w:b w:val="1"/>
                <w:bCs w:val="1"/>
                <w:color w:val="auto"/>
              </w:rPr>
              <w:t>LIABILITIES AND STOCKHOLDERS’ INVESTMENT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82,008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83,793</w:t>
            </w: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16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50,279</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36,313</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 other than income taxes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6,818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Accrued income taxes</w:t>
            </w:r>
          </w:p>
        </w:tc>
        <w:tc>
          <w:tcPr>
            <w:tcW w:w="16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8,737</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5,964</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46,877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45,247</w:t>
            </w: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Current maturities on long-term debt</w:t>
            </w:r>
          </w:p>
        </w:tc>
        <w:tc>
          <w:tcPr>
            <w:tcW w:w="16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44,893</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44,893</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239,612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222,472</w:t>
            </w:r>
          </w:p>
        </w:tc>
        <w:tc>
          <w:tcPr>
            <w:tcW w:w="0" w:type="dxa"/>
            <w:vAlign w:val="bottom"/>
          </w:tcPr>
          <w:p>
            <w:pPr>
              <w:spacing w:after="0"/>
              <w:rPr>
                <w:sz w:val="1"/>
                <w:szCs w:val="1"/>
                <w:color w:val="auto"/>
              </w:rPr>
            </w:pPr>
          </w:p>
        </w:tc>
      </w:tr>
      <w:tr>
        <w:trPr>
          <w:trHeight w:val="432"/>
        </w:trPr>
        <w:tc>
          <w:tcPr>
            <w:tcW w:w="6520" w:type="dxa"/>
            <w:vAlign w:val="bottom"/>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60" w:type="dxa"/>
            <w:vAlign w:val="bottom"/>
          </w:tcPr>
          <w:p>
            <w:pPr>
              <w:spacing w:after="0"/>
              <w:rPr>
                <w:sz w:val="24"/>
                <w:szCs w:val="24"/>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346,457</w:t>
            </w:r>
          </w:p>
        </w:tc>
        <w:tc>
          <w:tcPr>
            <w:tcW w:w="2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346,457</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66,513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63,246</w:t>
            </w:r>
          </w:p>
        </w:tc>
        <w:tc>
          <w:tcPr>
            <w:tcW w:w="0" w:type="dxa"/>
            <w:vAlign w:val="bottom"/>
          </w:tcPr>
          <w:p>
            <w:pPr>
              <w:spacing w:after="0"/>
              <w:rPr>
                <w:sz w:val="1"/>
                <w:szCs w:val="1"/>
                <w:color w:val="auto"/>
              </w:rPr>
            </w:pPr>
          </w:p>
        </w:tc>
      </w:tr>
      <w:tr>
        <w:trPr>
          <w:trHeight w:val="224"/>
        </w:trPr>
        <w:tc>
          <w:tcPr>
            <w:tcW w:w="6520" w:type="dxa"/>
            <w:vAlign w:val="bottom"/>
          </w:tcPr>
          <w:p>
            <w:pPr>
              <w:ind w:left="40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652,582</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5"/>
              </w:rPr>
              <w:t>Class A nonvoting common stock — Issued 51,261,487 and 51,261,487 shares,</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5"/>
              </w:rPr>
              <w:t>respectively and outstanding 48,856,512 and 48,780,560 shares, respectively</w:t>
            </w: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513</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6520" w:type="dxa"/>
            <w:vAlign w:val="bottom"/>
          </w:tcPr>
          <w:p>
            <w:pPr>
              <w:ind w:left="4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16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302,374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298,466</w:t>
            </w: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Income retained in the business</w:t>
            </w:r>
          </w:p>
        </w:tc>
        <w:tc>
          <w:tcPr>
            <w:tcW w:w="16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691,667</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673,342</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Treasury stock — 2,194,975 and 2,270,927 shares, respectively of Class A</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nonvoting common stock, at cost</w:t>
            </w: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(67,504)</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(69,823)</w:t>
            </w: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58,709</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53,051</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879"/>
          </w:cols>
          <w:pgMar w:left="580" w:top="931"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520" w:type="dxa"/>
            <w:vAlign w:val="bottom"/>
          </w:tcPr>
          <w:p>
            <w:pPr>
              <w:ind w:left="600"/>
              <w:spacing w:after="0"/>
              <w:rPr>
                <w:sz w:val="20"/>
                <w:szCs w:val="20"/>
                <w:color w:val="auto"/>
              </w:rPr>
            </w:pPr>
            <w:r>
              <w:rPr>
                <w:rFonts w:ascii="Arial" w:cs="Arial" w:eastAsia="Arial" w:hAnsi="Arial"/>
                <w:sz w:val="18"/>
                <w:szCs w:val="18"/>
                <w:b w:val="1"/>
                <w:bCs w:val="1"/>
                <w:color w:val="auto"/>
              </w:rPr>
              <w:t>Total stockholders’ investment</w:t>
            </w:r>
          </w:p>
        </w:tc>
        <w:tc>
          <w:tcPr>
            <w:tcW w:w="36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982,283</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951,092</w:t>
            </w:r>
          </w:p>
        </w:tc>
        <w:tc>
          <w:tcPr>
            <w:tcW w:w="17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1,634,865</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   1,583,267</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65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93"/>
              </w:rPr>
              <w:t>(Unaudited)</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4"/>
          </w:tcPr>
          <w:p>
            <w:pPr>
              <w:jc w:val="center"/>
              <w:ind w:right="90"/>
              <w:spacing w:after="0" w:line="195" w:lineRule="exact"/>
              <w:rPr>
                <w:sz w:val="20"/>
                <w:szCs w:val="20"/>
                <w:color w:val="auto"/>
              </w:rPr>
            </w:pPr>
            <w:r>
              <w:rPr>
                <w:rFonts w:ascii="Arial" w:cs="Arial" w:eastAsia="Arial" w:hAnsi="Arial"/>
                <w:sz w:val="18"/>
                <w:szCs w:val="18"/>
                <w:color w:val="auto"/>
                <w:w w:val="91"/>
              </w:rPr>
              <w:t>Six Months Ended</w:t>
            </w: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89"/>
              </w:rPr>
              <w:t>January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4"/>
              </w:rPr>
              <w:t>2009</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36,669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32,960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27,366</w:t>
            </w:r>
          </w:p>
        </w:tc>
        <w:tc>
          <w:tcPr>
            <w:tcW w:w="3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27,193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portion of restructuring charges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1,420</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Non-cash portion of stock-based compensation expense</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5,156</w:t>
            </w:r>
          </w:p>
        </w:tc>
        <w:tc>
          <w:tcPr>
            <w:tcW w:w="3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4,244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(4,398)</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759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(10,300)</w:t>
            </w:r>
          </w:p>
        </w:tc>
        <w:tc>
          <w:tcPr>
            <w:tcW w:w="3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42,156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(1,891)</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(1,585)</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(3,648)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13,229</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(64,413)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2,670</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(17,428)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(1,689)</w:t>
            </w:r>
          </w:p>
        </w:tc>
        <w:tc>
          <w:tcPr>
            <w:tcW w:w="1760" w:type="dxa"/>
            <w:vAlign w:val="bottom"/>
          </w:tcPr>
          <w:p>
            <w:pPr>
              <w:spacing w:after="0"/>
              <w:rPr>
                <w:sz w:val="18"/>
                <w:szCs w:val="18"/>
                <w:color w:val="auto"/>
              </w:rPr>
            </w:pPr>
          </w:p>
        </w:tc>
      </w:tr>
      <w:tr>
        <w:trPr>
          <w:trHeight w:val="224"/>
        </w:trPr>
        <w:tc>
          <w:tcPr>
            <w:tcW w:w="340" w:type="dxa"/>
            <w:vAlign w:val="bottom"/>
          </w:tcPr>
          <w:p>
            <w:pPr>
              <w:spacing w:after="0"/>
              <w:rPr>
                <w:sz w:val="19"/>
                <w:szCs w:val="19"/>
                <w:color w:val="auto"/>
              </w:rPr>
            </w:pPr>
          </w:p>
        </w:tc>
        <w:tc>
          <w:tcPr>
            <w:tcW w:w="686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68,033</w:t>
            </w:r>
          </w:p>
        </w:tc>
        <w:tc>
          <w:tcPr>
            <w:tcW w:w="3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22,017</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(20,299)</w:t>
            </w:r>
          </w:p>
        </w:tc>
        <w:tc>
          <w:tcPr>
            <w:tcW w:w="3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price adjustment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Payments of contingent consideration</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(1,405)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(14,974)</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(12,948)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(570)</w:t>
            </w:r>
          </w:p>
        </w:tc>
        <w:tc>
          <w:tcPr>
            <w:tcW w:w="3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1,998</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(35,843)</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(8,841)</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dividends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(18,344)</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(17,985)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1,672</w:t>
            </w:r>
          </w:p>
        </w:tc>
        <w:tc>
          <w:tcPr>
            <w:tcW w:w="3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1,284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debt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Purchase of treasury stock</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(40,267)</w:t>
            </w:r>
          </w:p>
        </w:tc>
        <w:tc>
          <w:tcPr>
            <w:tcW w:w="17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8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Income tax benefit from the exercise of stock options and deferred compensation</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distribution</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380</w:t>
            </w: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847</w:t>
            </w:r>
          </w:p>
        </w:tc>
        <w:tc>
          <w:tcPr>
            <w:tcW w:w="1760" w:type="dxa"/>
            <w:vAlign w:val="bottom"/>
          </w:tcPr>
          <w:p>
            <w:pPr>
              <w:spacing w:after="0"/>
              <w:rPr>
                <w:sz w:val="20"/>
                <w:szCs w:val="20"/>
                <w:color w:val="auto"/>
              </w:rPr>
            </w:pPr>
          </w:p>
        </w:tc>
      </w:tr>
      <w:tr>
        <w:trPr>
          <w:trHeight w:val="224"/>
        </w:trPr>
        <w:tc>
          <w:tcPr>
            <w:tcW w:w="340" w:type="dxa"/>
            <w:vAlign w:val="bottom"/>
          </w:tcPr>
          <w:p>
            <w:pPr>
              <w:spacing w:after="0"/>
              <w:rPr>
                <w:sz w:val="19"/>
                <w:szCs w:val="19"/>
                <w:color w:val="auto"/>
              </w:rPr>
            </w:pPr>
          </w:p>
        </w:tc>
        <w:tc>
          <w:tcPr>
            <w:tcW w:w="6860" w:type="dxa"/>
            <w:vAlign w:val="bottom"/>
          </w:tcPr>
          <w:p>
            <w:pPr>
              <w:ind w:left="60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(16,292)</w:t>
            </w:r>
          </w:p>
        </w:tc>
        <w:tc>
          <w:tcPr>
            <w:tcW w:w="3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(56,123)</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1,530</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(30,317)</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17,428</w:t>
            </w:r>
          </w:p>
        </w:tc>
        <w:tc>
          <w:tcPr>
            <w:tcW w:w="3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(73,264)</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188,156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258,355</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205,584</w:t>
            </w:r>
          </w:p>
        </w:tc>
        <w:tc>
          <w:tcPr>
            <w:tcW w:w="36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185,091</w:t>
            </w:r>
          </w:p>
        </w:tc>
        <w:tc>
          <w:tcPr>
            <w:tcW w:w="176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net of capitalized interest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10,313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12,563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Income taxes, net of refunds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10,817</w:t>
            </w:r>
          </w:p>
        </w:tc>
        <w:tc>
          <w:tcPr>
            <w:tcW w:w="3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27,384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Fair value of assets acquired, net of cash</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8,829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Liabilities assumed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(2,678)</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14,148</w:t>
            </w:r>
          </w:p>
        </w:tc>
        <w:tc>
          <w:tcPr>
            <w:tcW w:w="3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8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paid for acquisitions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20,299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017"/>
        </w:trPr>
        <w:tc>
          <w:tcPr>
            <w:tcW w:w="340" w:type="dxa"/>
            <w:vAlign w:val="bottom"/>
            <w:tcBorders>
              <w:bottom w:val="single" w:sz="8" w:color="808080"/>
            </w:tcBorders>
          </w:tcPr>
          <w:p>
            <w:pPr>
              <w:spacing w:after="0"/>
              <w:rPr>
                <w:sz w:val="24"/>
                <w:szCs w:val="24"/>
                <w:color w:val="auto"/>
              </w:rPr>
            </w:pPr>
          </w:p>
        </w:tc>
        <w:tc>
          <w:tcPr>
            <w:tcW w:w="68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color w:val="auto"/>
        </w:rPr>
        <w:t>Information by regional segment for the three and six months ended January 31, 2010 and 2009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1"/>
              </w:rPr>
              <w:t>Corporate and</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rPr>
              <w:t>Americas</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Europe</w:t>
            </w:r>
          </w:p>
        </w:tc>
        <w:tc>
          <w:tcPr>
            <w:tcW w:w="340" w:type="dxa"/>
            <w:vAlign w:val="bottom"/>
          </w:tcPr>
          <w:p>
            <w:pPr>
              <w:spacing w:after="0"/>
              <w:rPr>
                <w:sz w:val="20"/>
                <w:szCs w:val="20"/>
                <w:color w:val="auto"/>
              </w:rPr>
            </w:pPr>
          </w:p>
        </w:tc>
        <w:tc>
          <w:tcPr>
            <w:tcW w:w="1260" w:type="dxa"/>
            <w:vAlign w:val="bottom"/>
            <w:gridSpan w:val="5"/>
          </w:tcPr>
          <w:p>
            <w:pPr>
              <w:spacing w:after="0"/>
              <w:rPr>
                <w:sz w:val="20"/>
                <w:szCs w:val="20"/>
                <w:color w:val="auto"/>
              </w:rPr>
            </w:pPr>
            <w:r>
              <w:rPr>
                <w:rFonts w:ascii="Arial" w:cs="Arial" w:eastAsia="Arial" w:hAnsi="Arial"/>
                <w:sz w:val="18"/>
                <w:szCs w:val="18"/>
                <w:b w:val="1"/>
                <w:bCs w:val="1"/>
                <w:color w:val="auto"/>
              </w:rPr>
              <w:t>Asia-Pacific</w:t>
            </w:r>
          </w:p>
        </w:tc>
        <w:tc>
          <w:tcPr>
            <w:tcW w:w="130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88"/>
              </w:rPr>
              <w:t>Total Region</w:t>
            </w:r>
          </w:p>
        </w:tc>
        <w:tc>
          <w:tcPr>
            <w:tcW w:w="14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7"/>
              </w:rPr>
              <w:t>Eliminations</w:t>
            </w:r>
          </w:p>
        </w:tc>
        <w:tc>
          <w:tcPr>
            <w:tcW w:w="120" w:type="dxa"/>
            <w:vAlign w:val="bottom"/>
          </w:tcPr>
          <w:p>
            <w:pPr>
              <w:spacing w:after="0"/>
              <w:rPr>
                <w:sz w:val="20"/>
                <w:szCs w:val="20"/>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7"/>
              </w:rPr>
              <w:t>Total</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08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SALES TO EXTERNAL</w:t>
            </w: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2010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121,603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96,614</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77,612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295,829</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295,829</w:t>
            </w: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January 31, 2009</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122,970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87,201</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56,278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5"/>
          </w:tcPr>
          <w:p>
            <w:pPr>
              <w:jc w:val="right"/>
              <w:ind w:right="340"/>
              <w:spacing w:after="0"/>
              <w:rPr>
                <w:sz w:val="20"/>
                <w:szCs w:val="20"/>
                <w:color w:val="auto"/>
              </w:rPr>
            </w:pPr>
            <w:r>
              <w:rPr>
                <w:rFonts w:ascii="Arial" w:cs="Arial" w:eastAsia="Arial" w:hAnsi="Arial"/>
                <w:sz w:val="18"/>
                <w:szCs w:val="18"/>
                <w:color w:val="auto"/>
              </w:rPr>
              <w:t>266,449</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266,449</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January 31, 2010</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257,842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$ 190,949</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w w:val="89"/>
              </w:rPr>
              <w:t>165,524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5"/>
          </w:tcPr>
          <w:p>
            <w:pPr>
              <w:jc w:val="right"/>
              <w:ind w:right="340"/>
              <w:spacing w:after="0"/>
              <w:rPr>
                <w:sz w:val="20"/>
                <w:szCs w:val="20"/>
                <w:color w:val="auto"/>
              </w:rPr>
            </w:pPr>
            <w:r>
              <w:rPr>
                <w:rFonts w:ascii="Arial" w:cs="Arial" w:eastAsia="Arial" w:hAnsi="Arial"/>
                <w:sz w:val="18"/>
                <w:szCs w:val="18"/>
                <w:color w:val="auto"/>
              </w:rPr>
              <w:t>614,315</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614,315</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2009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283,886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$ 195,416</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9"/>
              </w:rPr>
              <w:t>165,464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644,766</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644,766</w:t>
            </w: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8"/>
                <w:szCs w:val="18"/>
                <w:b w:val="1"/>
                <w:bCs w:val="1"/>
                <w:color w:val="auto"/>
              </w:rPr>
              <w:t>SALES GROWTH</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080" w:type="dxa"/>
            <w:vAlign w:val="bottom"/>
          </w:tcPr>
          <w:p>
            <w:pPr>
              <w:ind w:left="200"/>
              <w:spacing w:after="0"/>
              <w:rPr>
                <w:sz w:val="20"/>
                <w:szCs w:val="20"/>
                <w:color w:val="auto"/>
              </w:rPr>
            </w:pPr>
            <w:r>
              <w:rPr>
                <w:rFonts w:ascii="Arial" w:cs="Arial" w:eastAsia="Arial" w:hAnsi="Arial"/>
                <w:sz w:val="18"/>
                <w:szCs w:val="18"/>
                <w:b w:val="1"/>
                <w:bCs w:val="1"/>
                <w:color w:val="auto"/>
              </w:rPr>
              <w:t>INFORMATION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Three months ended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2010: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Base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2.9%</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0.9%</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0.9%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3"/>
              </w:rPr>
              <w:t>11.0%</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Six months ended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January 31, 2010: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Currency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3.0%</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80" w:type="dxa"/>
            <w:vAlign w:val="bottom"/>
            <w:vMerge w:val="restart"/>
          </w:tcPr>
          <w:p>
            <w:pPr>
              <w:ind w:left="40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tcPr>
          <w:p>
            <w:pPr>
              <w:spacing w:after="0"/>
              <w:rPr>
                <w:sz w:val="19"/>
                <w:szCs w:val="19"/>
                <w:color w:val="auto"/>
              </w:rPr>
            </w:pPr>
          </w:p>
        </w:tc>
        <w:tc>
          <w:tcPr>
            <w:tcW w:w="2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-4.7%</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2010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23,546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25,947</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10,687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60,180</w:t>
            </w:r>
          </w:p>
        </w:tc>
        <w:tc>
          <w:tcPr>
            <w:tcW w:w="14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($3,683)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56,497</w:t>
            </w: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January 31, 2009</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22,041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22,945</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4,122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5"/>
          </w:tcPr>
          <w:p>
            <w:pPr>
              <w:jc w:val="right"/>
              <w:ind w:right="340"/>
              <w:spacing w:after="0"/>
              <w:rPr>
                <w:sz w:val="20"/>
                <w:szCs w:val="20"/>
                <w:color w:val="auto"/>
              </w:rPr>
            </w:pPr>
            <w:r>
              <w:rPr>
                <w:rFonts w:ascii="Arial" w:cs="Arial" w:eastAsia="Arial" w:hAnsi="Arial"/>
                <w:sz w:val="18"/>
                <w:szCs w:val="18"/>
                <w:color w:val="auto"/>
              </w:rPr>
              <w:t>49,108</w:t>
            </w:r>
          </w:p>
        </w:tc>
        <w:tc>
          <w:tcPr>
            <w:tcW w:w="1480" w:type="dxa"/>
            <w:vAlign w:val="bottom"/>
            <w:gridSpan w:val="5"/>
          </w:tcPr>
          <w:p>
            <w:pPr>
              <w:jc w:val="right"/>
              <w:ind w:right="280"/>
              <w:spacing w:after="0"/>
              <w:rPr>
                <w:sz w:val="20"/>
                <w:szCs w:val="20"/>
                <w:color w:val="auto"/>
              </w:rPr>
            </w:pPr>
            <w:r>
              <w:rPr>
                <w:rFonts w:ascii="Arial" w:cs="Arial" w:eastAsia="Arial" w:hAnsi="Arial"/>
                <w:sz w:val="18"/>
                <w:szCs w:val="18"/>
                <w:color w:val="auto"/>
              </w:rPr>
              <w:t>($2,607)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46,501</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0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i w:val="1"/>
                <w:iCs w:val="1"/>
                <w:color w:val="auto"/>
              </w:rPr>
              <w:t>Percentage increase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080" w:type="dxa"/>
            <w:vAlign w:val="bottom"/>
            <w:shd w:val="clear" w:color="auto" w:fill="CCEEFF"/>
          </w:tcPr>
          <w:p>
            <w:pPr>
              <w:ind w:left="600"/>
              <w:spacing w:after="0"/>
              <w:rPr>
                <w:sz w:val="20"/>
                <w:szCs w:val="20"/>
                <w:color w:val="auto"/>
              </w:rPr>
            </w:pPr>
            <w:r>
              <w:rPr>
                <w:rFonts w:ascii="Arial" w:cs="Arial" w:eastAsia="Arial" w:hAnsi="Arial"/>
                <w:sz w:val="18"/>
                <w:szCs w:val="18"/>
                <w:i w:val="1"/>
                <w:iCs w:val="1"/>
                <w:color w:val="auto"/>
              </w:rPr>
              <w:t>(decrease)</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159.3%</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3"/>
              </w:rPr>
              <w:t>22.5%</w:t>
            </w: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6"/>
              </w:rPr>
              <w:t>41.3%</w:t>
            </w: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Six months ended: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2010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56,347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50,809</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25,814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132,970</w:t>
            </w:r>
          </w:p>
        </w:tc>
        <w:tc>
          <w:tcPr>
            <w:tcW w:w="14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($6,603)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126,367</w:t>
            </w: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January 31, 2009</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57,564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54,084</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26,523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5"/>
          </w:tcPr>
          <w:p>
            <w:pPr>
              <w:jc w:val="right"/>
              <w:ind w:right="340"/>
              <w:spacing w:after="0"/>
              <w:rPr>
                <w:sz w:val="20"/>
                <w:szCs w:val="20"/>
                <w:color w:val="auto"/>
              </w:rPr>
            </w:pPr>
            <w:r>
              <w:rPr>
                <w:rFonts w:ascii="Arial" w:cs="Arial" w:eastAsia="Arial" w:hAnsi="Arial"/>
                <w:sz w:val="18"/>
                <w:szCs w:val="18"/>
                <w:color w:val="auto"/>
              </w:rPr>
              <w:t>138,171</w:t>
            </w:r>
          </w:p>
        </w:tc>
        <w:tc>
          <w:tcPr>
            <w:tcW w:w="1480" w:type="dxa"/>
            <w:vAlign w:val="bottom"/>
            <w:gridSpan w:val="5"/>
          </w:tcPr>
          <w:p>
            <w:pPr>
              <w:jc w:val="right"/>
              <w:ind w:right="280"/>
              <w:spacing w:after="0"/>
              <w:rPr>
                <w:sz w:val="20"/>
                <w:szCs w:val="20"/>
                <w:color w:val="auto"/>
              </w:rPr>
            </w:pPr>
            <w:r>
              <w:rPr>
                <w:rFonts w:ascii="Arial" w:cs="Arial" w:eastAsia="Arial" w:hAnsi="Arial"/>
                <w:sz w:val="18"/>
                <w:szCs w:val="18"/>
                <w:color w:val="auto"/>
              </w:rPr>
              <w:t>($4,914)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133,257</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0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i w:val="1"/>
                <w:iCs w:val="1"/>
                <w:color w:val="auto"/>
              </w:rPr>
              <w:t>Percentage increase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080" w:type="dxa"/>
            <w:vAlign w:val="bottom"/>
            <w:shd w:val="clear" w:color="auto" w:fill="CCEEFF"/>
          </w:tcPr>
          <w:p>
            <w:pPr>
              <w:ind w:left="600"/>
              <w:spacing w:after="0"/>
              <w:rPr>
                <w:sz w:val="20"/>
                <w:szCs w:val="20"/>
                <w:color w:val="auto"/>
              </w:rPr>
            </w:pPr>
            <w:r>
              <w:rPr>
                <w:rFonts w:ascii="Arial" w:cs="Arial" w:eastAsia="Arial" w:hAnsi="Arial"/>
                <w:sz w:val="18"/>
                <w:szCs w:val="18"/>
                <w:i w:val="1"/>
                <w:iCs w:val="1"/>
                <w:color w:val="auto"/>
              </w:rPr>
              <w:t>(decrease)</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6"/>
              </w:rPr>
              <w:t>34.4%</w:t>
            </w: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4720" w:type="dxa"/>
            <w:vAlign w:val="bottom"/>
            <w:gridSpan w:val="10"/>
          </w:tcPr>
          <w:p>
            <w:pPr>
              <w:spacing w:after="0"/>
              <w:rPr>
                <w:sz w:val="20"/>
                <w:szCs w:val="20"/>
                <w:color w:val="auto"/>
              </w:rPr>
            </w:pPr>
            <w:r>
              <w:rPr>
                <w:rFonts w:ascii="Arial" w:cs="Arial" w:eastAsia="Arial" w:hAnsi="Arial"/>
                <w:sz w:val="18"/>
                <w:szCs w:val="18"/>
                <w:b w:val="1"/>
                <w:bCs w:val="1"/>
                <w:color w:val="auto"/>
              </w:rPr>
              <w:t xml:space="preserve">NET INCOME (LOSS) RECONCILIATION </w:t>
            </w:r>
            <w:r>
              <w:rPr>
                <w:rFonts w:ascii="Arial" w:cs="Arial" w:eastAsia="Arial" w:hAnsi="Arial"/>
                <w:sz w:val="18"/>
                <w:szCs w:val="18"/>
                <w:color w:val="auto"/>
              </w:rPr>
              <w:t>(in thousands)</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color w:val="auto"/>
                <w:w w:val="88"/>
              </w:rPr>
              <w:t>Three months ended:</w:t>
            </w: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Six months ended:</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w w:val="87"/>
              </w:rPr>
              <w:t>January 31, 2010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4"/>
          </w:tcPr>
          <w:p>
            <w:pPr>
              <w:spacing w:after="0"/>
              <w:rPr>
                <w:sz w:val="20"/>
                <w:szCs w:val="20"/>
                <w:color w:val="auto"/>
              </w:rPr>
            </w:pPr>
            <w:r>
              <w:rPr>
                <w:rFonts w:ascii="Arial" w:cs="Arial" w:eastAsia="Arial" w:hAnsi="Arial"/>
                <w:sz w:val="18"/>
                <w:szCs w:val="18"/>
                <w:color w:val="auto"/>
                <w:w w:val="86"/>
              </w:rPr>
              <w:t>January 31, 2009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4"/>
          </w:tcPr>
          <w:p>
            <w:pPr>
              <w:spacing w:after="0"/>
              <w:rPr>
                <w:sz w:val="20"/>
                <w:szCs w:val="20"/>
                <w:color w:val="auto"/>
              </w:rPr>
            </w:pPr>
            <w:r>
              <w:rPr>
                <w:rFonts w:ascii="Arial" w:cs="Arial" w:eastAsia="Arial" w:hAnsi="Arial"/>
                <w:sz w:val="18"/>
                <w:szCs w:val="18"/>
                <w:color w:val="auto"/>
                <w:w w:val="91"/>
              </w:rPr>
              <w:t>January 31, 2010</w:t>
            </w:r>
          </w:p>
        </w:tc>
        <w:tc>
          <w:tcPr>
            <w:tcW w:w="240" w:type="dxa"/>
            <w:vAlign w:val="bottom"/>
          </w:tcPr>
          <w:p>
            <w:pPr>
              <w:spacing w:after="0"/>
              <w:rPr>
                <w:sz w:val="18"/>
                <w:szCs w:val="18"/>
                <w:color w:val="auto"/>
              </w:rPr>
            </w:pPr>
          </w:p>
        </w:tc>
        <w:tc>
          <w:tcPr>
            <w:tcW w:w="1220" w:type="dxa"/>
            <w:vAlign w:val="bottom"/>
            <w:gridSpan w:val="5"/>
          </w:tcPr>
          <w:p>
            <w:pPr>
              <w:spacing w:after="0"/>
              <w:rPr>
                <w:sz w:val="20"/>
                <w:szCs w:val="20"/>
                <w:color w:val="auto"/>
              </w:rPr>
            </w:pPr>
            <w:r>
              <w:rPr>
                <w:rFonts w:ascii="Arial" w:cs="Arial" w:eastAsia="Arial" w:hAnsi="Arial"/>
                <w:sz w:val="18"/>
                <w:szCs w:val="18"/>
                <w:color w:val="auto"/>
                <w:w w:val="86"/>
              </w:rPr>
              <w:t>January 31, 2009</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profit for reportable segments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60,180</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49,108</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132,970</w:t>
            </w:r>
          </w:p>
        </w:tc>
        <w:tc>
          <w:tcPr>
            <w:tcW w:w="6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138,171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w w:val="95"/>
              </w:rPr>
              <w:t>Corporate and eliminations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gridSpan w:val="4"/>
          </w:tcPr>
          <w:p>
            <w:pPr>
              <w:jc w:val="right"/>
              <w:ind w:right="130"/>
              <w:spacing w:after="0"/>
              <w:rPr>
                <w:sz w:val="20"/>
                <w:szCs w:val="20"/>
                <w:color w:val="auto"/>
              </w:rPr>
            </w:pPr>
            <w:r>
              <w:rPr>
                <w:rFonts w:ascii="Arial" w:cs="Arial" w:eastAsia="Arial" w:hAnsi="Arial"/>
                <w:sz w:val="18"/>
                <w:szCs w:val="18"/>
                <w:color w:val="auto"/>
              </w:rPr>
              <w:t>(3,683)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(2,607)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($6,603)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(4,914)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gridSpan w:val="4"/>
          </w:tcPr>
          <w:p>
            <w:pPr>
              <w:jc w:val="right"/>
              <w:ind w:right="130"/>
              <w:spacing w:after="0"/>
              <w:rPr>
                <w:sz w:val="20"/>
                <w:szCs w:val="20"/>
                <w:color w:val="auto"/>
              </w:rPr>
            </w:pPr>
            <w:r>
              <w:rPr>
                <w:rFonts w:ascii="Arial" w:cs="Arial" w:eastAsia="Arial" w:hAnsi="Arial"/>
                <w:sz w:val="18"/>
                <w:szCs w:val="18"/>
                <w:color w:val="auto"/>
              </w:rPr>
              <w:t>(28,946)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Arial" w:cs="Arial" w:eastAsia="Arial" w:hAnsi="Arial"/>
                <w:sz w:val="18"/>
                <w:szCs w:val="18"/>
                <w:color w:val="auto"/>
                <w:w w:val="89"/>
              </w:rPr>
              <w:t>(22,475)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(59,659)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(51,398)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(3,649)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(19,408)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(21,047)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gridSpan w:val="5"/>
          </w:tcPr>
          <w:p>
            <w:pPr>
              <w:ind w:left="200"/>
              <w:spacing w:after="0"/>
              <w:rPr>
                <w:sz w:val="20"/>
                <w:szCs w:val="20"/>
                <w:color w:val="auto"/>
              </w:rPr>
            </w:pPr>
            <w:r>
              <w:rPr>
                <w:rFonts w:ascii="Arial" w:cs="Arial" w:eastAsia="Arial" w:hAnsi="Arial"/>
                <w:sz w:val="18"/>
                <w:szCs w:val="18"/>
                <w:color w:val="auto"/>
                <w:w w:val="97"/>
              </w:rPr>
              <w:t>Investment and other income (expense)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1,104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1,153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154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(5,163)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(6,314)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(12,675)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320" w:type="dxa"/>
            <w:vAlign w:val="bottom"/>
            <w:gridSpan w:val="5"/>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19,843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(3,394)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50,286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48,291</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(4,842)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(13,617)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(15,331)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80" w:type="dxa"/>
            <w:vAlign w:val="bottom"/>
          </w:tcPr>
          <w:p>
            <w:pPr>
              <w:ind w:left="40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15,001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(4,150)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36,669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32,960</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4"/>
        </w:trPr>
        <w:tc>
          <w:tcPr>
            <w:tcW w:w="34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left="8" w:right="4019"/>
        <w:spacing w:after="0" w:line="282" w:lineRule="auto"/>
        <w:rPr>
          <w:sz w:val="20"/>
          <w:szCs w:val="20"/>
          <w:color w:val="auto"/>
        </w:rPr>
      </w:pPr>
      <w:r>
        <w:rPr>
          <w:rFonts w:ascii="Arial" w:cs="Arial" w:eastAsia="Arial" w:hAnsi="Arial"/>
          <w:sz w:val="18"/>
          <w:szCs w:val="18"/>
          <w:b w:val="1"/>
          <w:bCs w:val="1"/>
          <w:color w:val="auto"/>
        </w:rPr>
        <w:t xml:space="preserve">RECONCILIATION OF GAAP MEASURES TO NON-GAAP MEASURES </w:t>
      </w:r>
      <w:r>
        <w:rPr>
          <w:rFonts w:ascii="Arial" w:cs="Arial" w:eastAsia="Arial" w:hAnsi="Arial"/>
          <w:sz w:val="18"/>
          <w:szCs w:val="18"/>
          <w:color w:val="auto"/>
        </w:rPr>
        <w:t>(in thousands)</w:t>
      </w:r>
    </w:p>
    <w:p>
      <w:pPr>
        <w:spacing w:after="0" w:line="166"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Fiscal 2010</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140"/>
              <w:spacing w:after="0"/>
              <w:rPr>
                <w:sz w:val="20"/>
                <w:szCs w:val="20"/>
                <w:color w:val="auto"/>
              </w:rPr>
            </w:pPr>
            <w:r>
              <w:rPr>
                <w:rFonts w:ascii="Arial" w:cs="Arial" w:eastAsia="Arial" w:hAnsi="Arial"/>
                <w:sz w:val="18"/>
                <w:szCs w:val="18"/>
                <w:color w:val="auto"/>
              </w:rPr>
              <w:t>Q1</w:t>
            </w:r>
          </w:p>
        </w:tc>
        <w:tc>
          <w:tcPr>
            <w:tcW w:w="240" w:type="dxa"/>
            <w:vAlign w:val="bottom"/>
          </w:tcPr>
          <w:p>
            <w:pPr>
              <w:spacing w:after="0"/>
              <w:rPr>
                <w:sz w:val="18"/>
                <w:szCs w:val="18"/>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8"/>
                <w:szCs w:val="18"/>
                <w:color w:val="auto"/>
              </w:rPr>
              <w:t>Q2</w:t>
            </w:r>
          </w:p>
        </w:tc>
        <w:tc>
          <w:tcPr>
            <w:tcW w:w="22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rPr>
              <w:t>Q3</w:t>
            </w:r>
          </w:p>
        </w:tc>
        <w:tc>
          <w:tcPr>
            <w:tcW w:w="24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Q4</w:t>
            </w:r>
          </w:p>
        </w:tc>
        <w:tc>
          <w:tcPr>
            <w:tcW w:w="1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EBITDA (1)</w:t>
            </w: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21,668</w:t>
            </w:r>
          </w:p>
        </w:tc>
        <w:tc>
          <w:tcPr>
            <w:tcW w:w="3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15,001</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36,669</w:t>
            </w:r>
          </w:p>
        </w:tc>
      </w:tr>
      <w:tr>
        <w:trPr>
          <w:trHeight w:val="216"/>
        </w:trPr>
        <w:tc>
          <w:tcPr>
            <w:tcW w:w="3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5,163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10,325</w:t>
            </w:r>
          </w:p>
        </w:tc>
      </w:tr>
      <w:tr>
        <w:trPr>
          <w:trHeight w:val="216"/>
        </w:trPr>
        <w:tc>
          <w:tcPr>
            <w:tcW w:w="308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8,775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4,842</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13,617</w:t>
            </w:r>
          </w:p>
        </w:tc>
      </w:tr>
      <w:tr>
        <w:trPr>
          <w:trHeight w:val="216"/>
        </w:trPr>
        <w:tc>
          <w:tcPr>
            <w:tcW w:w="3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13,817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13,549</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27,366</w:t>
            </w:r>
          </w:p>
        </w:tc>
      </w:tr>
      <w:tr>
        <w:trPr>
          <w:trHeight w:val="223"/>
        </w:trPr>
        <w:tc>
          <w:tcPr>
            <w:tcW w:w="3080" w:type="dxa"/>
            <w:vAlign w:val="bottom"/>
          </w:tcPr>
          <w:p>
            <w:pPr>
              <w:ind w:left="200"/>
              <w:spacing w:after="0"/>
              <w:rPr>
                <w:sz w:val="20"/>
                <w:szCs w:val="20"/>
                <w:color w:val="auto"/>
              </w:rPr>
            </w:pPr>
            <w:r>
              <w:rPr>
                <w:rFonts w:ascii="Arial" w:cs="Arial" w:eastAsia="Arial" w:hAnsi="Arial"/>
                <w:sz w:val="18"/>
                <w:szCs w:val="18"/>
                <w:color w:val="auto"/>
              </w:rPr>
              <w:t>EBITDA (non-GAAP measure)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49,422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38,555</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87,977</w:t>
            </w:r>
          </w:p>
        </w:tc>
        <w:tc>
          <w:tcPr>
            <w:tcW w:w="8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3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Fiscal 2009</w:t>
            </w: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140"/>
              <w:spacing w:after="0"/>
              <w:rPr>
                <w:sz w:val="20"/>
                <w:szCs w:val="20"/>
                <w:color w:val="auto"/>
              </w:rPr>
            </w:pPr>
            <w:r>
              <w:rPr>
                <w:rFonts w:ascii="Arial" w:cs="Arial" w:eastAsia="Arial" w:hAnsi="Arial"/>
                <w:sz w:val="18"/>
                <w:szCs w:val="18"/>
                <w:color w:val="auto"/>
              </w:rPr>
              <w:t>Q1</w:t>
            </w:r>
          </w:p>
        </w:tc>
        <w:tc>
          <w:tcPr>
            <w:tcW w:w="240" w:type="dxa"/>
            <w:vAlign w:val="bottom"/>
          </w:tcPr>
          <w:p>
            <w:pPr>
              <w:spacing w:after="0"/>
              <w:rPr>
                <w:sz w:val="18"/>
                <w:szCs w:val="18"/>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8"/>
                <w:szCs w:val="18"/>
                <w:color w:val="auto"/>
              </w:rPr>
              <w:t>Q2</w:t>
            </w:r>
          </w:p>
        </w:tc>
        <w:tc>
          <w:tcPr>
            <w:tcW w:w="22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rPr>
              <w:t>Q3</w:t>
            </w:r>
          </w:p>
        </w:tc>
        <w:tc>
          <w:tcPr>
            <w:tcW w:w="24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Q4</w:t>
            </w:r>
          </w:p>
        </w:tc>
        <w:tc>
          <w:tcPr>
            <w:tcW w:w="1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EBITDA (1)</w:t>
            </w: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37,110</w:t>
            </w:r>
          </w:p>
        </w:tc>
        <w:tc>
          <w:tcPr>
            <w:tcW w:w="3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(4,150)</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32,960</w:t>
            </w:r>
          </w:p>
        </w:tc>
      </w:tr>
      <w:tr>
        <w:trPr>
          <w:trHeight w:val="216"/>
        </w:trPr>
        <w:tc>
          <w:tcPr>
            <w:tcW w:w="3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6,314</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12,675</w:t>
            </w:r>
          </w:p>
        </w:tc>
      </w:tr>
      <w:tr>
        <w:trPr>
          <w:trHeight w:val="216"/>
        </w:trPr>
        <w:tc>
          <w:tcPr>
            <w:tcW w:w="308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14,575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756</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15,331</w:t>
            </w:r>
          </w:p>
        </w:tc>
      </w:tr>
      <w:tr>
        <w:trPr>
          <w:trHeight w:val="216"/>
        </w:trPr>
        <w:tc>
          <w:tcPr>
            <w:tcW w:w="3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13,712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13,481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27,193</w:t>
            </w:r>
          </w:p>
        </w:tc>
      </w:tr>
      <w:tr>
        <w:trPr>
          <w:trHeight w:val="223"/>
        </w:trPr>
        <w:tc>
          <w:tcPr>
            <w:tcW w:w="3080" w:type="dxa"/>
            <w:vAlign w:val="bottom"/>
          </w:tcPr>
          <w:p>
            <w:pPr>
              <w:ind w:left="200"/>
              <w:spacing w:after="0"/>
              <w:rPr>
                <w:sz w:val="20"/>
                <w:szCs w:val="20"/>
                <w:color w:val="auto"/>
              </w:rPr>
            </w:pPr>
            <w:r>
              <w:rPr>
                <w:rFonts w:ascii="Arial" w:cs="Arial" w:eastAsia="Arial" w:hAnsi="Arial"/>
                <w:sz w:val="18"/>
                <w:szCs w:val="18"/>
                <w:color w:val="auto"/>
              </w:rPr>
              <w:t>EBITDA (non-GAAP measure)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71,758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16,401</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88,159</w:t>
            </w:r>
          </w:p>
        </w:tc>
        <w:tc>
          <w:tcPr>
            <w:tcW w:w="8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8" w:right="659" w:hanging="348"/>
        <w:spacing w:after="0" w:line="254" w:lineRule="auto"/>
        <w:tabs>
          <w:tab w:leader="none" w:pos="348" w:val="left"/>
        </w:tabs>
        <w:numPr>
          <w:ilvl w:val="0"/>
          <w:numId w:val="3"/>
        </w:numPr>
        <w:rPr>
          <w:rFonts w:ascii="Arial" w:cs="Arial" w:eastAsia="Arial" w:hAnsi="Arial"/>
          <w:sz w:val="18"/>
          <w:szCs w:val="18"/>
          <w:color w:val="auto"/>
        </w:rPr>
      </w:pPr>
      <w:r>
        <w:rPr>
          <w:rFonts w:ascii="Arial" w:cs="Arial" w:eastAsia="Arial" w:hAnsi="Arial"/>
          <w:sz w:val="18"/>
          <w:szCs w:val="18"/>
          <w:color w:val="auto"/>
        </w:rPr>
        <w:t>Brady is presenting EBITDA because it is used by many of our investors and lenders, and is presented as a convenience to them. EBITDA represents net income before interest expense, income taxes and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sectPr>
      <w:pgSz w:w="11900" w:h="16838" w:orient="portrait"/>
      <w:cols w:equalWidth="0" w:num="1">
        <w:col w:w="9887"/>
      </w:cols>
      <w:pgMar w:left="572"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2019-12-10T04:50:42Z</dcterms:created>
  <dcterms:modified xsi:type="dcterms:W3CDTF">2019-12-10T04:50:42Z</dcterms:modified>
</cp:coreProperties>
</file>