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16, 2025, Brady Corporation (the “Company”) issued a press release announcing its fiscal 2025 third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16, 2025, the Company hosted a conference call related to its fiscal 2025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May 16, 2025, relating to fiscal 2025 third quarter financial results.</w:t>
            </w:r>
          </w:p>
        </w:tc>
        <w:tc>
          <w:tcPr>
            <w:tcW w:w="460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May 16, 2025, relating to fiscal 2025 third quarter financial results.</w:t>
            </w:r>
          </w:p>
        </w:tc>
        <w:tc>
          <w:tcPr>
            <w:tcW w:w="382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16, 2025</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Adjusted EPS in its Fiscal 2025 Third Quarter and Tightens its Fiscal 2025 EPS Guidance</w:t>
      </w:r>
    </w:p>
    <w:p>
      <w:pPr>
        <w:spacing w:after="0" w:line="19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11.4 percent. Organic sales increased 1.6 percent, acquisitions increased sales 10.5 percent and foreign currency translation decreased sales 0.7 percent.</w:t>
      </w:r>
    </w:p>
    <w:p>
      <w:pPr>
        <w:spacing w:after="0" w:line="55" w:lineRule="exact"/>
        <w:rPr>
          <w:rFonts w:ascii="Arial" w:cs="Arial" w:eastAsia="Arial" w:hAnsi="Arial"/>
          <w:sz w:val="14"/>
          <w:szCs w:val="14"/>
          <w:color w:val="auto"/>
        </w:rPr>
      </w:pPr>
    </w:p>
    <w:p>
      <w:pPr>
        <w:ind w:left="420" w:right="20" w:hanging="212"/>
        <w:spacing w:after="0" w:line="310"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Diluted EPS increased 3.8 percent to $1.09 in the third quarter of fiscal 2025 compared to $1.05 in the same quarter of the prior year. Adjusted Diluted EPS* increased 11.9 percent to a record high of $1.22 in the third quarter of fiscal 2025 compared to $1.09 in the same quarter of the prior year.</w:t>
      </w:r>
    </w:p>
    <w:p>
      <w:pPr>
        <w:spacing w:after="0" w:line="1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Returned $44.5 million in the quarter to shareholders in the form of dividends and share repurchases.</w:t>
      </w:r>
    </w:p>
    <w:p>
      <w:pPr>
        <w:spacing w:after="0" w:line="55" w:lineRule="exact"/>
        <w:rPr>
          <w:rFonts w:ascii="Times New Roman" w:cs="Times New Roman" w:eastAsia="Times New Roman" w:hAnsi="Times New Roman"/>
          <w:sz w:val="14"/>
          <w:szCs w:val="14"/>
          <w:color w:val="auto"/>
        </w:rPr>
      </w:pPr>
    </w:p>
    <w:p>
      <w:pPr>
        <w:ind w:left="420" w:right="20" w:hanging="212"/>
        <w:spacing w:after="0" w:line="349"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Adjusted Diluted EPS* Guidance range for the full year ending July 31, 2025 was tightened from a range of $4.45 to $4.70 per share to $4.48 to $4.63 per share, and the previous range of GAAP earnings per diluted Class A Nonvoting Common share guidance was updated to $3.95 to $4.10 per share.</w:t>
      </w:r>
    </w:p>
    <w:p>
      <w:pPr>
        <w:spacing w:after="0" w:line="116" w:lineRule="exact"/>
        <w:rPr>
          <w:sz w:val="20"/>
          <w:szCs w:val="20"/>
          <w:color w:val="auto"/>
        </w:rPr>
      </w:pPr>
    </w:p>
    <w:p>
      <w:pPr>
        <w:jc w:val="both"/>
        <w:ind w:right="20"/>
        <w:spacing w:after="0" w:line="353" w:lineRule="auto"/>
        <w:rPr>
          <w:sz w:val="20"/>
          <w:szCs w:val="20"/>
          <w:color w:val="auto"/>
        </w:rPr>
      </w:pPr>
      <w:r>
        <w:rPr>
          <w:rFonts w:ascii="Times New Roman" w:cs="Times New Roman" w:eastAsia="Times New Roman" w:hAnsi="Times New Roman"/>
          <w:sz w:val="13"/>
          <w:szCs w:val="13"/>
          <w:color w:val="auto"/>
        </w:rPr>
        <w:t>MILWAUKEE (May 16, 2025) -- Brady Corporation (NYSE: BRC) (“Brady” or “Company”), a world leader in identification solutions, today reported its financial results for its fiscal 2025 third quarter ended April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April 30, 2025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quarter ended April 30, 2025 increased 11.4 percent, which consisted of organic sales growth of 1.6 percent, growth of 10.5 percent from acquisitions and a decline of 0.7 percent from foreign currency translation. Sales for the quarter ended April 30, 2025 were $382.6 million compared to $343.4 million in the same quarter last year. By region, sales increased 12.9 percent in the Americas &amp; Asia and sales increased 8.7 percent in Europe &amp; Australia, which consisted of organic sales growth of 5.4 percent in the Americas &amp; Asia and an organic sales decline of 5.4 percent in Europe &amp; Australia.</w:t>
      </w:r>
    </w:p>
    <w:p>
      <w:pPr>
        <w:spacing w:after="0" w:line="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Income before income taxes increased 2.1 percent to $65.7 million in the quarter ended April 30, 2025, compared to $64.4 million in the same quarter last year. Adjusted Income Before Income Taxes* in the quarter ended April 30, 2025, which was adjusted for amortization expense and facility closure and other reorganization costs of $8.7 million, was $74.4 million, an increase of 11.5 percent compared to the same quarter last year.</w:t>
      </w:r>
    </w:p>
    <w:p>
      <w:pPr>
        <w:spacing w:after="0" w:line="1" w:lineRule="exact"/>
        <w:rPr>
          <w:sz w:val="20"/>
          <w:szCs w:val="20"/>
          <w:color w:val="auto"/>
        </w:rPr>
      </w:pP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Net income for the quarter ended April 30, 2025 was $52.3 million compared to $50.9 million in the same quarter last year. Adjusted Net Income* in the quarter ended April 30, 2025 was $58.8 million compared to $52.7 million in the same quarter last year. Earnings per diluted Class A Nonvoting Common Share was $1.09 compared to $1.05 in the same quarter last year. Adjusted Diluted EPS* in the quarter ended April 30, 2025 was $1.22 compared to $1.09 in the same quarter last year.</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Nine-Month Period Ended April 30, 2025 Financial Results:</w:t>
      </w:r>
    </w:p>
    <w:p>
      <w:pPr>
        <w:spacing w:after="0" w:line="51" w:lineRule="exact"/>
        <w:rPr>
          <w:sz w:val="20"/>
          <w:szCs w:val="20"/>
          <w:color w:val="auto"/>
        </w:rPr>
      </w:pPr>
    </w:p>
    <w:p>
      <w:pPr>
        <w:jc w:val="both"/>
        <w:ind w:firstLine="432"/>
        <w:spacing w:after="0" w:line="328" w:lineRule="auto"/>
        <w:rPr>
          <w:sz w:val="20"/>
          <w:szCs w:val="20"/>
          <w:color w:val="auto"/>
        </w:rPr>
      </w:pPr>
      <w:r>
        <w:rPr>
          <w:rFonts w:ascii="Times New Roman" w:cs="Times New Roman" w:eastAsia="Times New Roman" w:hAnsi="Times New Roman"/>
          <w:sz w:val="13"/>
          <w:szCs w:val="13"/>
          <w:color w:val="auto"/>
        </w:rPr>
        <w:t>Sales for the nine-month period ended April 30, 2025 increased 11.9 percent, which consisted of organic sales growth of 2.6 percent, growth of 10.2 percent from acquisitions, a decline of 0.5 percent from foreign currency translation and a decline of 0.4 percent from divestitures. Sales for the nine months ended April 30, 2025 were $1.12 billion compared to $998.0 million in the same period last year. By region, sales increased 11.4 percent in the Americas &amp; Asia and sales increased 12.8 percent in Europe &amp; Australia, which consisted of organic growth of 5.0 percent in the Americas &amp; Asia and an organic sales decline of 1.9 percent in Europe &amp; Australia.</w:t>
      </w:r>
    </w:p>
    <w:p>
      <w:pPr>
        <w:spacing w:after="0" w:line="2"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Income before income taxes decreased 1.7 percent to $176.6 million in the nine-month period ended April 30, 2025, compared to $179.6 million in the same period last year. Adjusted Income Before Income Taxes* in the nine-month period ended April 30, 2025, which was adjusted for amortization expense, facility closure and other reorganization costs and acquisition-related charges of $28.8 million, was $205.4 million, an increase of 10.0 percent compared to the same period last year.</w:t>
      </w:r>
    </w:p>
    <w:p>
      <w:pPr>
        <w:spacing w:after="0" w:line="1" w:lineRule="exact"/>
        <w:rPr>
          <w:sz w:val="20"/>
          <w:szCs w:val="20"/>
          <w:color w:val="auto"/>
        </w:rPr>
      </w:pPr>
    </w:p>
    <w:p>
      <w:pPr>
        <w:jc w:val="both"/>
        <w:ind w:right="20" w:firstLine="432"/>
        <w:spacing w:after="0" w:line="357" w:lineRule="auto"/>
        <w:rPr>
          <w:sz w:val="20"/>
          <w:szCs w:val="20"/>
          <w:color w:val="auto"/>
        </w:rPr>
      </w:pPr>
      <w:r>
        <w:rPr>
          <w:rFonts w:ascii="Times New Roman" w:cs="Times New Roman" w:eastAsia="Times New Roman" w:hAnsi="Times New Roman"/>
          <w:sz w:val="13"/>
          <w:szCs w:val="13"/>
          <w:color w:val="auto"/>
        </w:rPr>
        <w:t>Net income in the nine-month period ended April 30, 2025 was $139.4 million compared to $141.8 million in the same period last year. Adjusted Net Income* in the nine-month period ended April 30, 2025 was $161.1 million compared to $147.2 million in the same period last year. Earnings per diluted Class A Nonvoting Common Share was $2.89 compared to $2.91 in the same period last year. Adjusted Diluted EPS* in the nine-month period ended April 30, 2025 was $3.34 compared to $3.03 in the same period last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“Our organic sales growth in the Americas &amp; Asia region was strong this quarter, which was driven by our increased investments in research and development and new product launches over the last several years. The result was a new all-time company record quarter of adjusted earnings per share,” said Brady’s President and Chief Executive Officer, Russell R. Shaller. “While the tariff situation is currently uncertain, we will continue to focus on the execution of our strategic initiatives and we expect to utilize our global manufacturing presence to navigate trade developments throughout our businesses.”</w:t>
      </w:r>
    </w:p>
    <w:p>
      <w:pPr>
        <w:spacing w:after="0" w:line="1" w:lineRule="exact"/>
        <w:rPr>
          <w:sz w:val="20"/>
          <w:szCs w:val="20"/>
          <w:color w:val="auto"/>
        </w:rPr>
      </w:pP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“In addition to our record adjusted EPS this quarter, we also used our strong balance sheet and cash generation to return funds to our shareholders through share buybacks and increased dividends. This quarter, we repurchased 476,000 shares for $33.2 million, and we returned another $11.3 million to our shareholders in the form of dividends,” said Brady’s Chief Financial Officer, Ann Thornton. “Our balance sheet provides us with the ability to continue to invest in both organic growth and strategic acquisitions to increase shareholder value, along with stability during this period of uncertainty surrounding the global trade environment.”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2025 Guidance:</w:t>
      </w:r>
    </w:p>
    <w:p>
      <w:pPr>
        <w:spacing w:after="0" w:line="60" w:lineRule="exact"/>
        <w:rPr>
          <w:sz w:val="20"/>
          <w:szCs w:val="20"/>
          <w:color w:val="auto"/>
        </w:rPr>
      </w:pPr>
    </w:p>
    <w:p>
      <w:pPr>
        <w:jc w:val="both"/>
        <w:ind w:firstLine="432"/>
        <w:spacing w:after="0" w:line="325" w:lineRule="auto"/>
        <w:rPr>
          <w:sz w:val="20"/>
          <w:szCs w:val="20"/>
          <w:color w:val="auto"/>
        </w:rPr>
      </w:pPr>
      <w:r>
        <w:rPr>
          <w:rFonts w:ascii="Times New Roman" w:cs="Times New Roman" w:eastAsia="Times New Roman" w:hAnsi="Times New Roman"/>
          <w:sz w:val="13"/>
          <w:szCs w:val="13"/>
          <w:color w:val="auto"/>
        </w:rPr>
        <w:t>The Company tightened its Adjusted Diluted EPS* guidance for the year ending July 31, 2025 from $4.45 to $4.70 per share to $4.48 to $4.63 per share. The Company’s GAAP earnings per diluted Class A Nonvoting Share guidance for the year ending July 31, 2025 was updated for facility closure and other reorganization costs incurred to date to $3.95 to $4.10 per share, from $3.99 to $4.24 per share.</w:t>
      </w:r>
    </w:p>
    <w:p>
      <w:pPr>
        <w:jc w:val="both"/>
        <w:ind w:firstLine="432"/>
        <w:spacing w:after="0" w:line="367" w:lineRule="auto"/>
        <w:rPr>
          <w:sz w:val="20"/>
          <w:szCs w:val="20"/>
          <w:color w:val="auto"/>
        </w:rPr>
      </w:pPr>
      <w:r>
        <w:rPr>
          <w:rFonts w:ascii="Times New Roman" w:cs="Times New Roman" w:eastAsia="Times New Roman" w:hAnsi="Times New Roman"/>
          <w:sz w:val="13"/>
          <w:szCs w:val="13"/>
          <w:color w:val="auto"/>
        </w:rPr>
        <w:t>The assumptions included in fiscal 2025 guidance include a full-year income tax rate of approximately 20 percent, depreciation and amortization expense of approximately $40 million, and capital expenditures of approximately $25 million. Fiscal 2025 guidance is based upon foreign currency exchange rates as of April 30, 2025 and assumes economic growth.</w:t>
      </w:r>
    </w:p>
    <w:p>
      <w:pPr>
        <w:sectPr>
          <w:pgSz w:w="11900" w:h="16838" w:orient="portrait"/>
          <w:cols w:equalWidth="0" w:num="1">
            <w:col w:w="11300"/>
          </w:cols>
          <w:pgMar w:left="300" w:top="663" w:right="29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2025 third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firstLine="424"/>
        <w:spacing w:after="0" w:line="325"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global climate change and environmental regulations; litigation, including product liability claims;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6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382,590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343,384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1,116,330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997,991</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187,531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166,357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555,739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487,162</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195,059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560,591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510,829</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17,681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56,835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50,215</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108,678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95,803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326,410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283,415</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127,869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113,484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383,245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333,630</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177,346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177,199</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(expense)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4,718</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(2,284)</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65,745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176,592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179,633</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13,521</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37,212</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37,874</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52,263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139,380</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141,759</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48,294</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48,196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48,640</w:t>
            </w:r>
          </w:p>
        </w:tc>
      </w:tr>
    </w:tbl>
    <w:p>
      <w:pPr>
        <w:sectPr>
          <w:pgSz w:w="11900" w:h="16838" w:orient="portrait"/>
          <w:cols w:equalWidth="0" w:num="1">
            <w:col w:w="11300"/>
          </w:cols>
          <w:pgMar w:left="300" w:top="5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April 30, 2025</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2024</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$8,967 and $6,749,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189,991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152,729</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581,902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599,715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219,082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195,758</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51,839</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38,504</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24,191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1,698,115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1,515,569</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84,691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87,506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86,809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67,170</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311,786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264,682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90,935</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25,342</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72,185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67,952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530,562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43,774,580 and 44,042,462 shares,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357,545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1,279,168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1,174,025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stock—7,486,907 and 7,219,025 shares, respectively, of Class A nonvoting common stock, at cost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(375,974)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(93,734)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(109,622)</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1,167,553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1,066,658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1,698,115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1,515,569</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139,380</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141,759</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22,406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(15,915)</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20,861</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(26,415)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7,347</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122,874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171,094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(18,685)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(69,157)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(147,248)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(165,079)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(70,331)</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(33,890)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5,583</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(2,664)</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(33,155)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(72,225)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206,249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111,790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(194,365)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(97,732)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(52,077)</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(88,989)</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(2,848)</w:t>
            </w:r>
          </w:p>
        </w:tc>
      </w:tr>
      <w:tr>
        <w:trPr>
          <w:trHeight w:val="153"/>
        </w:trPr>
        <w:tc>
          <w:tcPr>
            <w:tcW w:w="8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300"/>
          </w:cols>
          <w:pgMar w:left="300" w:top="560" w:right="299" w:bottom="1440" w:gutter="0" w:footer="0" w:header="0"/>
        </w:sectPr>
      </w:pPr>
    </w:p>
    <w:p>
      <w:pPr>
        <w:spacing w:after="0"/>
        <w:rPr>
          <w:sz w:val="20"/>
          <w:szCs w:val="20"/>
          <w:color w:val="auto"/>
        </w:rPr>
      </w:pPr>
      <w:r>
        <w:rPr>
          <w:rFonts w:ascii="Times New Roman" w:cs="Times New Roman" w:eastAsia="Times New Roman" w:hAnsi="Times New Roman"/>
          <w:sz w:val="10"/>
          <w:szCs w:val="10"/>
          <w:color w:val="auto"/>
        </w:rPr>
        <w:t>Net (decrease) increase in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20" w:type="dxa"/>
            <w:vAlign w:val="bottom"/>
          </w:tcPr>
          <w:p>
            <w:pPr>
              <w:spacing w:after="0"/>
              <w:rPr>
                <w:sz w:val="12"/>
                <w:szCs w:val="12"/>
                <w:color w:val="auto"/>
              </w:rPr>
            </w:pPr>
          </w:p>
        </w:tc>
        <w:tc>
          <w:tcPr>
            <w:tcW w:w="84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5"/>
              </w:rPr>
              <w:t>(97,964)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8,926</w:t>
            </w:r>
          </w:p>
        </w:tc>
      </w:tr>
      <w:tr>
        <w:trPr>
          <w:trHeight w:val="146"/>
        </w:trPr>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250,118</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295"/>
        </w:trPr>
        <w:tc>
          <w:tcPr>
            <w:tcW w:w="5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152,154</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160,458</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-313690</wp:posOffset>
            </wp:positionV>
            <wp:extent cx="7178040"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-113665</wp:posOffset>
            </wp:positionV>
            <wp:extent cx="717804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2">
            <w:col w:w="7760" w:space="720"/>
            <w:col w:w="2820"/>
          </w:cols>
          <w:pgMar w:left="300" w:top="560"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20" w:type="dxa"/>
            <w:vAlign w:val="bottom"/>
            <w:tcBorders>
              <w:bottom w:val="single" w:sz="8" w:color="auto"/>
            </w:tcBorders>
          </w:tcPr>
          <w:p>
            <w:pPr>
              <w:spacing w:after="0"/>
              <w:rPr>
                <w:sz w:val="12"/>
                <w:szCs w:val="12"/>
                <w:color w:val="auto"/>
              </w:rPr>
            </w:pPr>
          </w:p>
        </w:tc>
      </w:tr>
      <w:tr>
        <w:trPr>
          <w:trHeight w:val="151"/>
        </w:trPr>
        <w:tc>
          <w:tcPr>
            <w:tcW w:w="53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0"/>
              </w:rPr>
              <w:t>2024</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253,652</w:t>
            </w:r>
          </w:p>
        </w:tc>
        <w:tc>
          <w:tcPr>
            <w:tcW w:w="80" w:type="dxa"/>
            <w:vAlign w:val="bottom"/>
          </w:tcPr>
          <w:p>
            <w:pPr>
              <w:spacing w:after="0"/>
              <w:rPr>
                <w:sz w:val="12"/>
                <w:szCs w:val="12"/>
                <w:color w:val="auto"/>
              </w:rPr>
            </w:pP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224,766</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732,926</w:t>
            </w:r>
          </w:p>
        </w:tc>
        <w:tc>
          <w:tcPr>
            <w:tcW w:w="80" w:type="dxa"/>
            <w:vAlign w:val="bottom"/>
          </w:tcPr>
          <w:p>
            <w:pPr>
              <w:spacing w:after="0"/>
              <w:rPr>
                <w:sz w:val="12"/>
                <w:szCs w:val="12"/>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658,035</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128,938</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118,618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383,404</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339,956</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382,590</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343,384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1,116,330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997,991</w:t>
            </w:r>
          </w:p>
        </w:tc>
      </w:tr>
      <w:tr>
        <w:trPr>
          <w:trHeight w:val="153"/>
        </w:trPr>
        <w:tc>
          <w:tcPr>
            <w:tcW w:w="5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8.6 %</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11.4 %</w:t>
            </w:r>
          </w:p>
        </w:tc>
        <w:tc>
          <w:tcPr>
            <w:tcW w:w="8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2.8 %</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14.2 %</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55"/>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0.6 %</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51"/>
        </w:trPr>
        <w:tc>
          <w:tcPr>
            <w:tcW w:w="5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153"/>
        </w:trPr>
        <w:tc>
          <w:tcPr>
            <w:tcW w:w="5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57,164</w:t>
            </w:r>
          </w:p>
        </w:tc>
        <w:tc>
          <w:tcPr>
            <w:tcW w:w="80" w:type="dxa"/>
            <w:vAlign w:val="bottom"/>
          </w:tcPr>
          <w:p>
            <w:pPr>
              <w:spacing w:after="0"/>
              <w:rPr>
                <w:sz w:val="12"/>
                <w:szCs w:val="12"/>
                <w:color w:val="auto"/>
              </w:rPr>
            </w:pPr>
          </w:p>
        </w:tc>
        <w:tc>
          <w:tcPr>
            <w:tcW w:w="90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49,697</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158,148</w:t>
            </w:r>
          </w:p>
        </w:tc>
        <w:tc>
          <w:tcPr>
            <w:tcW w:w="80" w:type="dxa"/>
            <w:vAlign w:val="bottom"/>
          </w:tcPr>
          <w:p>
            <w:pPr>
              <w:spacing w:after="0"/>
              <w:rPr>
                <w:sz w:val="12"/>
                <w:szCs w:val="12"/>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143,489</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17,478</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19,537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41,872</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51,335</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74,642</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69,234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200,020</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194,824</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21.8 %</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13.6 %</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16.5 %</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10.9 %</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r>
      <w:tr>
        <w:trPr>
          <w:trHeight w:val="135"/>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20.2 %</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17.9 %</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19.5 %</w:t>
            </w:r>
          </w:p>
        </w:tc>
      </w:tr>
      <w:tr>
        <w:trPr>
          <w:trHeight w:val="20"/>
        </w:trPr>
        <w:tc>
          <w:tcPr>
            <w:tcW w:w="53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69"/>
        </w:trPr>
        <w:tc>
          <w:tcPr>
            <w:tcW w:w="536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20" w:type="dxa"/>
            <w:vAlign w:val="bottom"/>
            <w:tcBorders>
              <w:bottom w:val="single" w:sz="8" w:color="auto"/>
            </w:tcBorders>
          </w:tcPr>
          <w:p>
            <w:pPr>
              <w:spacing w:after="0"/>
              <w:rPr>
                <w:sz w:val="24"/>
                <w:szCs w:val="24"/>
                <w:color w:val="auto"/>
              </w:rPr>
            </w:pPr>
          </w:p>
        </w:tc>
      </w:tr>
      <w:tr>
        <w:trPr>
          <w:trHeight w:val="151"/>
        </w:trPr>
        <w:tc>
          <w:tcPr>
            <w:tcW w:w="53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0"/>
              </w:rPr>
              <w:t>2024</w:t>
            </w:r>
          </w:p>
        </w:tc>
      </w:tr>
      <w:tr>
        <w:trPr>
          <w:trHeight w:val="13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74,642</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69,234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200,020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194,824</w:t>
            </w:r>
          </w:p>
        </w:tc>
      </w:tr>
      <w:tr>
        <w:trPr>
          <w:trHeight w:val="142"/>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(7,452)</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(5,691)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(22,674)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(17,625)</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9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1,596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2,850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4,718</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(936)</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(3,604)</w:t>
            </w: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(2,284)</w:t>
            </w:r>
          </w:p>
        </w:tc>
      </w:tr>
      <w:tr>
        <w:trPr>
          <w:trHeight w:val="135"/>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65,745</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64,411</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176,592</w:t>
            </w: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179,633</w:t>
            </w: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65,745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176,592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179,633</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4,754</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7,084</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74,429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66,776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205,373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186,717</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37,212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37,874</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15,609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14,069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44,275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39,516</w:t>
            </w:r>
          </w:p>
        </w:tc>
      </w:tr>
    </w:tbl>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52,263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139,380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5,442</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58,820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52,707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161,098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147,201</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2024</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3.03</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2025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r>
      <w:tr>
        <w:trPr>
          <w:trHeight w:val="142"/>
        </w:trPr>
        <w:tc>
          <w:tcPr>
            <w:tcW w:w="8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46"/>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4.48</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4.63</w:t>
            </w:r>
          </w:p>
        </w:tc>
      </w:tr>
    </w:tbl>
    <w:p>
      <w:pPr>
        <w:sectPr>
          <w:pgSz w:w="11900" w:h="16838" w:orient="portrait"/>
          <w:cols w:equalWidth="0" w:num="1">
            <w:col w:w="11300"/>
          </w:cols>
          <w:pgMar w:left="300" w:top="665" w:right="299" w:bottom="1440"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2025-05-16T06:13:02Z</dcterms:created>
  <dcterms:modified xsi:type="dcterms:W3CDTF">2025-05-16T06:13:02Z</dcterms:modified>
</cp:coreProperties>
</file>