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5" w:lineRule="exact"/>
        <w:rPr>
          <w:sz w:val="24"/>
          <w:szCs w:val="24"/>
          <w:color w:val="auto"/>
        </w:rPr>
      </w:pPr>
    </w:p>
    <w:p>
      <w:pPr>
        <w:ind w:left="380"/>
        <w:spacing w:after="0" w:line="23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36830</wp:posOffset>
            </wp:positionH>
            <wp:positionV relativeFrom="paragraph">
              <wp:posOffset>-238125</wp:posOffset>
            </wp:positionV>
            <wp:extent cx="133985" cy="13398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985" cy="1339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9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9"/>
        </w:trPr>
        <w:tc>
          <w:tcPr>
            <w:tcW w:w="6500" w:type="dxa"/>
            <w:vAlign w:val="bottom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9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00" w:type="dxa"/>
            <w:vAlign w:val="bottom"/>
            <w:vMerge w:val="restart"/>
          </w:tcPr>
          <w:p>
            <w:pPr>
              <w:jc w:val="center"/>
              <w:ind w:right="254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5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00" w:type="dxa"/>
            <w:vAlign w:val="bottom"/>
            <w:vMerge w:val="restart"/>
          </w:tcPr>
          <w:p>
            <w:pPr>
              <w:jc w:val="center"/>
              <w:ind w:right="254"/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9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65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right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00" w:type="dxa"/>
            <w:vAlign w:val="bottom"/>
            <w:vMerge w:val="restart"/>
          </w:tcPr>
          <w:p>
            <w:pPr>
              <w:jc w:val="center"/>
              <w:ind w:right="2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800" w:type="dxa"/>
            <w:vAlign w:val="bottom"/>
          </w:tcPr>
          <w:p>
            <w:pPr>
              <w:jc w:val="right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5446395</wp:posOffset>
            </wp:positionH>
            <wp:positionV relativeFrom="paragraph">
              <wp:posOffset>-640715</wp:posOffset>
            </wp:positionV>
            <wp:extent cx="59055" cy="65405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40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4113530</wp:posOffset>
            </wp:positionH>
            <wp:positionV relativeFrom="paragraph">
              <wp:posOffset>-640715</wp:posOffset>
            </wp:positionV>
            <wp:extent cx="59055" cy="65405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40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-1735455</wp:posOffset>
            </wp:positionH>
            <wp:positionV relativeFrom="paragraph">
              <wp:posOffset>18415</wp:posOffset>
            </wp:positionV>
            <wp:extent cx="7324090" cy="520509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090" cy="52050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400"/>
            <w:col w:w="8800"/>
          </w:cols>
          <w:pgMar w:left="240" w:top="224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Felmer Thomas J</w:t>
        </w:r>
      </w:hyperlink>
    </w:p>
    <w:p>
      <w:pPr>
        <w:spacing w:after="0" w:line="316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7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6555 W. GOOD HOPE 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BRADY CORP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BRC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1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09/21/2010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680" w:hanging="3"/>
        <w:spacing w:after="0" w:line="245" w:lineRule="auto"/>
        <w:tabs>
          <w:tab w:leader="none" w:pos="15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5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7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122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SR VP CFO</w:t>
      </w:r>
    </w:p>
    <w:p>
      <w:pPr>
        <w:spacing w:after="0" w:line="3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463"/>
          </w:cols>
          <w:pgMar w:left="240" w:top="224" w:right="139" w:bottom="1440" w:gutter="0" w:footer="0" w:header="0"/>
          <w:type w:val="continuous"/>
        </w:sectPr>
      </w:pPr>
    </w:p>
    <w:p>
      <w:pPr>
        <w:spacing w:after="0" w:line="16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7"/>
        </w:trPr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MILWAUKEE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WI</w:t>
            </w:r>
          </w:p>
        </w:tc>
        <w:tc>
          <w:tcPr>
            <w:tcW w:w="170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53223</w:t>
            </w:r>
          </w:p>
        </w:tc>
      </w:tr>
      <w:tr>
        <w:trPr>
          <w:trHeight w:val="15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70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27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0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4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1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2A. Deemed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</w:tcPr>
          <w:p>
            <w:pPr>
              <w:ind w:left="6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3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  <w:vMerge w:val="restart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2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(D)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Class A Common Stock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522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vertAlign w:val="superscript"/>
              </w:rPr>
              <w:t>(2)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2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520" w:type="dxa"/>
            <w:vAlign w:val="bottom"/>
            <w:gridSpan w:val="10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1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1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or Indirect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1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Deferred</w:t>
            </w:r>
          </w:p>
        </w:tc>
        <w:tc>
          <w:tcPr>
            <w:tcW w:w="860" w:type="dxa"/>
            <w:vAlign w:val="bottom"/>
            <w:vMerge w:val="restart"/>
          </w:tcPr>
          <w:p>
            <w:pPr>
              <w:jc w:val="right"/>
              <w:ind w:right="3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jc w:val="right"/>
              <w:ind w:right="3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jc w:val="right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Class A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right"/>
              <w:ind w:right="1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7"/>
              </w:rPr>
              <w:t>Compensation</w:t>
            </w: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jc w:val="right"/>
              <w:ind w:right="81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10,388.5158</w:t>
            </w:r>
          </w:p>
        </w:tc>
        <w:tc>
          <w:tcPr>
            <w:tcW w:w="660" w:type="dxa"/>
            <w:vAlign w:val="bottom"/>
          </w:tcPr>
          <w:p>
            <w:pPr>
              <w:ind w:left="3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Class A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11,667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jc w:val="center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10,388.5158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9"/>
                <w:vertAlign w:val="superscript"/>
              </w:rPr>
              <w:t>(3)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 Option</w:t>
            </w:r>
          </w:p>
        </w:tc>
        <w:tc>
          <w:tcPr>
            <w:tcW w:w="860" w:type="dxa"/>
            <w:vAlign w:val="bottom"/>
          </w:tcPr>
          <w:p>
            <w:pPr>
              <w:jc w:val="center"/>
              <w:ind w:right="20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29.78</w:t>
            </w:r>
          </w:p>
        </w:tc>
        <w:tc>
          <w:tcPr>
            <w:tcW w:w="10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09/21/2010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J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11,667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jc w:val="right"/>
              <w:ind w:right="10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08/02/2009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08/02/2019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2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Stock</w:t>
      </w:r>
    </w:p>
    <w:p>
      <w:pPr>
        <w:spacing w:after="0" w:line="9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6" w:lineRule="exact"/>
        <w:rPr>
          <w:sz w:val="24"/>
          <w:szCs w:val="24"/>
          <w:color w:val="auto"/>
        </w:rPr>
      </w:pPr>
    </w:p>
    <w:p>
      <w:pPr>
        <w:ind w:left="40" w:right="400" w:firstLine="5"/>
        <w:spacing w:after="0" w:line="298" w:lineRule="auto"/>
        <w:tabs>
          <w:tab w:leader="none" w:pos="172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The deferred compensation stock units were acquired under the Brady Corporation employee deferred compensation plan. Each deferred compensation unit is the economic equivalent of one share of Class A Common Stock. The deferred compensation units become payable in shares of Brady's Class A Common Stock upon the reporting persons cessation of service as an employee of Brady Corporation.</w:t>
      </w:r>
    </w:p>
    <w:p>
      <w:pPr>
        <w:ind w:left="180" w:hanging="135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This common stock total reflects a corrective amount to include 62 shares acquired during fiscal year 2010 pursuant to a dividend reinvestment.</w:t>
      </w:r>
    </w:p>
    <w:p>
      <w:pPr>
        <w:spacing w:after="0" w:line="48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560" w:firstLine="5"/>
        <w:spacing w:after="0" w:line="258" w:lineRule="auto"/>
        <w:tabs>
          <w:tab w:leader="none" w:pos="17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vested shares as of September 21, 2010 derived from a performance stock option grant awarded August 2, 2009. The shares remain unexercised, thus the derivative securities ownership amount remains the same.</w:t>
      </w:r>
    </w:p>
    <w:p>
      <w:pPr>
        <w:spacing w:after="0" w:line="1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27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12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Krista Ebbens, as Attorney-In-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09/21/2010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200" w:type="dxa"/>
            <w:vAlign w:val="bottom"/>
            <w:gridSpan w:val="3"/>
            <w:vMerge w:val="restart"/>
          </w:tcPr>
          <w:p>
            <w:pPr>
              <w:spacing w:after="0" w:line="19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Fact</w:t>
            </w: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3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90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9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jc w:val="both"/>
        <w:ind w:left="40" w:right="3860" w:firstLine="5"/>
        <w:spacing w:after="0" w:line="316" w:lineRule="auto"/>
        <w:tabs>
          <w:tab w:leader="none" w:pos="179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4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95336" TargetMode="External"/><Relationship Id="rId13" Type="http://schemas.openxmlformats.org/officeDocument/2006/relationships/hyperlink" Target="http://www.sec.gov/cgi-bin/browse-edgar?action=getcompany&amp;CIK=00007465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2019-12-18T14:44:16Z</dcterms:created>
  <dcterms:modified xsi:type="dcterms:W3CDTF">2019-12-18T14:44:16Z</dcterms:modified>
</cp:coreProperties>
</file>