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20, 2009</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514" w:right="239" w:bottom="1440" w:gutter="0" w:footer="0" w:header="0"/>
        </w:sectPr>
      </w:pPr>
    </w:p>
    <w:p>
      <w:pPr>
        <w:spacing w:after="0" w:line="19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514" w:right="239"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ind w:right="80" w:firstLine="250"/>
        <w:spacing w:after="0"/>
        <w:rPr>
          <w:sz w:val="20"/>
          <w:szCs w:val="20"/>
          <w:color w:val="auto"/>
        </w:rPr>
      </w:pPr>
      <w:r>
        <w:rPr>
          <w:rFonts w:ascii="Arial" w:cs="Arial" w:eastAsia="Arial" w:hAnsi="Arial"/>
          <w:sz w:val="18"/>
          <w:szCs w:val="18"/>
          <w:color w:val="auto"/>
        </w:rPr>
        <w:t>On May 20, 2009, Brady Corporation (the “Corporation”) issued a press release announcing its fiscal 2009 third quarter financial results. A copy of the press release is being furnished to the Securities and Exchange Commission as Exhibit 99.1 attached herewith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rPr>
              <w:t>Exhibit No.</w:t>
            </w:r>
          </w:p>
        </w:tc>
        <w:tc>
          <w:tcPr>
            <w:tcW w:w="10500" w:type="dxa"/>
            <w:vAlign w:val="bottom"/>
            <w:gridSpan w:val="2"/>
          </w:tcPr>
          <w:p>
            <w:pPr>
              <w:ind w:left="580"/>
              <w:spacing w:after="0"/>
              <w:rPr>
                <w:sz w:val="20"/>
                <w:szCs w:val="20"/>
                <w:color w:val="auto"/>
              </w:rPr>
            </w:pPr>
            <w:r>
              <w:rPr>
                <w:rFonts w:ascii="Arial" w:cs="Arial" w:eastAsia="Arial" w:hAnsi="Arial"/>
                <w:sz w:val="14"/>
                <w:szCs w:val="14"/>
                <w:color w:val="auto"/>
              </w:rPr>
              <w:t>Description of Exhibit</w:t>
            </w:r>
          </w:p>
        </w:tc>
      </w:tr>
      <w:tr>
        <w:trPr>
          <w:trHeight w:val="20"/>
        </w:trPr>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Press Release of Brady Corporation, dated May 20, 2009, relating to the Corporation’s fiscal 2009 third quarter financial</w:t>
            </w:r>
          </w:p>
        </w:tc>
      </w:tr>
      <w:tr>
        <w:trPr>
          <w:trHeight w:val="217"/>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results</w:t>
            </w:r>
          </w:p>
        </w:tc>
      </w:tr>
      <w:tr>
        <w:trPr>
          <w:trHeight w:val="605"/>
        </w:trPr>
        <w:tc>
          <w:tcPr>
            <w:tcW w:w="9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22, 2009</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Thomas J. Felmer</w:t>
      </w:r>
    </w:p>
    <w:p>
      <w:pPr>
        <w:ind w:left="5500"/>
        <w:spacing w:after="0" w:line="234" w:lineRule="auto"/>
        <w:rPr>
          <w:sz w:val="20"/>
          <w:szCs w:val="20"/>
          <w:color w:val="auto"/>
        </w:rPr>
      </w:pPr>
      <w:r>
        <w:rPr>
          <w:rFonts w:ascii="Arial" w:cs="Arial" w:eastAsia="Arial" w:hAnsi="Arial"/>
          <w:sz w:val="18"/>
          <w:szCs w:val="18"/>
          <w:color w:val="auto"/>
        </w:rPr>
        <w:t>Senior Vice President &amp;</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510540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76"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ind w:left="3560"/>
              <w:spacing w:after="0"/>
              <w:rPr>
                <w:sz w:val="20"/>
                <w:szCs w:val="20"/>
                <w:color w:val="auto"/>
              </w:rPr>
            </w:pPr>
            <w:r>
              <w:rPr>
                <w:rFonts w:ascii="Arial" w:cs="Arial" w:eastAsia="Arial" w:hAnsi="Arial"/>
                <w:sz w:val="18"/>
                <w:szCs w:val="18"/>
                <w:color w:val="auto"/>
              </w:rPr>
              <w:t>EXHIBIT INDEX</w:t>
            </w:r>
          </w:p>
        </w:tc>
      </w:tr>
      <w:tr>
        <w:trPr>
          <w:trHeight w:val="351"/>
        </w:trPr>
        <w:tc>
          <w:tcPr>
            <w:tcW w:w="920" w:type="dxa"/>
            <w:vAlign w:val="bottom"/>
          </w:tcPr>
          <w:p>
            <w:pPr>
              <w:spacing w:after="0"/>
              <w:rPr>
                <w:sz w:val="20"/>
                <w:szCs w:val="20"/>
                <w:color w:val="auto"/>
              </w:rPr>
            </w:pPr>
            <w:r>
              <w:rPr>
                <w:rFonts w:ascii="Arial" w:cs="Arial" w:eastAsia="Arial" w:hAnsi="Arial"/>
                <w:sz w:val="14"/>
                <w:szCs w:val="14"/>
                <w:color w:val="auto"/>
              </w:rPr>
              <w:t>Exhibit No.</w:t>
            </w:r>
          </w:p>
        </w:tc>
        <w:tc>
          <w:tcPr>
            <w:tcW w:w="10500" w:type="dxa"/>
            <w:vAlign w:val="bottom"/>
            <w:gridSpan w:val="2"/>
          </w:tcPr>
          <w:p>
            <w:pPr>
              <w:ind w:left="580"/>
              <w:spacing w:after="0"/>
              <w:rPr>
                <w:sz w:val="20"/>
                <w:szCs w:val="20"/>
                <w:color w:val="auto"/>
              </w:rPr>
            </w:pPr>
            <w:r>
              <w:rPr>
                <w:rFonts w:ascii="Arial" w:cs="Arial" w:eastAsia="Arial" w:hAnsi="Arial"/>
                <w:sz w:val="14"/>
                <w:szCs w:val="14"/>
                <w:color w:val="auto"/>
              </w:rPr>
              <w:t>Description of Exhibit</w:t>
            </w:r>
          </w:p>
        </w:tc>
      </w:tr>
      <w:tr>
        <w:trPr>
          <w:trHeight w:val="20"/>
        </w:trPr>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Press Release of Brady Corporation, dated May 20, 2009, relating to the Corporation’s fiscal 2009 third quarter financial</w:t>
            </w:r>
          </w:p>
        </w:tc>
      </w:tr>
      <w:tr>
        <w:trPr>
          <w:trHeight w:val="217"/>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results</w:t>
            </w:r>
          </w:p>
        </w:tc>
      </w:tr>
    </w:tbl>
    <w:p>
      <w:pPr>
        <w:sectPr>
          <w:pgSz w:w="11900" w:h="16838" w:orient="portrait"/>
          <w:cols w:equalWidth="0" w:num="1">
            <w:col w:w="11420"/>
          </w:cols>
          <w:pgMar w:left="240" w:top="97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reports F’09 third-quarter sales and earnings</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MILWAUKEE (May 20, 2009)—Brady Corporation (NYSE: BRC), a world leader in identification solutions, today announced third quarter sales and earnings for its fiscal quarter ended April 30, 2009.</w:t>
      </w:r>
    </w:p>
    <w:p>
      <w:pPr>
        <w:spacing w:after="0" w:line="89" w:lineRule="exact"/>
        <w:rPr>
          <w:sz w:val="20"/>
          <w:szCs w:val="20"/>
          <w:color w:val="auto"/>
        </w:rPr>
      </w:pPr>
    </w:p>
    <w:p>
      <w:pPr>
        <w:jc w:val="both"/>
        <w:ind w:right="80" w:firstLine="500"/>
        <w:spacing w:after="0" w:line="261" w:lineRule="auto"/>
        <w:rPr>
          <w:sz w:val="20"/>
          <w:szCs w:val="20"/>
          <w:color w:val="auto"/>
        </w:rPr>
      </w:pPr>
      <w:r>
        <w:rPr>
          <w:rFonts w:ascii="Arial" w:cs="Arial" w:eastAsia="Arial" w:hAnsi="Arial"/>
          <w:sz w:val="17"/>
          <w:szCs w:val="17"/>
          <w:color w:val="auto"/>
        </w:rPr>
        <w:t>Sales for the quarter were $276.7 million compared to sales of $381.9 million in the fiscal 2008 third quarter, down 27.5 percent. Organic sales were down 19.9 percent compared to the prior year, and currency exchange had a negative impact of 7.7 percent on sales results in the quarter. Regionally, organic sales declined 22.2 percent in the Americas, 22.8 percent in Europe and 10.8 percent in Asia/Pacific.</w:t>
      </w:r>
    </w:p>
    <w:p>
      <w:pPr>
        <w:spacing w:after="0" w:line="78" w:lineRule="exact"/>
        <w:rPr>
          <w:sz w:val="20"/>
          <w:szCs w:val="20"/>
          <w:color w:val="auto"/>
        </w:rPr>
      </w:pPr>
    </w:p>
    <w:p>
      <w:pPr>
        <w:ind w:right="260" w:firstLine="500"/>
        <w:spacing w:after="0"/>
        <w:rPr>
          <w:sz w:val="20"/>
          <w:szCs w:val="20"/>
          <w:color w:val="auto"/>
        </w:rPr>
      </w:pPr>
      <w:r>
        <w:rPr>
          <w:rFonts w:ascii="Arial" w:cs="Arial" w:eastAsia="Arial" w:hAnsi="Arial"/>
          <w:sz w:val="18"/>
          <w:szCs w:val="18"/>
          <w:color w:val="auto"/>
        </w:rPr>
        <w:t>Net income for the quarter was $18.0 million compared to $ 34.4 million in the same quarter last year, down 47.7 percent. Earnings per diluted Class A Common Share were $0.34 compared to $0.63 in the prior year. 2009 results include after-tax restructuring charges of $1.6 million or $0.03 per share in the quarter.</w:t>
      </w:r>
    </w:p>
    <w:p>
      <w:pPr>
        <w:spacing w:after="0" w:line="95" w:lineRule="exact"/>
        <w:rPr>
          <w:sz w:val="20"/>
          <w:szCs w:val="20"/>
          <w:color w:val="auto"/>
        </w:rPr>
      </w:pPr>
    </w:p>
    <w:p>
      <w:pPr>
        <w:ind w:right="320" w:firstLine="500"/>
        <w:spacing w:after="0" w:line="239" w:lineRule="auto"/>
        <w:rPr>
          <w:sz w:val="20"/>
          <w:szCs w:val="20"/>
          <w:color w:val="auto"/>
        </w:rPr>
      </w:pPr>
      <w:r>
        <w:rPr>
          <w:rFonts w:ascii="Arial" w:cs="Arial" w:eastAsia="Arial" w:hAnsi="Arial"/>
          <w:sz w:val="18"/>
          <w:szCs w:val="18"/>
          <w:color w:val="auto"/>
        </w:rPr>
        <w:t>Sales for the nine months ended April 30, 2009 were $921.5 million compared to $ 1.126 billion in the same period last year, down 18.2 percent. Net income for the nine-month period was $ 50.9 million compared to $97.4 million in the prior year, down 47.7 percent. Nine-month earnings per share were $0.96 compared to $1.77 per share in the period last year. Results include after-tax restructuring charges of $16.8 million or $0.32 per share year-to-date.</w:t>
      </w:r>
    </w:p>
    <w:p>
      <w:pPr>
        <w:spacing w:after="0" w:line="94" w:lineRule="exact"/>
        <w:rPr>
          <w:sz w:val="20"/>
          <w:szCs w:val="20"/>
          <w:color w:val="auto"/>
        </w:rPr>
      </w:pPr>
    </w:p>
    <w:p>
      <w:pPr>
        <w:ind w:right="40" w:firstLine="500"/>
        <w:spacing w:after="0"/>
        <w:rPr>
          <w:sz w:val="20"/>
          <w:szCs w:val="20"/>
          <w:color w:val="auto"/>
        </w:rPr>
      </w:pPr>
      <w:r>
        <w:rPr>
          <w:rFonts w:ascii="Arial" w:cs="Arial" w:eastAsia="Arial" w:hAnsi="Arial"/>
          <w:sz w:val="18"/>
          <w:szCs w:val="18"/>
          <w:color w:val="auto"/>
        </w:rPr>
        <w:t>“Business in the quarter continued to be weak across all geographies and all product lines. Our business seems to be stabilizing for now, however global economic conditions remain uncertain and our visibility is limited,” said Brady President and Chief Executive Officer Frank M. Jaehnert. “We continue to take actions to reduce cost while investing in key initiatives that will drive growth when the economy improves.”</w:t>
      </w:r>
    </w:p>
    <w:p>
      <w:pPr>
        <w:spacing w:after="0" w:line="95" w:lineRule="exact"/>
        <w:rPr>
          <w:sz w:val="20"/>
          <w:szCs w:val="20"/>
          <w:color w:val="auto"/>
        </w:rPr>
      </w:pPr>
    </w:p>
    <w:p>
      <w:pPr>
        <w:ind w:firstLine="500"/>
        <w:spacing w:after="0" w:line="237" w:lineRule="auto"/>
        <w:rPr>
          <w:sz w:val="20"/>
          <w:szCs w:val="20"/>
          <w:color w:val="auto"/>
        </w:rPr>
      </w:pPr>
      <w:r>
        <w:rPr>
          <w:rFonts w:ascii="Arial" w:cs="Arial" w:eastAsia="Arial" w:hAnsi="Arial"/>
          <w:sz w:val="18"/>
          <w:szCs w:val="18"/>
          <w:color w:val="auto"/>
        </w:rPr>
        <w:t>“Brady continues to maneuver through this challenging economy by aggressively managing costs and improving on our already strong financial position. Cash flow from operations was $55 million in the quarter and we increased our cash position to $233 million. This cash, along with our untapped bank revolver, allows us to maintain flexibility for future opportunities,” said Brady Chief Financial Officer Thomas J. Felmer. “Based on current economic conditions and currency exchange rates, our guidance remains unchanged at net income of between $65 and $75 million, including after-tax restructuring charges of approximately $20 million; and earnings per diluted share guidance of between $1.23 and $ 1.42. Excluding restructuring charges, we expect net income of between $85 and $95 million and earnings per diluted share of between $1.61 and $1.80.”</w:t>
      </w:r>
    </w:p>
    <w:p>
      <w:pPr>
        <w:spacing w:after="0" w:line="95" w:lineRule="exact"/>
        <w:rPr>
          <w:sz w:val="20"/>
          <w:szCs w:val="20"/>
          <w:color w:val="auto"/>
        </w:rPr>
      </w:pPr>
    </w:p>
    <w:p>
      <w:pPr>
        <w:ind w:right="20" w:firstLine="490"/>
        <w:spacing w:after="0" w:line="246" w:lineRule="auto"/>
        <w:rPr>
          <w:sz w:val="20"/>
          <w:szCs w:val="20"/>
          <w:color w:val="auto"/>
        </w:rPr>
      </w:pPr>
      <w:r>
        <w:rPr>
          <w:rFonts w:ascii="Arial" w:cs="Arial" w:eastAsia="Arial" w:hAnsi="Arial"/>
          <w:sz w:val="18"/>
          <w:szCs w:val="18"/>
          <w:color w:val="auto"/>
        </w:rPr>
        <w:t>A Web cast of a conference call regarding the company’s fiscal 2009 third quarter results will be available at www.investor.bradycorp.com beginning at 7:00 a.m. Central Time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right="180" w:firstLine="500"/>
        <w:spacing w:after="0" w:line="238"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about 7,000 people at operations in the Americas, Europe and Asia/Pacific.</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Brady’s ability to maintain its debt covenants; unforeseen tax consequences;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2008.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color w:val="auto"/>
              </w:rPr>
              <w:t>(Unaudited)</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6"/>
          </w:tcPr>
          <w:p>
            <w:pPr>
              <w:jc w:val="right"/>
              <w:ind w:right="20"/>
              <w:spacing w:after="0" w:line="155" w:lineRule="exact"/>
              <w:rPr>
                <w:sz w:val="20"/>
                <w:szCs w:val="20"/>
                <w:color w:val="auto"/>
              </w:rPr>
            </w:pPr>
            <w:r>
              <w:rPr>
                <w:rFonts w:ascii="Arial" w:cs="Arial" w:eastAsia="Arial" w:hAnsi="Arial"/>
                <w:sz w:val="14"/>
                <w:szCs w:val="14"/>
                <w:color w:val="auto"/>
              </w:rPr>
              <w:t>Three Months Ended April 30,</w:t>
            </w:r>
          </w:p>
        </w:tc>
        <w:tc>
          <w:tcPr>
            <w:tcW w:w="7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center"/>
              <w:ind w:right="60"/>
              <w:spacing w:after="0" w:line="155" w:lineRule="exact"/>
              <w:rPr>
                <w:sz w:val="20"/>
                <w:szCs w:val="20"/>
                <w:color w:val="auto"/>
              </w:rPr>
            </w:pPr>
            <w:r>
              <w:rPr>
                <w:rFonts w:ascii="Arial" w:cs="Arial" w:eastAsia="Arial" w:hAnsi="Arial"/>
                <w:sz w:val="14"/>
                <w:szCs w:val="14"/>
                <w:color w:val="auto"/>
              </w:rPr>
              <w:t>Nine Months Ended April 30,</w:t>
            </w: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gridSpan w:val="2"/>
          </w:tcPr>
          <w:p>
            <w:pPr>
              <w:jc w:val="center"/>
              <w:ind w:right="308"/>
              <w:spacing w:after="0"/>
              <w:rPr>
                <w:sz w:val="20"/>
                <w:szCs w:val="20"/>
                <w:color w:val="auto"/>
              </w:rPr>
            </w:pPr>
            <w:r>
              <w:rPr>
                <w:rFonts w:ascii="Arial" w:cs="Arial" w:eastAsia="Arial" w:hAnsi="Arial"/>
                <w:sz w:val="14"/>
                <w:szCs w:val="14"/>
                <w:color w:val="auto"/>
              </w:rPr>
              <w:t>Percentage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2009</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2008</w:t>
            </w:r>
          </w:p>
        </w:tc>
        <w:tc>
          <w:tcPr>
            <w:tcW w:w="58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Change</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1"/>
              <w:spacing w:after="0" w:line="157" w:lineRule="exact"/>
              <w:rPr>
                <w:sz w:val="20"/>
                <w:szCs w:val="20"/>
                <w:color w:val="auto"/>
              </w:rPr>
            </w:pPr>
            <w:r>
              <w:rPr>
                <w:rFonts w:ascii="Arial" w:cs="Arial" w:eastAsia="Arial" w:hAnsi="Arial"/>
                <w:sz w:val="14"/>
                <w:szCs w:val="14"/>
                <w:color w:val="auto"/>
              </w:rPr>
              <w:t>2008</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jc w:val="right"/>
              <w:ind w:right="39"/>
              <w:spacing w:after="0" w:line="157" w:lineRule="exact"/>
              <w:rPr>
                <w:sz w:val="20"/>
                <w:szCs w:val="20"/>
                <w:color w:val="auto"/>
              </w:rPr>
            </w:pPr>
            <w:r>
              <w:rPr>
                <w:rFonts w:ascii="Arial" w:cs="Arial" w:eastAsia="Arial" w:hAnsi="Arial"/>
                <w:sz w:val="14"/>
                <w:szCs w:val="14"/>
                <w:color w:val="auto"/>
              </w:rPr>
              <w:t>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w w:val="98"/>
              </w:rPr>
              <w:t>276,733</w:t>
            </w:r>
          </w:p>
        </w:tc>
        <w:tc>
          <w:tcPr>
            <w:tcW w:w="3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w w:val="98"/>
              </w:rPr>
              <w:t>381,909</w:t>
            </w:r>
          </w:p>
        </w:tc>
        <w:tc>
          <w:tcPr>
            <w:tcW w:w="112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-27.5%</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921,499</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w w:val="97"/>
              </w:rPr>
              <w:t>1,126,167</w:t>
            </w:r>
          </w:p>
        </w:tc>
        <w:tc>
          <w:tcPr>
            <w:tcW w:w="9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142,560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192,333</w:t>
            </w:r>
          </w:p>
        </w:tc>
        <w:tc>
          <w:tcPr>
            <w:tcW w:w="580" w:type="dxa"/>
            <w:vAlign w:val="bottom"/>
          </w:tcPr>
          <w:p>
            <w:pPr>
              <w:spacing w:after="0"/>
              <w:rPr>
                <w:sz w:val="17"/>
                <w:szCs w:val="17"/>
                <w:color w:val="auto"/>
              </w:rPr>
            </w:pP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480,038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573,901</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134,173</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189,576</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-29.2%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441,461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552,266</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405"/>
        </w:trPr>
        <w:tc>
          <w:tcPr>
            <w:tcW w:w="3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10,274</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25,325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29,323</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ind w:left="40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94,906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8"/>
              </w:rPr>
              <w:t>126,720</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-25.1%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302,776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369,579</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Restructuring charge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23,276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104,901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136,994</w:t>
            </w:r>
          </w:p>
        </w:tc>
        <w:tc>
          <w:tcPr>
            <w:tcW w:w="580" w:type="dxa"/>
            <w:vAlign w:val="bottom"/>
          </w:tcPr>
          <w:p>
            <w:pPr>
              <w:spacing w:after="0"/>
              <w:rPr>
                <w:sz w:val="19"/>
                <w:szCs w:val="19"/>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351,377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398,902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29,272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52,582</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-44.3%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90,084</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153,364</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405"/>
        </w:trPr>
        <w:tc>
          <w:tcPr>
            <w:tcW w:w="3400" w:type="dxa"/>
            <w:vAlign w:val="bottom"/>
            <w:gridSpan w:val="2"/>
          </w:tcPr>
          <w:p>
            <w:pPr>
              <w:spacing w:after="0"/>
              <w:rPr>
                <w:sz w:val="20"/>
                <w:szCs w:val="20"/>
                <w:color w:val="auto"/>
              </w:rPr>
            </w:pPr>
            <w:r>
              <w:rPr>
                <w:rFonts w:ascii="Arial" w:cs="Arial" w:eastAsia="Arial" w:hAnsi="Arial"/>
                <w:sz w:val="18"/>
                <w:szCs w:val="18"/>
                <w:color w:val="auto"/>
              </w:rPr>
              <w:t>Other income and (expense):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Investment and other income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920</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3,307</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(6,307)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(6,962)</w:t>
            </w: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-9.4%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(18,982)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(20,429)</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23,954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46,540</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-48.5%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72,245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136,242</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405"/>
        </w:trPr>
        <w:tc>
          <w:tcPr>
            <w:tcW w:w="34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5,994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12,187</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21,325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38,829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17,960</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34,353</w:t>
            </w: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-47.7%</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50,920</w:t>
            </w: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97,413</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Basic net income</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0.34</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-46.9%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1.79</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ind w:left="400"/>
              <w:spacing w:after="0" w:line="202" w:lineRule="exact"/>
              <w:rPr>
                <w:sz w:val="20"/>
                <w:szCs w:val="20"/>
                <w:color w:val="auto"/>
              </w:rPr>
            </w:pPr>
            <w:r>
              <w:rPr>
                <w:rFonts w:ascii="Arial" w:cs="Arial" w:eastAsia="Arial" w:hAnsi="Arial"/>
                <w:sz w:val="18"/>
                <w:szCs w:val="18"/>
                <w:color w:val="auto"/>
              </w:rPr>
              <w:t>Diluted net income</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0.34</w:t>
            </w:r>
          </w:p>
        </w:tc>
        <w:tc>
          <w:tcPr>
            <w:tcW w:w="320" w:type="dxa"/>
            <w:vAlign w:val="bottom"/>
          </w:tcPr>
          <w:p>
            <w:pPr>
              <w:spacing w:after="0"/>
              <w:rPr>
                <w:sz w:val="17"/>
                <w:szCs w:val="17"/>
                <w:color w:val="auto"/>
              </w:rPr>
            </w:pP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0.63</w:t>
            </w:r>
          </w:p>
        </w:tc>
        <w:tc>
          <w:tcPr>
            <w:tcW w:w="580" w:type="dxa"/>
            <w:vAlign w:val="bottom"/>
          </w:tcPr>
          <w:p>
            <w:pPr>
              <w:spacing w:after="0"/>
              <w:rPr>
                <w:sz w:val="17"/>
                <w:szCs w:val="17"/>
                <w:color w:val="auto"/>
              </w:rPr>
            </w:pP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-46.0%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0.96</w:t>
            </w:r>
          </w:p>
        </w:tc>
        <w:tc>
          <w:tcPr>
            <w:tcW w:w="10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1.77</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Dividends</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13.3%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0.45</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05"/>
        </w:trPr>
        <w:tc>
          <w:tcPr>
            <w:tcW w:w="3400" w:type="dxa"/>
            <w:vAlign w:val="bottom"/>
            <w:gridSpan w:val="2"/>
          </w:tcPr>
          <w:p>
            <w:pPr>
              <w:spacing w:after="0"/>
              <w:rPr>
                <w:sz w:val="20"/>
                <w:szCs w:val="20"/>
                <w:color w:val="auto"/>
              </w:rPr>
            </w:pPr>
            <w:r>
              <w:rPr>
                <w:rFonts w:ascii="Arial" w:cs="Arial" w:eastAsia="Arial" w:hAnsi="Arial"/>
                <w:sz w:val="18"/>
                <w:szCs w:val="18"/>
                <w:color w:val="auto"/>
              </w:rPr>
              <w:t>Per Class B Voting Common Share: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Basic net income</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0.34</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-46.9%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1.78</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ind w:left="400"/>
              <w:spacing w:after="0" w:line="202" w:lineRule="exact"/>
              <w:rPr>
                <w:sz w:val="20"/>
                <w:szCs w:val="20"/>
                <w:color w:val="auto"/>
              </w:rPr>
            </w:pPr>
            <w:r>
              <w:rPr>
                <w:rFonts w:ascii="Arial" w:cs="Arial" w:eastAsia="Arial" w:hAnsi="Arial"/>
                <w:sz w:val="18"/>
                <w:szCs w:val="18"/>
                <w:color w:val="auto"/>
              </w:rPr>
              <w:t>Diluted net income</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0.34</w:t>
            </w:r>
          </w:p>
        </w:tc>
        <w:tc>
          <w:tcPr>
            <w:tcW w:w="320" w:type="dxa"/>
            <w:vAlign w:val="bottom"/>
          </w:tcPr>
          <w:p>
            <w:pPr>
              <w:spacing w:after="0"/>
              <w:rPr>
                <w:sz w:val="17"/>
                <w:szCs w:val="17"/>
                <w:color w:val="auto"/>
              </w:rPr>
            </w:pP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0.63</w:t>
            </w:r>
          </w:p>
        </w:tc>
        <w:tc>
          <w:tcPr>
            <w:tcW w:w="580" w:type="dxa"/>
            <w:vAlign w:val="bottom"/>
          </w:tcPr>
          <w:p>
            <w:pPr>
              <w:spacing w:after="0"/>
              <w:rPr>
                <w:sz w:val="17"/>
                <w:szCs w:val="17"/>
                <w:color w:val="auto"/>
              </w:rPr>
            </w:pPr>
          </w:p>
        </w:tc>
        <w:tc>
          <w:tcPr>
            <w:tcW w:w="112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-46.0%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0.95</w:t>
            </w:r>
          </w:p>
        </w:tc>
        <w:tc>
          <w:tcPr>
            <w:tcW w:w="100" w:type="dxa"/>
            <w:vAlign w:val="bottom"/>
          </w:tcPr>
          <w:p>
            <w:pPr>
              <w:spacing w:after="0"/>
              <w:rPr>
                <w:sz w:val="17"/>
                <w:szCs w:val="17"/>
                <w:color w:val="auto"/>
              </w:rPr>
            </w:pP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1.76</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Dividends</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0.15</w:t>
            </w: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13.3%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0.43</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04"/>
        </w:trPr>
        <w:tc>
          <w:tcPr>
            <w:tcW w:w="3400" w:type="dxa"/>
            <w:vAlign w:val="bottom"/>
            <w:gridSpan w:val="2"/>
          </w:tcPr>
          <w:p>
            <w:pPr>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ind w:left="200"/>
              <w:spacing w:after="0" w:line="203" w:lineRule="exact"/>
              <w:rPr>
                <w:sz w:val="20"/>
                <w:szCs w:val="20"/>
                <w:color w:val="auto"/>
              </w:rPr>
            </w:pPr>
            <w:r>
              <w:rPr>
                <w:rFonts w:ascii="Arial" w:cs="Arial" w:eastAsia="Arial" w:hAnsi="Arial"/>
                <w:sz w:val="18"/>
                <w:szCs w:val="18"/>
                <w:color w:val="auto"/>
              </w:rPr>
              <w:t>outstanding (in Thousands):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52,286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54,021</w:t>
            </w: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52,642</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54,294</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52,594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54,627</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52,961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54,992</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color w:val="auto"/>
              </w:rPr>
              <w:t>(Unaudited)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16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April 30, 2009</w:t>
            </w:r>
          </w:p>
        </w:tc>
        <w:tc>
          <w:tcPr>
            <w:tcW w:w="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31, 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232,901</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258,355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less allowance for losses ($8,138 and $10,059, respectively)</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183,287</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262,461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600"/>
              <w:spacing w:after="0" w:line="202" w:lineRule="exact"/>
              <w:rPr>
                <w:sz w:val="20"/>
                <w:szCs w:val="20"/>
                <w:color w:val="auto"/>
              </w:rPr>
            </w:pPr>
            <w:r>
              <w:rPr>
                <w:rFonts w:ascii="Arial" w:cs="Arial" w:eastAsia="Arial" w:hAnsi="Arial"/>
                <w:sz w:val="18"/>
                <w:szCs w:val="18"/>
                <w:color w:val="auto"/>
              </w:rPr>
              <w:t>Finished products</w:t>
            </w: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58,417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75,665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Work-in-process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15,569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600"/>
              <w:spacing w:after="0" w:line="202" w:lineRule="exact"/>
              <w:rPr>
                <w:sz w:val="20"/>
                <w:szCs w:val="20"/>
                <w:color w:val="auto"/>
              </w:rPr>
            </w:pPr>
            <w:r>
              <w:rPr>
                <w:rFonts w:ascii="Arial" w:cs="Arial" w:eastAsia="Arial" w:hAnsi="Arial"/>
                <w:sz w:val="18"/>
                <w:szCs w:val="18"/>
                <w:color w:val="auto"/>
              </w:rPr>
              <w:t>Raw materials and supplies</w:t>
            </w:r>
          </w:p>
        </w:tc>
        <w:tc>
          <w:tcPr>
            <w:tcW w:w="140" w:type="dxa"/>
            <w:vAlign w:val="bottom"/>
          </w:tcPr>
          <w:p>
            <w:pPr>
              <w:spacing w:after="0"/>
              <w:rPr>
                <w:sz w:val="18"/>
                <w:szCs w:val="18"/>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32,201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37,767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Total inventories</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106,187</w:t>
            </w: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42,167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43,650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564,542</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699,085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726,944</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789,107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116,275</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144,791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26,145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25,943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16,555</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other assets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885,919</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981,222</w:t>
            </w: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600"/>
              <w:spacing w:after="0" w:line="202" w:lineRule="exact"/>
              <w:rPr>
                <w:sz w:val="20"/>
                <w:szCs w:val="20"/>
                <w:color w:val="auto"/>
              </w:rPr>
            </w:pPr>
            <w:r>
              <w:rPr>
                <w:rFonts w:ascii="Arial" w:cs="Arial" w:eastAsia="Arial" w:hAnsi="Arial"/>
                <w:sz w:val="18"/>
                <w:szCs w:val="18"/>
                <w:color w:val="auto"/>
              </w:rPr>
              <w:t>Land</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6,215</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Buildings and improvements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93,584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98,646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600"/>
              <w:spacing w:after="0" w:line="202" w:lineRule="exact"/>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274,091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282,232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7,301</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381,191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393,408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232,035</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223,202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760" w:type="dxa"/>
            <w:vAlign w:val="bottom"/>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149,156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1,599,617</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1,850,513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3560"/>
              <w:spacing w:after="0"/>
              <w:rPr>
                <w:sz w:val="20"/>
                <w:szCs w:val="20"/>
                <w:color w:val="auto"/>
              </w:rPr>
            </w:pPr>
            <w:r>
              <w:rPr>
                <w:rFonts w:ascii="Arial" w:cs="Arial" w:eastAsia="Arial" w:hAnsi="Arial"/>
                <w:sz w:val="18"/>
                <w:szCs w:val="18"/>
                <w:b w:val="1"/>
                <w:bCs w:val="1"/>
                <w:color w:val="auto"/>
              </w:rPr>
              <w:t>LIABILITIES AND STOCKHOLDERS’ INVESTMENT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79,129</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118,209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40,722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82,354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6,190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2,533</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43,413</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54,810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Current maturities on long-term debt</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50,000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21,431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760" w:type="dxa"/>
            <w:vAlign w:val="bottom"/>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221,987</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308,561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obligations, less current maturities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428,572</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457,143</w:t>
            </w: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57,359</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707,918</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828,705</w:t>
            </w: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Stockholders’ investment:</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ind w:left="400"/>
              <w:spacing w:after="0" w:line="201" w:lineRule="exact"/>
              <w:rPr>
                <w:sz w:val="20"/>
                <w:szCs w:val="20"/>
                <w:color w:val="auto"/>
              </w:rPr>
            </w:pPr>
            <w:r>
              <w:rPr>
                <w:rFonts w:ascii="Arial" w:cs="Arial" w:eastAsia="Arial" w:hAnsi="Arial"/>
                <w:sz w:val="18"/>
                <w:szCs w:val="18"/>
                <w:color w:val="auto"/>
              </w:rPr>
              <w:t>Class A nonvoting common stock — Issued 51,261,487 and 51,261,487 shares, respectively and</w:t>
            </w: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513</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outstanding 48,747,494 and 50,005,296 shares, respectively</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Class B voting common stock — Issued and outstanding, 3,538,628 shares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298,172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292,769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Earnings retained in the business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663,069</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639,059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 2,303,993 and 1,046,191 shares, respectively of Class A nonvoting common</w:t>
            </w:r>
          </w:p>
        </w:tc>
        <w:tc>
          <w:tcPr>
            <w:tcW w:w="140" w:type="dxa"/>
            <w:vAlign w:val="bottom"/>
          </w:tcPr>
          <w:p>
            <w:pPr>
              <w:spacing w:after="0"/>
              <w:rPr>
                <w:sz w:val="17"/>
                <w:szCs w:val="17"/>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(70,841)</w:t>
            </w:r>
          </w:p>
        </w:tc>
        <w:tc>
          <w:tcPr>
            <w:tcW w:w="100" w:type="dxa"/>
            <w:vAlign w:val="bottom"/>
          </w:tcPr>
          <w:p>
            <w:pPr>
              <w:spacing w:after="0"/>
              <w:rPr>
                <w:sz w:val="17"/>
                <w:szCs w:val="17"/>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(33,234)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400"/>
              <w:spacing w:after="0" w:line="203" w:lineRule="exact"/>
              <w:rPr>
                <w:sz w:val="20"/>
                <w:szCs w:val="20"/>
                <w:color w:val="auto"/>
              </w:rPr>
            </w:pPr>
            <w:r>
              <w:rPr>
                <w:rFonts w:ascii="Arial" w:cs="Arial" w:eastAsia="Arial" w:hAnsi="Arial"/>
                <w:sz w:val="18"/>
                <w:szCs w:val="18"/>
                <w:color w:val="auto"/>
              </w:rPr>
              <w:t>stock, at cost</w:t>
            </w: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5,480</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128,161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48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(4,729)</w:t>
            </w:r>
          </w:p>
        </w:tc>
        <w:tc>
          <w:tcPr>
            <w:tcW w:w="1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(5,495)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b w:val="1"/>
                <w:bCs w:val="1"/>
                <w:color w:val="auto"/>
              </w:rPr>
              <w:t>Total stockholders’ investment</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891,699</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1,021,808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1,599,617</w:t>
            </w:r>
          </w:p>
        </w:tc>
        <w:tc>
          <w:tcPr>
            <w:tcW w:w="6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1,850,513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27" w:right="239" w:bottom="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left="451"/>
              <w:spacing w:after="0"/>
              <w:rPr>
                <w:sz w:val="20"/>
                <w:szCs w:val="20"/>
                <w:color w:val="auto"/>
              </w:rPr>
            </w:pPr>
            <w:r>
              <w:rPr>
                <w:rFonts w:ascii="Arial" w:cs="Arial" w:eastAsia="Arial" w:hAnsi="Arial"/>
                <w:sz w:val="14"/>
                <w:szCs w:val="14"/>
                <w:color w:val="auto"/>
              </w:rPr>
              <w:t>(Unaudited)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center"/>
              <w:ind w:right="2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color w:val="auto"/>
              </w:rPr>
              <w:t>April 30,</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50,920</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40,672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restructuring charges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2,229</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6,281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1,495</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52,276</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60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16,793</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(3,593)</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6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(73,381)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(17,571)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600"/>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77,029</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152,115</w:t>
            </w:r>
          </w:p>
        </w:tc>
        <w:tc>
          <w:tcPr>
            <w:tcW w:w="0" w:type="dxa"/>
            <w:vAlign w:val="bottom"/>
          </w:tcPr>
          <w:p>
            <w:pPr>
              <w:spacing w:after="0"/>
              <w:rPr>
                <w:sz w:val="1"/>
                <w:szCs w:val="1"/>
                <w:color w:val="auto"/>
              </w:rPr>
            </w:pPr>
          </w:p>
        </w:tc>
      </w:tr>
      <w:tr>
        <w:trPr>
          <w:trHeight w:val="405"/>
        </w:trPr>
        <w:tc>
          <w:tcPr>
            <w:tcW w:w="91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Purchase price adjustment</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3,514</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Payments of contingent consideration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(1,405)</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(16,035)</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2,893</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(11,033)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(32,690)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(26,910)</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1,321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(40,267)</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 and deferred compensation distribution</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(64,999)</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(38,749)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(26,451)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(25,454)</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258,355</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142,846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232,901</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227,359</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21,899</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32,995</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tcPr>
          <w:p>
            <w:pPr>
              <w:ind w:left="400"/>
              <w:spacing w:after="0" w:line="202" w:lineRule="exact"/>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1000"/>
              <w:spacing w:after="0"/>
              <w:rPr>
                <w:sz w:val="20"/>
                <w:szCs w:val="20"/>
                <w:color w:val="auto"/>
              </w:rPr>
            </w:pPr>
            <w:r>
              <w:rPr>
                <w:rFonts w:ascii="Arial" w:cs="Arial" w:eastAsia="Arial" w:hAnsi="Arial"/>
                <w:sz w:val="18"/>
                <w:szCs w:val="18"/>
                <w:color w:val="auto"/>
              </w:rPr>
              <w:t>Net cash paid for acquisitions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Information by regional segment for the three and nine months ended April 30, 2009 and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auto"/>
              </w:rPr>
              <w:t>Corporate and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tcBorders>
              <w:bottom w:val="single" w:sz="8" w:color="auto"/>
            </w:tcBorders>
          </w:tcPr>
          <w:p>
            <w:pPr>
              <w:ind w:left="1120"/>
              <w:spacing w:after="0" w:line="157"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3"/>
                <w:szCs w:val="13"/>
                <w:color w:val="auto"/>
              </w:rPr>
            </w:pPr>
          </w:p>
        </w:tc>
        <w:tc>
          <w:tcPr>
            <w:tcW w:w="104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Americas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4"/>
              <w:spacing w:after="0" w:line="157" w:lineRule="exact"/>
              <w:rPr>
                <w:sz w:val="20"/>
                <w:szCs w:val="20"/>
                <w:color w:val="auto"/>
              </w:rPr>
            </w:pPr>
            <w:r>
              <w:rPr>
                <w:rFonts w:ascii="Arial" w:cs="Arial" w:eastAsia="Arial" w:hAnsi="Arial"/>
                <w:sz w:val="14"/>
                <w:szCs w:val="14"/>
                <w:color w:val="auto"/>
              </w:rPr>
              <w:t>Europe</w:t>
            </w:r>
          </w:p>
        </w:tc>
        <w:tc>
          <w:tcPr>
            <w:tcW w:w="22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70"/>
              <w:spacing w:after="0" w:line="157" w:lineRule="exact"/>
              <w:rPr>
                <w:sz w:val="20"/>
                <w:szCs w:val="20"/>
                <w:color w:val="auto"/>
              </w:rPr>
            </w:pPr>
            <w:r>
              <w:rPr>
                <w:rFonts w:ascii="Arial" w:cs="Arial" w:eastAsia="Arial" w:hAnsi="Arial"/>
                <w:sz w:val="14"/>
                <w:szCs w:val="14"/>
                <w:color w:val="auto"/>
              </w:rPr>
              <w:t>Asia-Pacific</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34"/>
              <w:spacing w:after="0" w:line="157" w:lineRule="exact"/>
              <w:rPr>
                <w:sz w:val="20"/>
                <w:szCs w:val="20"/>
                <w:color w:val="auto"/>
              </w:rPr>
            </w:pPr>
            <w:r>
              <w:rPr>
                <w:rFonts w:ascii="Arial" w:cs="Arial" w:eastAsia="Arial" w:hAnsi="Arial"/>
                <w:sz w:val="14"/>
                <w:szCs w:val="14"/>
                <w:color w:val="auto"/>
              </w:rPr>
              <w:t>Subtotals</w:t>
            </w:r>
          </w:p>
        </w:tc>
        <w:tc>
          <w:tcPr>
            <w:tcW w:w="220" w:type="dxa"/>
            <w:vAlign w:val="bottom"/>
          </w:tcPr>
          <w:p>
            <w:pPr>
              <w:spacing w:after="0"/>
              <w:rPr>
                <w:sz w:val="13"/>
                <w:szCs w:val="13"/>
                <w:color w:val="auto"/>
              </w:rPr>
            </w:pPr>
          </w:p>
        </w:tc>
        <w:tc>
          <w:tcPr>
            <w:tcW w:w="130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Eliminations</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4"/>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SALES TO EXTERNAL CUSTOMERS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April 30, 2009</w:t>
            </w:r>
          </w:p>
        </w:tc>
        <w:tc>
          <w:tcPr>
            <w:tcW w:w="124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$125,688</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85,172</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65,873</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276,733</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276,733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April 30, 2008</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$ 166,407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w w:val="98"/>
              </w:rPr>
              <w:t>133,422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82,080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381,909</w:t>
            </w:r>
          </w:p>
        </w:tc>
        <w:tc>
          <w:tcPr>
            <w:tcW w:w="220" w:type="dxa"/>
            <w:vAlign w:val="bottom"/>
          </w:tcPr>
          <w:p>
            <w:pPr>
              <w:spacing w:after="0"/>
              <w:rPr>
                <w:sz w:val="18"/>
                <w:szCs w:val="18"/>
                <w:color w:val="auto"/>
              </w:rPr>
            </w:pPr>
          </w:p>
        </w:tc>
        <w:tc>
          <w:tcPr>
            <w:tcW w:w="1300" w:type="dxa"/>
            <w:vAlign w:val="bottom"/>
          </w:tcPr>
          <w:p>
            <w:pPr>
              <w:ind w:left="7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rPr>
              <w:t>381,909</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Nine months ended:</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200"/>
              <w:spacing w:after="0" w:line="202" w:lineRule="exact"/>
              <w:rPr>
                <w:sz w:val="20"/>
                <w:szCs w:val="20"/>
                <w:color w:val="auto"/>
              </w:rPr>
            </w:pPr>
            <w:r>
              <w:rPr>
                <w:rFonts w:ascii="Arial" w:cs="Arial" w:eastAsia="Arial" w:hAnsi="Arial"/>
                <w:sz w:val="18"/>
                <w:szCs w:val="18"/>
                <w:color w:val="auto"/>
              </w:rPr>
              <w:t>April 30, 2009</w:t>
            </w:r>
          </w:p>
        </w:tc>
        <w:tc>
          <w:tcPr>
            <w:tcW w:w="124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$409,573</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w w:val="98"/>
              </w:rPr>
              <w:t>280,589</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8"/>
              </w:rPr>
              <w:t>231,337</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921,499</w:t>
            </w:r>
          </w:p>
        </w:tc>
        <w:tc>
          <w:tcPr>
            <w:tcW w:w="220" w:type="dxa"/>
            <w:vAlign w:val="bottom"/>
          </w:tcPr>
          <w:p>
            <w:pPr>
              <w:spacing w:after="0"/>
              <w:rPr>
                <w:sz w:val="17"/>
                <w:szCs w:val="17"/>
                <w:color w:val="auto"/>
              </w:rPr>
            </w:pPr>
          </w:p>
        </w:tc>
        <w:tc>
          <w:tcPr>
            <w:tcW w:w="130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921,499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April 30, 2008</w:t>
            </w:r>
          </w:p>
        </w:tc>
        <w:tc>
          <w:tcPr>
            <w:tcW w:w="124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$ 497,803</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w w:val="98"/>
              </w:rPr>
              <w:t>364,951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8"/>
              </w:rPr>
              <w:t>263,413</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w w:val="97"/>
              </w:rPr>
              <w:t>1,126,167</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w w:val="99"/>
              </w:rPr>
              <w:t>1,126,167</w:t>
            </w: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SALES GROWTH INFORMATION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Three months ended April 30, 2009:</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400"/>
              <w:spacing w:after="0" w:line="202" w:lineRule="exact"/>
              <w:rPr>
                <w:sz w:val="20"/>
                <w:szCs w:val="20"/>
                <w:color w:val="auto"/>
              </w:rPr>
            </w:pPr>
            <w:r>
              <w:rPr>
                <w:rFonts w:ascii="Arial" w:cs="Arial" w:eastAsia="Arial" w:hAnsi="Arial"/>
                <w:sz w:val="18"/>
                <w:szCs w:val="18"/>
                <w:color w:val="auto"/>
              </w:rPr>
              <w:t>Base</w:t>
            </w:r>
          </w:p>
        </w:tc>
        <w:tc>
          <w:tcPr>
            <w:tcW w:w="240" w:type="dxa"/>
            <w:vAlign w:val="bottom"/>
          </w:tcPr>
          <w:p>
            <w:pPr>
              <w:spacing w:after="0"/>
              <w:rPr>
                <w:sz w:val="17"/>
                <w:szCs w:val="17"/>
                <w:color w:val="auto"/>
              </w:rPr>
            </w:pP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-22.2%</w:t>
            </w:r>
          </w:p>
        </w:tc>
        <w:tc>
          <w:tcPr>
            <w:tcW w:w="3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w:t>
            </w:r>
          </w:p>
        </w:tc>
        <w:tc>
          <w:tcPr>
            <w:tcW w:w="50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-10.8%</w:t>
            </w:r>
          </w:p>
        </w:tc>
        <w:tc>
          <w:tcPr>
            <w:tcW w:w="440" w:type="dxa"/>
            <w:vAlign w:val="bottom"/>
          </w:tcPr>
          <w:p>
            <w:pPr>
              <w:spacing w:after="0"/>
              <w:rPr>
                <w:sz w:val="17"/>
                <w:szCs w:val="17"/>
                <w:color w:val="auto"/>
              </w:rPr>
            </w:pPr>
          </w:p>
        </w:tc>
        <w:tc>
          <w:tcPr>
            <w:tcW w:w="10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-19.9%</w:t>
            </w:r>
          </w:p>
        </w:tc>
        <w:tc>
          <w:tcPr>
            <w:tcW w:w="3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Currency</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5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400"/>
              <w:spacing w:after="0" w:line="202" w:lineRule="exact"/>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7"/>
                <w:szCs w:val="17"/>
                <w:color w:val="auto"/>
              </w:rPr>
            </w:pP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0.1%</w:t>
            </w:r>
          </w:p>
        </w:tc>
        <w:tc>
          <w:tcPr>
            <w:tcW w:w="3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w:t>
            </w:r>
          </w:p>
        </w:tc>
        <w:tc>
          <w:tcPr>
            <w:tcW w:w="50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440" w:type="dxa"/>
            <w:vAlign w:val="bottom"/>
          </w:tcPr>
          <w:p>
            <w:pPr>
              <w:spacing w:after="0"/>
              <w:rPr>
                <w:sz w:val="17"/>
                <w:szCs w:val="17"/>
                <w:color w:val="auto"/>
              </w:rPr>
            </w:pPr>
          </w:p>
        </w:tc>
        <w:tc>
          <w:tcPr>
            <w:tcW w:w="10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-24.5%</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5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-27.5%</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5"/>
        </w:trPr>
        <w:tc>
          <w:tcPr>
            <w:tcW w:w="3320" w:type="dxa"/>
            <w:vAlign w:val="bottom"/>
            <w:gridSpan w:val="2"/>
          </w:tcPr>
          <w:p>
            <w:pPr>
              <w:spacing w:after="0"/>
              <w:rPr>
                <w:sz w:val="20"/>
                <w:szCs w:val="20"/>
                <w:color w:val="auto"/>
              </w:rPr>
            </w:pPr>
            <w:r>
              <w:rPr>
                <w:rFonts w:ascii="Arial" w:cs="Arial" w:eastAsia="Arial" w:hAnsi="Arial"/>
                <w:sz w:val="18"/>
                <w:szCs w:val="18"/>
                <w:color w:val="auto"/>
              </w:rPr>
              <w:t>Nine months ended April 30, 2009:</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Base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c>
          <w:tcPr>
            <w:tcW w:w="5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400"/>
              <w:spacing w:after="0" w:line="202" w:lineRule="exact"/>
              <w:rPr>
                <w:sz w:val="20"/>
                <w:szCs w:val="20"/>
                <w:color w:val="auto"/>
              </w:rPr>
            </w:pPr>
            <w:r>
              <w:rPr>
                <w:rFonts w:ascii="Arial" w:cs="Arial" w:eastAsia="Arial" w:hAnsi="Arial"/>
                <w:sz w:val="18"/>
                <w:szCs w:val="18"/>
                <w:color w:val="auto"/>
              </w:rPr>
              <w:t>Currency</w:t>
            </w:r>
          </w:p>
        </w:tc>
        <w:tc>
          <w:tcPr>
            <w:tcW w:w="240" w:type="dxa"/>
            <w:vAlign w:val="bottom"/>
          </w:tcPr>
          <w:p>
            <w:pPr>
              <w:spacing w:after="0"/>
              <w:rPr>
                <w:sz w:val="17"/>
                <w:szCs w:val="17"/>
                <w:color w:val="auto"/>
              </w:rPr>
            </w:pPr>
          </w:p>
        </w:tc>
        <w:tc>
          <w:tcPr>
            <w:tcW w:w="9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w:t>
            </w:r>
          </w:p>
        </w:tc>
        <w:tc>
          <w:tcPr>
            <w:tcW w:w="50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440" w:type="dxa"/>
            <w:vAlign w:val="bottom"/>
          </w:tcPr>
          <w:p>
            <w:pPr>
              <w:spacing w:after="0"/>
              <w:rPr>
                <w:sz w:val="17"/>
                <w:szCs w:val="17"/>
                <w:color w:val="auto"/>
              </w:rPr>
            </w:pPr>
          </w:p>
        </w:tc>
        <w:tc>
          <w:tcPr>
            <w:tcW w:w="10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-4.7%</w:t>
            </w:r>
          </w:p>
        </w:tc>
        <w:tc>
          <w:tcPr>
            <w:tcW w:w="30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00" w:type="dxa"/>
            <w:vAlign w:val="bottom"/>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SEGMENT PROFIT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April 30, 2009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28,540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23,773</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6,979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59,292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$(1,717)</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57,575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April 30, 2008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40,169</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36,245</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11,055</w:t>
            </w:r>
          </w:p>
        </w:tc>
        <w:tc>
          <w:tcPr>
            <w:tcW w:w="120" w:type="dxa"/>
            <w:vAlign w:val="bottom"/>
          </w:tcPr>
          <w:p>
            <w:pPr>
              <w:spacing w:after="0"/>
              <w:rPr>
                <w:sz w:val="17"/>
                <w:szCs w:val="17"/>
                <w:color w:val="auto"/>
              </w:rPr>
            </w:pPr>
          </w:p>
        </w:tc>
        <w:tc>
          <w:tcPr>
            <w:tcW w:w="44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87,469</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(1,816)</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i w:val="1"/>
                <w:iCs w:val="1"/>
                <w:color w:val="auto"/>
              </w:rPr>
              <w:t>Percentage (decrease)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-29.0%</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5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-36.9%</w:t>
            </w:r>
          </w:p>
        </w:tc>
        <w:tc>
          <w:tcPr>
            <w:tcW w:w="4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405"/>
        </w:trPr>
        <w:tc>
          <w:tcPr>
            <w:tcW w:w="3320" w:type="dxa"/>
            <w:vAlign w:val="bottom"/>
            <w:gridSpan w:val="2"/>
          </w:tcPr>
          <w:p>
            <w:pPr>
              <w:spacing w:after="0"/>
              <w:rPr>
                <w:sz w:val="20"/>
                <w:szCs w:val="20"/>
                <w:color w:val="auto"/>
              </w:rPr>
            </w:pPr>
            <w:r>
              <w:rPr>
                <w:rFonts w:ascii="Arial" w:cs="Arial" w:eastAsia="Arial" w:hAnsi="Arial"/>
                <w:sz w:val="18"/>
                <w:szCs w:val="18"/>
                <w:color w:val="auto"/>
              </w:rPr>
              <w:t>Nine months ended: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April 30, 2009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86,104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77,857</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33,502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197,463</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$(6,631)</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190,832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April 30, 2008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95"/>
              </w:rPr>
              <w:t>116,312</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97,212</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43,105</w:t>
            </w:r>
          </w:p>
        </w:tc>
        <w:tc>
          <w:tcPr>
            <w:tcW w:w="120" w:type="dxa"/>
            <w:vAlign w:val="bottom"/>
          </w:tcPr>
          <w:p>
            <w:pPr>
              <w:spacing w:after="0"/>
              <w:rPr>
                <w:sz w:val="17"/>
                <w:szCs w:val="17"/>
                <w:color w:val="auto"/>
              </w:rPr>
            </w:pPr>
          </w:p>
        </w:tc>
        <w:tc>
          <w:tcPr>
            <w:tcW w:w="44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256,629</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(6,400)</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250,229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i w:val="1"/>
                <w:iCs w:val="1"/>
                <w:color w:val="auto"/>
              </w:rPr>
              <w:t>Percentage (decrease) increase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5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-22.3%</w:t>
            </w:r>
          </w:p>
        </w:tc>
        <w:tc>
          <w:tcPr>
            <w:tcW w:w="4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432"/>
        </w:trPr>
        <w:tc>
          <w:tcPr>
            <w:tcW w:w="4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Three months ended:</w:t>
            </w: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April 30,</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780"/>
              <w:spacing w:after="0"/>
              <w:rPr>
                <w:sz w:val="20"/>
                <w:szCs w:val="20"/>
                <w:color w:val="auto"/>
              </w:rPr>
            </w:pPr>
            <w:r>
              <w:rPr>
                <w:rFonts w:ascii="Arial" w:cs="Arial" w:eastAsia="Arial" w:hAnsi="Arial"/>
                <w:sz w:val="14"/>
                <w:szCs w:val="14"/>
                <w:color w:val="auto"/>
              </w:rPr>
              <w:t>April 30,</w:t>
            </w:r>
          </w:p>
        </w:tc>
        <w:tc>
          <w:tcPr>
            <w:tcW w:w="3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rPr>
              <w:t>April 30,</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April 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7" w:lineRule="exact"/>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320"/>
              <w:spacing w:after="0" w:line="157" w:lineRule="exact"/>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2"/>
              <w:spacing w:after="0" w:line="157" w:lineRule="exact"/>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2008</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profit for reportable segments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$ 59,292</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$ 87,469</w:t>
            </w:r>
          </w:p>
        </w:tc>
        <w:tc>
          <w:tcPr>
            <w:tcW w:w="4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$197,463</w:t>
            </w: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98"/>
              </w:rPr>
              <w:t>256,629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line="202" w:lineRule="exact"/>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94"/>
              </w:rPr>
              <w:t>(1,717)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(1,816)</w:t>
            </w:r>
          </w:p>
        </w:tc>
        <w:tc>
          <w:tcPr>
            <w:tcW w:w="4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(6,631)</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4"/>
          </w:tcPr>
          <w:p>
            <w:pPr>
              <w:jc w:val="right"/>
              <w:ind w:right="130"/>
              <w:spacing w:after="0" w:line="202" w:lineRule="exact"/>
              <w:rPr>
                <w:sz w:val="20"/>
                <w:szCs w:val="20"/>
                <w:color w:val="auto"/>
              </w:rPr>
            </w:pPr>
            <w:r>
              <w:rPr>
                <w:rFonts w:ascii="Arial" w:cs="Arial" w:eastAsia="Arial" w:hAnsi="Arial"/>
                <w:sz w:val="18"/>
                <w:szCs w:val="18"/>
                <w:color w:val="auto"/>
              </w:rPr>
              <w:t>(26,074)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(33,071)</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(77,472)</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4"/>
              </w:rPr>
              <w:t>(2,229)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(23,276)</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989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920</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1,143</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4"/>
              </w:rPr>
              <w:t>(6,307)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(6,962)</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(18,982)</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(20,429)</w:t>
            </w: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23,954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46,540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72,245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136,242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4"/>
              </w:rPr>
              <w:t>(5,994)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(12,187)</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(21,325)</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$ 17,960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$ 34,353</w:t>
            </w: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50,920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97,413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1" w:name="page12"/>
    <w:bookmarkEnd w:id="11"/>
    <w:p>
      <w:pPr>
        <w:ind w:right="5540"/>
        <w:spacing w:after="0" w:line="271"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Fiscal 2008</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bottom w:val="single" w:sz="8" w:color="auto"/>
            </w:tcBorders>
            <w:gridSpan w:val="2"/>
          </w:tcPr>
          <w:p>
            <w:pPr>
              <w:ind w:left="460"/>
              <w:spacing w:after="0" w:line="155" w:lineRule="exact"/>
              <w:rPr>
                <w:sz w:val="20"/>
                <w:szCs w:val="20"/>
                <w:color w:val="auto"/>
              </w:rPr>
            </w:pPr>
            <w:r>
              <w:rPr>
                <w:rFonts w:ascii="Arial" w:cs="Arial" w:eastAsia="Arial" w:hAnsi="Arial"/>
                <w:sz w:val="14"/>
                <w:szCs w:val="14"/>
                <w:color w:val="auto"/>
              </w:rPr>
              <w:t>Q1</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Q2</w:t>
            </w:r>
          </w:p>
        </w:tc>
        <w:tc>
          <w:tcPr>
            <w:tcW w:w="440" w:type="dxa"/>
            <w:vAlign w:val="bottom"/>
          </w:tcPr>
          <w:p>
            <w:pPr>
              <w:spacing w:after="0"/>
              <w:rPr>
                <w:sz w:val="13"/>
                <w:szCs w:val="13"/>
                <w:color w:val="auto"/>
              </w:rPr>
            </w:pPr>
          </w:p>
        </w:tc>
        <w:tc>
          <w:tcPr>
            <w:tcW w:w="11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Q3</w:t>
            </w:r>
          </w:p>
        </w:tc>
        <w:tc>
          <w:tcPr>
            <w:tcW w:w="440" w:type="dxa"/>
            <w:vAlign w:val="bottom"/>
          </w:tcPr>
          <w:p>
            <w:pPr>
              <w:spacing w:after="0"/>
              <w:rPr>
                <w:sz w:val="13"/>
                <w:szCs w:val="13"/>
                <w:color w:val="auto"/>
              </w:rPr>
            </w:pPr>
          </w:p>
        </w:tc>
        <w:tc>
          <w:tcPr>
            <w:tcW w:w="7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color w:val="auto"/>
              </w:rPr>
              <w:t>Q4</w:t>
            </w:r>
          </w:p>
        </w:tc>
        <w:tc>
          <w:tcPr>
            <w:tcW w:w="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$36,370</w:t>
            </w:r>
          </w:p>
        </w:tc>
        <w:tc>
          <w:tcPr>
            <w:tcW w:w="20" w:type="dxa"/>
            <w:vAlign w:val="bottom"/>
          </w:tcPr>
          <w:p>
            <w:pPr>
              <w:spacing w:after="0"/>
              <w:rPr>
                <w:sz w:val="17"/>
                <w:szCs w:val="17"/>
                <w:color w:val="auto"/>
              </w:rPr>
            </w:pPr>
          </w:p>
        </w:tc>
        <w:tc>
          <w:tcPr>
            <w:tcW w:w="154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$26,690</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$34,353</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97,413</w:t>
            </w:r>
          </w:p>
        </w:tc>
      </w:tr>
      <w:tr>
        <w:trPr>
          <w:trHeight w:val="203"/>
        </w:trPr>
        <w:tc>
          <w:tcPr>
            <w:tcW w:w="43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6,720</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6,747</w:t>
            </w:r>
          </w:p>
        </w:tc>
        <w:tc>
          <w:tcPr>
            <w:tcW w:w="15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6,962</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20,429</w:t>
            </w:r>
          </w:p>
        </w:tc>
      </w:tr>
      <w:tr>
        <w:trPr>
          <w:trHeight w:val="203"/>
        </w:trPr>
        <w:tc>
          <w:tcPr>
            <w:tcW w:w="43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Income taxes</w:t>
            </w:r>
          </w:p>
        </w:tc>
        <w:tc>
          <w:tcPr>
            <w:tcW w:w="110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15,366</w:t>
            </w:r>
          </w:p>
        </w:tc>
        <w:tc>
          <w:tcPr>
            <w:tcW w:w="20" w:type="dxa"/>
            <w:vAlign w:val="bottom"/>
          </w:tcPr>
          <w:p>
            <w:pPr>
              <w:spacing w:after="0"/>
              <w:rPr>
                <w:sz w:val="17"/>
                <w:szCs w:val="17"/>
                <w:color w:val="auto"/>
              </w:rPr>
            </w:pPr>
          </w:p>
        </w:tc>
        <w:tc>
          <w:tcPr>
            <w:tcW w:w="1540" w:type="dxa"/>
            <w:vAlign w:val="bottom"/>
            <w:gridSpan w:val="3"/>
          </w:tcPr>
          <w:p>
            <w:pPr>
              <w:jc w:val="right"/>
              <w:ind w:right="188"/>
              <w:spacing w:after="0" w:line="202" w:lineRule="exact"/>
              <w:rPr>
                <w:sz w:val="20"/>
                <w:szCs w:val="20"/>
                <w:color w:val="auto"/>
              </w:rPr>
            </w:pPr>
            <w:r>
              <w:rPr>
                <w:rFonts w:ascii="Arial" w:cs="Arial" w:eastAsia="Arial" w:hAnsi="Arial"/>
                <w:sz w:val="18"/>
                <w:szCs w:val="18"/>
                <w:color w:val="auto"/>
              </w:rPr>
              <w:t>11,276</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12,187</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38,829</w:t>
            </w:r>
          </w:p>
        </w:tc>
      </w:tr>
      <w:tr>
        <w:trPr>
          <w:trHeight w:val="203"/>
        </w:trPr>
        <w:tc>
          <w:tcPr>
            <w:tcW w:w="43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auto"/>
            </w:tcBorders>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14,168</w:t>
            </w:r>
          </w:p>
        </w:tc>
        <w:tc>
          <w:tcPr>
            <w:tcW w:w="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gridSpan w:val="3"/>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15,501</w:t>
            </w:r>
          </w:p>
        </w:tc>
        <w:tc>
          <w:tcPr>
            <w:tcW w:w="1560" w:type="dxa"/>
            <w:vAlign w:val="bottom"/>
            <w:tcBorders>
              <w:bottom w:val="single" w:sz="8" w:color="auto"/>
            </w:tcBorders>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16,013</w:t>
            </w: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45,682</w:t>
            </w:r>
          </w:p>
        </w:tc>
      </w:tr>
      <w:tr>
        <w:trPr>
          <w:trHeight w:val="426"/>
        </w:trPr>
        <w:tc>
          <w:tcPr>
            <w:tcW w:w="4300" w:type="dxa"/>
            <w:vAlign w:val="bottom"/>
            <w:gridSpan w:val="2"/>
          </w:tcPr>
          <w:p>
            <w:pPr>
              <w:ind w:left="220"/>
              <w:spacing w:after="0"/>
              <w:rPr>
                <w:sz w:val="20"/>
                <w:szCs w:val="20"/>
                <w:color w:val="auto"/>
              </w:rPr>
            </w:pPr>
            <w:r>
              <w:rPr>
                <w:rFonts w:ascii="Arial" w:cs="Arial" w:eastAsia="Arial" w:hAnsi="Arial"/>
                <w:sz w:val="18"/>
                <w:szCs w:val="18"/>
                <w:color w:val="auto"/>
              </w:rPr>
              <w:t>EBITDA (non-GAAP measure)</w:t>
            </w: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$ 72,624</w:t>
            </w:r>
          </w:p>
        </w:tc>
        <w:tc>
          <w:tcPr>
            <w:tcW w:w="20" w:type="dxa"/>
            <w:vAlign w:val="bottom"/>
          </w:tcPr>
          <w:p>
            <w:pPr>
              <w:spacing w:after="0"/>
              <w:rPr>
                <w:sz w:val="24"/>
                <w:szCs w:val="24"/>
                <w:color w:val="auto"/>
              </w:rPr>
            </w:pPr>
          </w:p>
        </w:tc>
        <w:tc>
          <w:tcPr>
            <w:tcW w:w="1540" w:type="dxa"/>
            <w:vAlign w:val="bottom"/>
            <w:gridSpan w:val="3"/>
          </w:tcPr>
          <w:p>
            <w:pPr>
              <w:jc w:val="right"/>
              <w:ind w:right="188"/>
              <w:spacing w:after="0"/>
              <w:rPr>
                <w:sz w:val="20"/>
                <w:szCs w:val="20"/>
                <w:color w:val="auto"/>
              </w:rPr>
            </w:pPr>
            <w:r>
              <w:rPr>
                <w:rFonts w:ascii="Arial" w:cs="Arial" w:eastAsia="Arial" w:hAnsi="Arial"/>
                <w:sz w:val="18"/>
                <w:szCs w:val="18"/>
                <w:color w:val="auto"/>
              </w:rPr>
              <w:t>$ 60,214</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$ 69,515</w:t>
            </w:r>
          </w:p>
        </w:tc>
        <w:tc>
          <w:tcPr>
            <w:tcW w:w="440" w:type="dxa"/>
            <w:vAlign w:val="bottom"/>
          </w:tcPr>
          <w:p>
            <w:pPr>
              <w:spacing w:after="0"/>
              <w:rPr>
                <w:sz w:val="24"/>
                <w:szCs w:val="24"/>
                <w:color w:val="auto"/>
              </w:rPr>
            </w:pP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202,353</w:t>
            </w:r>
          </w:p>
        </w:tc>
      </w:tr>
      <w:tr>
        <w:trPr>
          <w:trHeight w:val="351"/>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Fiscal 2009</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6"/>
        </w:trPr>
        <w:tc>
          <w:tcPr>
            <w:tcW w:w="4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Q1</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Q2</w:t>
            </w:r>
          </w:p>
        </w:tc>
        <w:tc>
          <w:tcPr>
            <w:tcW w:w="440" w:type="dxa"/>
            <w:vAlign w:val="bottom"/>
          </w:tcPr>
          <w:p>
            <w:pPr>
              <w:spacing w:after="0"/>
              <w:rPr>
                <w:sz w:val="13"/>
                <w:szCs w:val="13"/>
                <w:color w:val="auto"/>
              </w:rPr>
            </w:pPr>
          </w:p>
        </w:tc>
        <w:tc>
          <w:tcPr>
            <w:tcW w:w="11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Q3</w:t>
            </w:r>
          </w:p>
        </w:tc>
        <w:tc>
          <w:tcPr>
            <w:tcW w:w="440" w:type="dxa"/>
            <w:vAlign w:val="bottom"/>
          </w:tcPr>
          <w:p>
            <w:pPr>
              <w:spacing w:after="0"/>
              <w:rPr>
                <w:sz w:val="13"/>
                <w:szCs w:val="13"/>
                <w:color w:val="auto"/>
              </w:rPr>
            </w:pPr>
          </w:p>
        </w:tc>
        <w:tc>
          <w:tcPr>
            <w:tcW w:w="7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color w:val="auto"/>
              </w:rPr>
              <w:t>Q4</w:t>
            </w:r>
          </w:p>
        </w:tc>
        <w:tc>
          <w:tcPr>
            <w:tcW w:w="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$37,110</w:t>
            </w:r>
          </w:p>
        </w:tc>
        <w:tc>
          <w:tcPr>
            <w:tcW w:w="20" w:type="dxa"/>
            <w:vAlign w:val="bottom"/>
          </w:tcPr>
          <w:p>
            <w:pPr>
              <w:spacing w:after="0"/>
              <w:rPr>
                <w:sz w:val="17"/>
                <w:szCs w:val="17"/>
                <w:color w:val="auto"/>
              </w:rPr>
            </w:pPr>
          </w:p>
        </w:tc>
        <w:tc>
          <w:tcPr>
            <w:tcW w:w="154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 (4,150)</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$17,960</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50,920</w:t>
            </w:r>
          </w:p>
        </w:tc>
      </w:tr>
      <w:tr>
        <w:trPr>
          <w:trHeight w:val="203"/>
        </w:trPr>
        <w:tc>
          <w:tcPr>
            <w:tcW w:w="430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6,361</w:t>
            </w:r>
          </w:p>
        </w:tc>
        <w:tc>
          <w:tcPr>
            <w:tcW w:w="2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6,314</w:t>
            </w:r>
          </w:p>
        </w:tc>
        <w:tc>
          <w:tcPr>
            <w:tcW w:w="15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6,307</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18,982</w:t>
            </w:r>
          </w:p>
        </w:tc>
      </w:tr>
      <w:tr>
        <w:trPr>
          <w:trHeight w:val="203"/>
        </w:trPr>
        <w:tc>
          <w:tcPr>
            <w:tcW w:w="430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Income taxes</w:t>
            </w:r>
          </w:p>
        </w:tc>
        <w:tc>
          <w:tcPr>
            <w:tcW w:w="11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14,575</w:t>
            </w:r>
          </w:p>
        </w:tc>
        <w:tc>
          <w:tcPr>
            <w:tcW w:w="20" w:type="dxa"/>
            <w:vAlign w:val="bottom"/>
          </w:tcPr>
          <w:p>
            <w:pPr>
              <w:spacing w:after="0"/>
              <w:rPr>
                <w:sz w:val="17"/>
                <w:szCs w:val="17"/>
                <w:color w:val="auto"/>
              </w:rPr>
            </w:pPr>
          </w:p>
        </w:tc>
        <w:tc>
          <w:tcPr>
            <w:tcW w:w="1540" w:type="dxa"/>
            <w:vAlign w:val="bottom"/>
            <w:gridSpan w:val="3"/>
          </w:tcPr>
          <w:p>
            <w:pPr>
              <w:jc w:val="right"/>
              <w:ind w:right="208"/>
              <w:spacing w:after="0" w:line="202" w:lineRule="exact"/>
              <w:rPr>
                <w:sz w:val="20"/>
                <w:szCs w:val="20"/>
                <w:color w:val="auto"/>
              </w:rPr>
            </w:pPr>
            <w:r>
              <w:rPr>
                <w:rFonts w:ascii="Arial" w:cs="Arial" w:eastAsia="Arial" w:hAnsi="Arial"/>
                <w:sz w:val="18"/>
                <w:szCs w:val="18"/>
                <w:color w:val="auto"/>
              </w:rPr>
              <w:t>756</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5,994</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21,325</w:t>
            </w:r>
          </w:p>
        </w:tc>
      </w:tr>
      <w:tr>
        <w:trPr>
          <w:trHeight w:val="203"/>
        </w:trPr>
        <w:tc>
          <w:tcPr>
            <w:tcW w:w="42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13,712</w:t>
            </w:r>
          </w:p>
        </w:tc>
        <w:tc>
          <w:tcPr>
            <w:tcW w:w="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13,481</w:t>
            </w:r>
          </w:p>
        </w:tc>
        <w:tc>
          <w:tcPr>
            <w:tcW w:w="1560" w:type="dxa"/>
            <w:vAlign w:val="bottom"/>
            <w:tcBorders>
              <w:bottom w:val="single" w:sz="8" w:color="auto"/>
            </w:tcBorders>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13,479</w:t>
            </w: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40,672</w:t>
            </w:r>
          </w:p>
        </w:tc>
      </w:tr>
      <w:tr>
        <w:trPr>
          <w:trHeight w:val="426"/>
        </w:trPr>
        <w:tc>
          <w:tcPr>
            <w:tcW w:w="4300" w:type="dxa"/>
            <w:vAlign w:val="bottom"/>
            <w:gridSpan w:val="2"/>
          </w:tcPr>
          <w:p>
            <w:pPr>
              <w:ind w:left="220"/>
              <w:spacing w:after="0"/>
              <w:rPr>
                <w:sz w:val="20"/>
                <w:szCs w:val="20"/>
                <w:color w:val="auto"/>
              </w:rPr>
            </w:pPr>
            <w:r>
              <w:rPr>
                <w:rFonts w:ascii="Arial" w:cs="Arial" w:eastAsia="Arial" w:hAnsi="Arial"/>
                <w:sz w:val="18"/>
                <w:szCs w:val="18"/>
                <w:color w:val="auto"/>
              </w:rPr>
              <w:t>EBITDA (non-GAAP measure)</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$71,758</w:t>
            </w:r>
          </w:p>
        </w:tc>
        <w:tc>
          <w:tcPr>
            <w:tcW w:w="20" w:type="dxa"/>
            <w:vAlign w:val="bottom"/>
          </w:tcPr>
          <w:p>
            <w:pPr>
              <w:spacing w:after="0"/>
              <w:rPr>
                <w:sz w:val="24"/>
                <w:szCs w:val="24"/>
                <w:color w:val="auto"/>
              </w:rPr>
            </w:pPr>
          </w:p>
        </w:tc>
        <w:tc>
          <w:tcPr>
            <w:tcW w:w="1540" w:type="dxa"/>
            <w:vAlign w:val="bottom"/>
            <w:gridSpan w:val="3"/>
          </w:tcPr>
          <w:p>
            <w:pPr>
              <w:jc w:val="right"/>
              <w:ind w:right="208"/>
              <w:spacing w:after="0"/>
              <w:rPr>
                <w:sz w:val="20"/>
                <w:szCs w:val="20"/>
                <w:color w:val="auto"/>
              </w:rPr>
            </w:pPr>
            <w:r>
              <w:rPr>
                <w:rFonts w:ascii="Arial" w:cs="Arial" w:eastAsia="Arial" w:hAnsi="Arial"/>
                <w:sz w:val="18"/>
                <w:szCs w:val="18"/>
                <w:color w:val="auto"/>
              </w:rPr>
              <w:t>$16,401</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$43,740</w:t>
            </w:r>
          </w:p>
        </w:tc>
        <w:tc>
          <w:tcPr>
            <w:tcW w:w="440" w:type="dxa"/>
            <w:vAlign w:val="bottom"/>
          </w:tcPr>
          <w:p>
            <w:pPr>
              <w:spacing w:after="0"/>
              <w:rPr>
                <w:sz w:val="24"/>
                <w:szCs w:val="24"/>
                <w:color w:val="auto"/>
              </w:rPr>
            </w:pP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131,899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23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4"/>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2019-12-10T05:34:46Z</dcterms:created>
  <dcterms:modified xsi:type="dcterms:W3CDTF">2019-12-10T05:34:46Z</dcterms:modified>
</cp:coreProperties>
</file>