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8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8-K/A</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1)</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July 20, 2011</w:t>
      </w:r>
    </w:p>
    <w:p>
      <w:pPr>
        <w:spacing w:after="0" w:line="39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6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9"/>
              </w:rPr>
              <w:t>Wisconsin</w:t>
            </w:r>
          </w:p>
        </w:tc>
        <w:tc>
          <w:tcPr>
            <w:tcW w:w="2780" w:type="dxa"/>
            <w:vAlign w:val="bottom"/>
            <w:gridSpan w:val="3"/>
          </w:tcPr>
          <w:p>
            <w:pPr>
              <w:jc w:val="right"/>
              <w:ind w:right="1280"/>
              <w:spacing w:after="0"/>
              <w:rPr>
                <w:sz w:val="20"/>
                <w:szCs w:val="20"/>
                <w:color w:val="auto"/>
              </w:rPr>
            </w:pPr>
            <w:r>
              <w:rPr>
                <w:rFonts w:ascii="Arial" w:cs="Arial" w:eastAsia="Arial" w:hAnsi="Arial"/>
                <w:sz w:val="18"/>
                <w:szCs w:val="18"/>
                <w:b w:val="1"/>
                <w:bCs w:val="1"/>
                <w:color w:val="auto"/>
              </w:rPr>
              <w:t>1-14959</w:t>
            </w:r>
          </w:p>
        </w:tc>
        <w:tc>
          <w:tcPr>
            <w:tcW w:w="326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440"/>
              <w:spacing w:after="0" w:line="195" w:lineRule="exact"/>
              <w:rPr>
                <w:sz w:val="20"/>
                <w:szCs w:val="20"/>
                <w:color w:val="auto"/>
              </w:rPr>
            </w:pPr>
            <w:r>
              <w:rPr>
                <w:rFonts w:ascii="Arial" w:cs="Arial" w:eastAsia="Arial" w:hAnsi="Arial"/>
                <w:sz w:val="18"/>
                <w:szCs w:val="18"/>
                <w:color w:val="auto"/>
                <w:w w:val="99"/>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(IRS Employer Identification No.)</w:t>
            </w:r>
          </w:p>
        </w:tc>
      </w:tr>
      <w:tr>
        <w:trPr>
          <w:trHeight w:val="217"/>
        </w:trPr>
        <w:tc>
          <w:tcPr>
            <w:tcW w:w="3680" w:type="dxa"/>
            <w:vAlign w:val="bottom"/>
            <w:gridSpan w:val="3"/>
          </w:tcPr>
          <w:p>
            <w:pPr>
              <w:jc w:val="center"/>
              <w:ind w:right="560"/>
              <w:spacing w:after="0"/>
              <w:rPr>
                <w:sz w:val="20"/>
                <w:szCs w:val="20"/>
                <w:color w:val="auto"/>
              </w:rPr>
            </w:pPr>
            <w:r>
              <w:rPr>
                <w:rFonts w:ascii="Arial" w:cs="Arial" w:eastAsia="Arial" w:hAnsi="Arial"/>
                <w:sz w:val="18"/>
                <w:szCs w:val="18"/>
                <w:color w:val="auto"/>
              </w:rPr>
              <w:t>Incorporation)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369"/>
        </w:trPr>
        <w:tc>
          <w:tcPr>
            <w:tcW w:w="36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9"/>
              </w:rPr>
              <w:t>6555 West Good Hope Road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25"/>
        </w:trPr>
        <w:tc>
          <w:tcPr>
            <w:tcW w:w="36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9"/>
              </w:rPr>
              <w:t>Milwaukee, Wisconsin</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10"/>
        </w:trPr>
        <w:tc>
          <w:tcPr>
            <w:tcW w:w="4800" w:type="dxa"/>
            <w:vAlign w:val="bottom"/>
            <w:gridSpan w:val="4"/>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jc w:val="center"/>
              <w:ind w:right="1570"/>
              <w:spacing w:after="0"/>
              <w:rPr>
                <w:sz w:val="20"/>
                <w:szCs w:val="20"/>
                <w:color w:val="auto"/>
              </w:rPr>
            </w:pPr>
            <w:r>
              <w:rPr>
                <w:rFonts w:ascii="Arial" w:cs="Arial" w:eastAsia="Arial" w:hAnsi="Arial"/>
                <w:sz w:val="18"/>
                <w:szCs w:val="18"/>
                <w:color w:val="auto"/>
              </w:rPr>
              <w:t>(Zip Code)</w:t>
            </w:r>
          </w:p>
        </w:tc>
      </w:tr>
    </w:tbl>
    <w:p>
      <w:pPr>
        <w:spacing w:after="0" w:line="3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1521460</wp:posOffset>
            </wp:positionH>
            <wp:positionV relativeFrom="paragraph">
              <wp:posOffset>269240</wp:posOffset>
            </wp:positionV>
            <wp:extent cx="3129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1" w:lineRule="exact"/>
        <w:rPr>
          <w:sz w:val="24"/>
          <w:szCs w:val="24"/>
          <w:color w:val="auto"/>
        </w:rPr>
      </w:pPr>
    </w:p>
    <w:p>
      <w:pPr>
        <w:ind w:right="639"/>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55"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b w:val="1"/>
          <w:bCs w:val="1"/>
          <w:color w:val="auto"/>
        </w:rPr>
        <w:t>Explanatory Note:</w:t>
      </w:r>
    </w:p>
    <w:p>
      <w:pPr>
        <w:spacing w:after="0" w:line="207" w:lineRule="exact"/>
        <w:rPr>
          <w:sz w:val="20"/>
          <w:szCs w:val="20"/>
          <w:color w:val="auto"/>
        </w:rPr>
      </w:pPr>
    </w:p>
    <w:p>
      <w:pPr>
        <w:ind w:left="340" w:right="1400"/>
        <w:spacing w:after="0" w:line="246" w:lineRule="auto"/>
        <w:rPr>
          <w:sz w:val="20"/>
          <w:szCs w:val="20"/>
          <w:color w:val="auto"/>
        </w:rPr>
      </w:pPr>
      <w:r>
        <w:rPr>
          <w:rFonts w:ascii="Arial" w:cs="Arial" w:eastAsia="Arial" w:hAnsi="Arial"/>
          <w:sz w:val="18"/>
          <w:szCs w:val="18"/>
          <w:color w:val="auto"/>
        </w:rPr>
        <w:t>This Report on Form 8-K/A is being filed by Brady Corporation solely to file a corrected version of Exhibit 10.1 to the Form 8-K originally filed on July 26, 2011. All other information in that Form 8-K filed July 26, 2011 remains unchanged.</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460" w:type="dxa"/>
            <w:vAlign w:val="bottom"/>
          </w:tcPr>
          <w:p>
            <w:pPr>
              <w:spacing w:after="0"/>
              <w:rPr>
                <w:sz w:val="17"/>
                <w:szCs w:val="17"/>
                <w:color w:val="auto"/>
              </w:rPr>
            </w:pPr>
          </w:p>
        </w:tc>
        <w:tc>
          <w:tcPr>
            <w:tcW w:w="838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60" w:type="dxa"/>
            <w:vAlign w:val="bottom"/>
          </w:tcPr>
          <w:p>
            <w:pPr>
              <w:spacing w:after="0"/>
              <w:rPr>
                <w:sz w:val="16"/>
                <w:szCs w:val="16"/>
                <w:color w:val="auto"/>
              </w:rPr>
            </w:pPr>
          </w:p>
        </w:tc>
        <w:tc>
          <w:tcPr>
            <w:tcW w:w="8380" w:type="dxa"/>
            <w:vAlign w:val="bottom"/>
          </w:tcPr>
          <w:p>
            <w:pPr>
              <w:spacing w:after="0" w:line="195" w:lineRule="exact"/>
              <w:rPr>
                <w:sz w:val="20"/>
                <w:szCs w:val="20"/>
                <w:color w:val="auto"/>
              </w:rPr>
            </w:pPr>
            <w:r>
              <w:rPr>
                <w:rFonts w:ascii="Arial" w:cs="Arial" w:eastAsia="Arial" w:hAnsi="Arial"/>
                <w:sz w:val="18"/>
                <w:szCs w:val="18"/>
                <w:color w:val="auto"/>
              </w:rPr>
              <w:t>Form of Amendment, dated July 20, 2011, to restricted stock agreement for restricted stock issued on</w:t>
            </w: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January 8, 2008 to Frank M. Jaehnert, Thomas J. Felmer, Allan J. Klotsche, Peter C. Sephton and</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40" w:type="dxa"/>
            <w:vAlign w:val="bottom"/>
            <w:gridSpan w:val="2"/>
          </w:tcPr>
          <w:p>
            <w:pPr>
              <w:ind w:left="460"/>
              <w:spacing w:after="0"/>
              <w:rPr>
                <w:sz w:val="20"/>
                <w:szCs w:val="20"/>
                <w:color w:val="auto"/>
              </w:rPr>
            </w:pPr>
            <w:r>
              <w:rPr>
                <w:rFonts w:ascii="Arial" w:cs="Arial" w:eastAsia="Arial" w:hAnsi="Arial"/>
                <w:sz w:val="18"/>
                <w:szCs w:val="18"/>
                <w:color w:val="auto"/>
              </w:rPr>
              <w:t>Matthew O. Williamson. (Corrected Version)</w:t>
            </w:r>
          </w:p>
        </w:tc>
        <w:tc>
          <w:tcPr>
            <w:tcW w:w="1360" w:type="dxa"/>
            <w:vAlign w:val="bottom"/>
          </w:tcPr>
          <w:p>
            <w:pPr>
              <w:spacing w:after="0"/>
              <w:rPr>
                <w:sz w:val="18"/>
                <w:szCs w:val="18"/>
                <w:color w:val="auto"/>
              </w:rPr>
            </w:pPr>
          </w:p>
        </w:tc>
      </w:tr>
      <w:tr>
        <w:trPr>
          <w:trHeight w:val="591"/>
        </w:trPr>
        <w:tc>
          <w:tcPr>
            <w:tcW w:w="3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3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ind w:right="1040"/>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left="340" w:right="174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BRADY CORPORATION</w:t>
            </w:r>
          </w:p>
        </w:tc>
      </w:tr>
      <w:tr>
        <w:trPr>
          <w:trHeight w:val="365"/>
        </w:trPr>
        <w:tc>
          <w:tcPr>
            <w:tcW w:w="5440" w:type="dxa"/>
            <w:vAlign w:val="bottom"/>
          </w:tcPr>
          <w:p>
            <w:pPr>
              <w:ind w:left="340"/>
              <w:spacing w:after="0"/>
              <w:rPr>
                <w:sz w:val="20"/>
                <w:szCs w:val="20"/>
                <w:color w:val="auto"/>
              </w:rPr>
            </w:pPr>
            <w:r>
              <w:rPr>
                <w:rFonts w:ascii="Arial" w:cs="Arial" w:eastAsia="Arial" w:hAnsi="Arial"/>
                <w:sz w:val="18"/>
                <w:szCs w:val="18"/>
                <w:color w:val="auto"/>
              </w:rPr>
              <w:t>Date: July 28, 2011</w:t>
            </w:r>
          </w:p>
        </w:tc>
        <w:tc>
          <w:tcPr>
            <w:tcW w:w="5980" w:type="dxa"/>
            <w:vAlign w:val="bottom"/>
            <w:gridSpan w:val="2"/>
          </w:tcPr>
          <w:p>
            <w:pPr>
              <w:spacing w:after="0"/>
              <w:rPr>
                <w:sz w:val="20"/>
                <w:szCs w:val="20"/>
                <w:color w:val="auto"/>
              </w:rPr>
            </w:pPr>
            <w:r>
              <w:rPr>
                <w:rFonts w:ascii="Arial" w:cs="Arial" w:eastAsia="Arial" w:hAnsi="Arial"/>
                <w:sz w:val="18"/>
                <w:szCs w:val="18"/>
                <w:color w:val="auto"/>
              </w:rPr>
              <w:t>/s/ Thomas J. Felmer</w:t>
            </w:r>
          </w:p>
        </w:tc>
      </w:tr>
      <w:tr>
        <w:trPr>
          <w:trHeight w:val="209"/>
        </w:trPr>
        <w:tc>
          <w:tcPr>
            <w:tcW w:w="544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J. Felmer</w:t>
            </w:r>
          </w:p>
        </w:tc>
        <w:tc>
          <w:tcPr>
            <w:tcW w:w="43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Senior Vice President &amp; Chief Financial Officer</w:t>
            </w:r>
          </w:p>
        </w:tc>
      </w:tr>
      <w:tr>
        <w:trPr>
          <w:trHeight w:val="591"/>
        </w:trPr>
        <w:tc>
          <w:tcPr>
            <w:tcW w:w="54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80" w:type="dxa"/>
            <w:vAlign w:val="bottom"/>
          </w:tcPr>
          <w:p>
            <w:pPr>
              <w:ind w:left="2860"/>
              <w:spacing w:after="0"/>
              <w:rPr>
                <w:sz w:val="20"/>
                <w:szCs w:val="20"/>
                <w:color w:val="auto"/>
              </w:rPr>
            </w:pPr>
            <w:r>
              <w:rPr>
                <w:rFonts w:ascii="Arial" w:cs="Arial" w:eastAsia="Arial" w:hAnsi="Arial"/>
                <w:sz w:val="18"/>
                <w:szCs w:val="18"/>
                <w:color w:val="auto"/>
              </w:rPr>
              <w:t>EXHIBIT INDEX</w:t>
            </w:r>
          </w:p>
        </w:tc>
      </w:tr>
      <w:tr>
        <w:trPr>
          <w:trHeight w:val="581"/>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460" w:type="dxa"/>
            <w:vAlign w:val="bottom"/>
          </w:tcPr>
          <w:p>
            <w:pPr>
              <w:spacing w:after="0"/>
              <w:rPr>
                <w:sz w:val="24"/>
                <w:szCs w:val="24"/>
                <w:color w:val="auto"/>
              </w:rPr>
            </w:pPr>
          </w:p>
        </w:tc>
        <w:tc>
          <w:tcPr>
            <w:tcW w:w="838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Description of Exhibit</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60" w:type="dxa"/>
            <w:vAlign w:val="bottom"/>
          </w:tcPr>
          <w:p>
            <w:pPr>
              <w:spacing w:after="0"/>
              <w:rPr>
                <w:sz w:val="16"/>
                <w:szCs w:val="16"/>
                <w:color w:val="auto"/>
              </w:rPr>
            </w:pPr>
          </w:p>
        </w:tc>
        <w:tc>
          <w:tcPr>
            <w:tcW w:w="8380" w:type="dxa"/>
            <w:vAlign w:val="bottom"/>
          </w:tcPr>
          <w:p>
            <w:pPr>
              <w:spacing w:after="0" w:line="195" w:lineRule="exact"/>
              <w:rPr>
                <w:sz w:val="20"/>
                <w:szCs w:val="20"/>
                <w:color w:val="auto"/>
              </w:rPr>
            </w:pPr>
            <w:r>
              <w:rPr>
                <w:rFonts w:ascii="Arial" w:cs="Arial" w:eastAsia="Arial" w:hAnsi="Arial"/>
                <w:sz w:val="18"/>
                <w:szCs w:val="18"/>
                <w:color w:val="auto"/>
              </w:rPr>
              <w:t>Form of Amendment, dated July 20, 2011, to restricted stock agreement for restricted stock issued on</w:t>
            </w:r>
          </w:p>
        </w:tc>
      </w:tr>
      <w:tr>
        <w:trPr>
          <w:trHeight w:val="203"/>
        </w:trPr>
        <w:tc>
          <w:tcPr>
            <w:tcW w:w="880" w:type="dxa"/>
            <w:vAlign w:val="bottom"/>
          </w:tcPr>
          <w:p>
            <w:pPr>
              <w:spacing w:after="0"/>
              <w:rPr>
                <w:sz w:val="17"/>
                <w:szCs w:val="17"/>
                <w:color w:val="auto"/>
              </w:rPr>
            </w:pPr>
          </w:p>
        </w:tc>
        <w:tc>
          <w:tcPr>
            <w:tcW w:w="8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January 8, 2008 to Frank M. Jaehnert, Thomas J. Felmer, Allan J. Klotsche, Peter C. Sephton and</w:t>
            </w:r>
          </w:p>
        </w:tc>
      </w:tr>
      <w:tr>
        <w:trPr>
          <w:trHeight w:val="217"/>
        </w:trPr>
        <w:tc>
          <w:tcPr>
            <w:tcW w:w="880" w:type="dxa"/>
            <w:vAlign w:val="bottom"/>
          </w:tcPr>
          <w:p>
            <w:pPr>
              <w:spacing w:after="0"/>
              <w:rPr>
                <w:sz w:val="18"/>
                <w:szCs w:val="18"/>
                <w:color w:val="auto"/>
              </w:rPr>
            </w:pPr>
          </w:p>
        </w:tc>
        <w:tc>
          <w:tcPr>
            <w:tcW w:w="8840" w:type="dxa"/>
            <w:vAlign w:val="bottom"/>
            <w:gridSpan w:val="2"/>
          </w:tcPr>
          <w:p>
            <w:pPr>
              <w:ind w:left="460"/>
              <w:spacing w:after="0"/>
              <w:rPr>
                <w:sz w:val="20"/>
                <w:szCs w:val="20"/>
                <w:color w:val="auto"/>
              </w:rPr>
            </w:pPr>
            <w:r>
              <w:rPr>
                <w:rFonts w:ascii="Arial" w:cs="Arial" w:eastAsia="Arial" w:hAnsi="Arial"/>
                <w:sz w:val="18"/>
                <w:szCs w:val="18"/>
                <w:color w:val="auto"/>
              </w:rPr>
              <w:t>Matthew O. Williamson. (Corrected Version)</w:t>
            </w:r>
          </w:p>
        </w:tc>
      </w:tr>
    </w:tbl>
    <w:p>
      <w:pPr>
        <w:sectPr>
          <w:pgSz w:w="11900" w:h="16838" w:orient="portrait"/>
          <w:cols w:equalWidth="0" w:num="1">
            <w:col w:w="9879"/>
          </w:cols>
          <w:pgMar w:left="580" w:top="949"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u w:val="single" w:color="auto"/>
          <w:color w:val="auto"/>
        </w:rPr>
        <w:t>Exhibit 10.1</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OF AMENDMENT TO</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JANUARY 8, 2008 BRADY CORPORATION</w:t>
      </w:r>
    </w:p>
    <w:p>
      <w:pPr>
        <w:jc w:val="center"/>
        <w:ind w:right="159"/>
        <w:spacing w:after="0" w:line="234" w:lineRule="auto"/>
        <w:rPr>
          <w:sz w:val="20"/>
          <w:szCs w:val="20"/>
          <w:color w:val="auto"/>
        </w:rPr>
      </w:pPr>
      <w:r>
        <w:rPr>
          <w:rFonts w:ascii="Arial" w:cs="Arial" w:eastAsia="Arial" w:hAnsi="Arial"/>
          <w:sz w:val="18"/>
          <w:szCs w:val="18"/>
          <w:b w:val="1"/>
          <w:bCs w:val="1"/>
          <w:color w:val="auto"/>
        </w:rPr>
        <w:t>PERFORMANCE-BASED RESTRICTED STOCK AGREEMENT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amended July 20, 2011)</w:t>
      </w:r>
    </w:p>
    <w:p>
      <w:pPr>
        <w:spacing w:after="0" w:line="185" w:lineRule="exact"/>
        <w:rPr>
          <w:sz w:val="20"/>
          <w:szCs w:val="20"/>
          <w:color w:val="auto"/>
        </w:rPr>
      </w:pPr>
    </w:p>
    <w:p>
      <w:pPr>
        <w:ind w:right="439" w:firstLine="486"/>
        <w:spacing w:after="0" w:line="246" w:lineRule="auto"/>
        <w:rPr>
          <w:sz w:val="20"/>
          <w:szCs w:val="20"/>
          <w:color w:val="auto"/>
        </w:rPr>
      </w:pPr>
      <w:r>
        <w:rPr>
          <w:rFonts w:ascii="Arial" w:cs="Arial" w:eastAsia="Arial" w:hAnsi="Arial"/>
          <w:sz w:val="18"/>
          <w:szCs w:val="18"/>
          <w:color w:val="auto"/>
        </w:rPr>
        <w:t>The following sets forth an amendment to the January 8, 2008 Brady Corporation Performance-Based Restricted Stock Agreement (the “Agreement”).</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Section 2 of the Agreement is amended to read as follows:</w:t>
      </w:r>
    </w:p>
    <w:p>
      <w:pPr>
        <w:spacing w:after="0" w:line="167" w:lineRule="exact"/>
        <w:rPr>
          <w:sz w:val="20"/>
          <w:szCs w:val="20"/>
          <w:color w:val="auto"/>
        </w:rPr>
      </w:pPr>
    </w:p>
    <w:p>
      <w:pPr>
        <w:ind w:left="580" w:hanging="19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Vesting Requirements</w:t>
      </w:r>
      <w:r>
        <w:rPr>
          <w:rFonts w:ascii="Arial" w:cs="Arial" w:eastAsia="Arial" w:hAnsi="Arial"/>
          <w:sz w:val="18"/>
          <w:szCs w:val="18"/>
          <w:color w:val="auto"/>
        </w:rPr>
        <w:t>. The vesting of this Award (other than pursuant to accelerated vesting in certain</w:t>
      </w:r>
    </w:p>
    <w:p>
      <w:pPr>
        <w:ind w:right="579"/>
        <w:spacing w:after="0" w:line="246" w:lineRule="auto"/>
        <w:rPr>
          <w:rFonts w:ascii="Arial" w:cs="Arial" w:eastAsia="Arial" w:hAnsi="Arial"/>
          <w:sz w:val="18"/>
          <w:szCs w:val="18"/>
          <w:color w:val="auto"/>
        </w:rPr>
      </w:pPr>
      <w:r>
        <w:rPr>
          <w:rFonts w:ascii="Arial" w:cs="Arial" w:eastAsia="Arial" w:hAnsi="Arial"/>
          <w:sz w:val="18"/>
          <w:szCs w:val="18"/>
          <w:color w:val="auto"/>
        </w:rPr>
        <w:t>circumstances as provided in Section 3 below) shall be subject to the satisfaction of the vesting conditions set forth in either of Section 2(a) or Section 2(b) below:</w:t>
      </w:r>
    </w:p>
    <w:p>
      <w:pPr>
        <w:spacing w:after="0" w:line="169" w:lineRule="exact"/>
        <w:rPr>
          <w:rFonts w:ascii="Arial" w:cs="Arial" w:eastAsia="Arial" w:hAnsi="Arial"/>
          <w:sz w:val="18"/>
          <w:szCs w:val="18"/>
          <w:color w:val="auto"/>
        </w:rPr>
      </w:pPr>
    </w:p>
    <w:p>
      <w:pPr>
        <w:ind w:right="279" w:firstLine="770"/>
        <w:spacing w:after="0" w:line="237" w:lineRule="auto"/>
        <w:tabs>
          <w:tab w:leader="none" w:pos="1048" w:val="left"/>
        </w:tabs>
        <w:numPr>
          <w:ilvl w:val="1"/>
          <w:numId w:val="1"/>
        </w:numPr>
        <w:rPr>
          <w:rFonts w:ascii="Arial" w:cs="Arial" w:eastAsia="Arial" w:hAnsi="Arial"/>
          <w:sz w:val="18"/>
          <w:szCs w:val="18"/>
          <w:color w:val="auto"/>
        </w:rPr>
      </w:pPr>
      <w:r>
        <w:rPr>
          <w:rFonts w:ascii="Arial" w:cs="Arial" w:eastAsia="Arial" w:hAnsi="Arial"/>
          <w:sz w:val="18"/>
          <w:szCs w:val="18"/>
          <w:u w:val="single" w:color="auto"/>
          <w:color w:val="auto"/>
        </w:rPr>
        <w:t>First Vesting Opportunity</w:t>
      </w:r>
      <w:r>
        <w:rPr>
          <w:rFonts w:ascii="Arial" w:cs="Arial" w:eastAsia="Arial" w:hAnsi="Arial"/>
          <w:sz w:val="18"/>
          <w:szCs w:val="18"/>
          <w:color w:val="auto"/>
        </w:rPr>
        <w:t>. The vesting conditions under this Section 2(a) shall be satisfied only if (i) the Earnings Per Share for any one of the Corporation’s fiscal years ending July 31, 2009, July 31, 2010, July 31, 2011 or July 31, 2012 are at least 10% greater than the Earnings Per Share for the Corporation’s fiscal year ending July 31, 2008 and (ii) the Employee remains continuously employed by the Corporation (or an Affiliate) from the date hereof until January 15, 2013. For purposes of this Agreement, “Earnings per Share” shall mean the basic earnings per share of the Corporation’s Class A Common Stock calculated in accordance with the standards of the Public Company Accounting Oversight Board as in effect for the fiscal year ended July 31, 2008.</w:t>
      </w:r>
    </w:p>
    <w:p>
      <w:pPr>
        <w:spacing w:after="0" w:line="162" w:lineRule="exact"/>
        <w:rPr>
          <w:rFonts w:ascii="Arial" w:cs="Arial" w:eastAsia="Arial" w:hAnsi="Arial"/>
          <w:sz w:val="18"/>
          <w:szCs w:val="18"/>
          <w:color w:val="auto"/>
        </w:rPr>
      </w:pPr>
    </w:p>
    <w:p>
      <w:pPr>
        <w:jc w:val="both"/>
        <w:ind w:right="419" w:firstLine="770"/>
        <w:spacing w:after="0" w:line="239" w:lineRule="auto"/>
        <w:tabs>
          <w:tab w:leader="none" w:pos="1048" w:val="left"/>
        </w:tabs>
        <w:numPr>
          <w:ilvl w:val="1"/>
          <w:numId w:val="1"/>
        </w:numPr>
        <w:rPr>
          <w:rFonts w:ascii="Arial" w:cs="Arial" w:eastAsia="Arial" w:hAnsi="Arial"/>
          <w:sz w:val="18"/>
          <w:szCs w:val="18"/>
          <w:color w:val="auto"/>
        </w:rPr>
      </w:pPr>
      <w:r>
        <w:rPr>
          <w:rFonts w:ascii="Arial" w:cs="Arial" w:eastAsia="Arial" w:hAnsi="Arial"/>
          <w:sz w:val="18"/>
          <w:szCs w:val="18"/>
          <w:u w:val="single" w:color="auto"/>
          <w:color w:val="auto"/>
        </w:rPr>
        <w:t>Second Vesting Opportunity</w:t>
      </w:r>
      <w:r>
        <w:rPr>
          <w:rFonts w:ascii="Arial" w:cs="Arial" w:eastAsia="Arial" w:hAnsi="Arial"/>
          <w:sz w:val="18"/>
          <w:szCs w:val="18"/>
          <w:color w:val="auto"/>
        </w:rPr>
        <w:t>. The vesting conditions under this Section 2(b) shall be satisfied only if (i) the Earnings Per Share for the Corporation’s fiscal year ending either July 31, 2013 or July 31, 2014 are at least $2.68 (per the fiscal year audit accepted by the Audit Committee) and (ii) the Employee remains continuously employed by the Corporation (or an Affiliate) from the date hereof until July 31, 2014.</w:t>
      </w:r>
    </w:p>
    <w:p>
      <w:pPr>
        <w:spacing w:after="0" w:line="161" w:lineRule="exact"/>
        <w:rPr>
          <w:sz w:val="20"/>
          <w:szCs w:val="20"/>
          <w:color w:val="auto"/>
        </w:rPr>
      </w:pPr>
    </w:p>
    <w:p>
      <w:pPr>
        <w:ind w:right="339" w:firstLine="778"/>
        <w:spacing w:after="0"/>
        <w:rPr>
          <w:sz w:val="20"/>
          <w:szCs w:val="20"/>
          <w:color w:val="auto"/>
        </w:rPr>
      </w:pPr>
      <w:r>
        <w:rPr>
          <w:rFonts w:ascii="Arial" w:cs="Arial" w:eastAsia="Arial" w:hAnsi="Arial"/>
          <w:sz w:val="18"/>
          <w:szCs w:val="18"/>
          <w:color w:val="auto"/>
        </w:rPr>
        <w:t>Except as provided in Section 3, if the Employee terminates employment prior to the satisfaction of the vesting requirements set forth above, the Shares shall immediately be forfeited. The period of time during which the Shares covered by this Award are forfeitable is referred to as the “Restricted Period.”</w:t>
      </w:r>
    </w:p>
    <w:sectPr>
      <w:pgSz w:w="11900" w:h="16838" w:orient="portrait"/>
      <w:cols w:equalWidth="0" w:num="1">
        <w:col w:w="9879"/>
      </w:cols>
      <w:pgMar w:left="58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lvl w:ilvl="1">
      <w:lvlJc w:val="left"/>
      <w:lvlText w:val="(%2)"/>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2019-12-10T06:54:08Z</dcterms:created>
  <dcterms:modified xsi:type="dcterms:W3CDTF">2019-12-10T06:54:08Z</dcterms:modified>
</cp:coreProperties>
</file>