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8"/>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8"/>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192405</wp:posOffset>
            </wp:positionV>
            <wp:extent cx="16008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43" w:lineRule="exact"/>
        <w:rPr>
          <w:sz w:val="24"/>
          <w:szCs w:val="24"/>
          <w:color w:val="auto"/>
        </w:rPr>
      </w:pPr>
    </w:p>
    <w:p>
      <w:pPr>
        <w:jc w:val="center"/>
        <w:ind w:right="-58"/>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163830</wp:posOffset>
            </wp:positionV>
            <wp:extent cx="16008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1" w:lineRule="exact"/>
        <w:rPr>
          <w:sz w:val="24"/>
          <w:szCs w:val="24"/>
          <w:color w:val="auto"/>
        </w:rPr>
      </w:pPr>
    </w:p>
    <w:p>
      <w:pPr>
        <w:jc w:val="center"/>
        <w:ind w:right="-58"/>
        <w:spacing w:after="0"/>
        <w:rPr>
          <w:sz w:val="20"/>
          <w:szCs w:val="20"/>
          <w:color w:val="auto"/>
        </w:rPr>
      </w:pPr>
      <w:r>
        <w:rPr>
          <w:rFonts w:ascii="Arial" w:cs="Arial" w:eastAsia="Arial" w:hAnsi="Arial"/>
          <w:sz w:val="23"/>
          <w:szCs w:val="23"/>
          <w:b w:val="1"/>
          <w:bCs w:val="1"/>
          <w:color w:val="auto"/>
        </w:rPr>
        <w:t>CURRENT REPORT</w:t>
      </w:r>
    </w:p>
    <w:p>
      <w:pPr>
        <w:spacing w:after="0" w:line="154"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Pursuant to Section 13 or 15(d) of the</w:t>
      </w:r>
    </w:p>
    <w:p>
      <w:pPr>
        <w:spacing w:after="0" w:line="33"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Securities Exchange Act of 1934</w:t>
      </w:r>
    </w:p>
    <w:p>
      <w:pPr>
        <w:spacing w:after="0" w:line="133" w:lineRule="exact"/>
        <w:rPr>
          <w:sz w:val="24"/>
          <w:szCs w:val="24"/>
          <w:color w:val="auto"/>
        </w:rPr>
      </w:pPr>
    </w:p>
    <w:p>
      <w:pPr>
        <w:jc w:val="center"/>
        <w:ind w:right="-58"/>
        <w:spacing w:after="0"/>
        <w:rPr>
          <w:sz w:val="20"/>
          <w:szCs w:val="20"/>
          <w:color w:val="auto"/>
        </w:rPr>
      </w:pPr>
      <w:r>
        <w:rPr>
          <w:rFonts w:ascii="Arial" w:cs="Arial" w:eastAsia="Arial" w:hAnsi="Arial"/>
          <w:sz w:val="19"/>
          <w:szCs w:val="19"/>
          <w:b w:val="1"/>
          <w:bCs w:val="1"/>
          <w:color w:val="auto"/>
        </w:rPr>
        <w:t>Date of Report (Date of earliest event reported): May 21,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198755</wp:posOffset>
            </wp:positionV>
            <wp:extent cx="16008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52" w:lineRule="exact"/>
        <w:rPr>
          <w:sz w:val="24"/>
          <w:szCs w:val="24"/>
          <w:color w:val="auto"/>
        </w:rPr>
      </w:pPr>
    </w:p>
    <w:tbl>
      <w:tblPr>
        <w:tblLayout w:type="fixed"/>
        <w:tblInd w:w="2379" w:type="dxa"/>
        <w:tblCellMar>
          <w:top w:w="0" w:type="dxa"/>
          <w:left w:w="0" w:type="dxa"/>
          <w:bottom w:w="0" w:type="dxa"/>
          <w:right w:w="0" w:type="dxa"/>
        </w:tblCellMar>
      </w:tblPr>
      <w:tr>
        <w:trPr>
          <w:trHeight w:val="468"/>
        </w:trPr>
        <w:tc>
          <w:tcPr>
            <w:tcW w:w="960" w:type="dxa"/>
            <w:vAlign w:val="bottom"/>
          </w:tcPr>
          <w:p>
            <w:pPr>
              <w:spacing w:after="0"/>
              <w:rPr>
                <w:sz w:val="24"/>
                <w:szCs w:val="2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39"/>
                <w:szCs w:val="39"/>
                <w:b w:val="1"/>
                <w:bCs w:val="1"/>
                <w:color w:val="auto"/>
                <w:w w:val="99"/>
              </w:rPr>
              <w:t>BRADY CORPORATION</w:t>
            </w:r>
          </w:p>
        </w:tc>
      </w:tr>
      <w:tr>
        <w:trPr>
          <w:trHeight w:val="209"/>
        </w:trPr>
        <w:tc>
          <w:tcPr>
            <w:tcW w:w="960" w:type="dxa"/>
            <w:vAlign w:val="bottom"/>
          </w:tcPr>
          <w:p>
            <w:pPr>
              <w:spacing w:after="0"/>
              <w:rPr>
                <w:sz w:val="18"/>
                <w:szCs w:val="18"/>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r>
      <w:tr>
        <w:trPr>
          <w:trHeight w:val="229"/>
        </w:trPr>
        <w:tc>
          <w:tcPr>
            <w:tcW w:w="9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2220" w:type="dxa"/>
            <w:vAlign w:val="bottom"/>
          </w:tcPr>
          <w:p>
            <w:pPr>
              <w:spacing w:after="0"/>
              <w:rPr>
                <w:sz w:val="19"/>
                <w:szCs w:val="19"/>
                <w:color w:val="auto"/>
              </w:rPr>
            </w:pPr>
          </w:p>
        </w:tc>
      </w:tr>
      <w:tr>
        <w:trPr>
          <w:trHeight w:val="257"/>
        </w:trPr>
        <w:tc>
          <w:tcPr>
            <w:tcW w:w="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1"/>
              </w:rPr>
              <w:t>Commission File Number 1-14959</w:t>
            </w:r>
          </w:p>
        </w:tc>
      </w:tr>
      <w:tr>
        <w:trPr>
          <w:trHeight w:val="627"/>
        </w:trPr>
        <w:tc>
          <w:tcPr>
            <w:tcW w:w="960" w:type="dxa"/>
            <w:vAlign w:val="bottom"/>
          </w:tcPr>
          <w:p>
            <w:pPr>
              <w:jc w:val="center"/>
              <w:ind w:right="90"/>
              <w:spacing w:after="0"/>
              <w:rPr>
                <w:sz w:val="20"/>
                <w:szCs w:val="20"/>
                <w:color w:val="auto"/>
              </w:rPr>
            </w:pPr>
            <w:r>
              <w:rPr>
                <w:rFonts w:ascii="Arial" w:cs="Arial" w:eastAsia="Arial" w:hAnsi="Arial"/>
                <w:sz w:val="16"/>
                <w:szCs w:val="16"/>
                <w:b w:val="1"/>
                <w:bCs w:val="1"/>
                <w:color w:val="auto"/>
                <w:w w:val="89"/>
              </w:rPr>
              <w:t>Wisconsin</w:t>
            </w:r>
          </w:p>
        </w:tc>
        <w:tc>
          <w:tcPr>
            <w:tcW w:w="5840" w:type="dxa"/>
            <w:vAlign w:val="bottom"/>
            <w:gridSpan w:val="3"/>
          </w:tcPr>
          <w:p>
            <w:pPr>
              <w:jc w:val="center"/>
              <w:ind w:left="4720"/>
              <w:spacing w:after="0"/>
              <w:rPr>
                <w:sz w:val="20"/>
                <w:szCs w:val="20"/>
                <w:color w:val="auto"/>
              </w:rPr>
            </w:pPr>
            <w:r>
              <w:rPr>
                <w:rFonts w:ascii="Arial" w:cs="Arial" w:eastAsia="Arial" w:hAnsi="Arial"/>
                <w:sz w:val="16"/>
                <w:szCs w:val="16"/>
                <w:b w:val="1"/>
                <w:bCs w:val="1"/>
                <w:color w:val="auto"/>
                <w:w w:val="91"/>
              </w:rPr>
              <w:t>39-0971239</w:t>
            </w:r>
          </w:p>
        </w:tc>
      </w:tr>
      <w:tr>
        <w:trPr>
          <w:trHeight w:val="161"/>
        </w:trPr>
        <w:tc>
          <w:tcPr>
            <w:tcW w:w="960" w:type="dxa"/>
            <w:vAlign w:val="bottom"/>
          </w:tcPr>
          <w:p>
            <w:pPr>
              <w:jc w:val="center"/>
              <w:ind w:right="70"/>
              <w:spacing w:after="0"/>
              <w:rPr>
                <w:sz w:val="20"/>
                <w:szCs w:val="20"/>
                <w:color w:val="auto"/>
              </w:rPr>
            </w:pPr>
            <w:r>
              <w:rPr>
                <w:rFonts w:ascii="Arial" w:cs="Arial" w:eastAsia="Arial" w:hAnsi="Arial"/>
                <w:sz w:val="13"/>
                <w:szCs w:val="13"/>
                <w:b w:val="1"/>
                <w:bCs w:val="1"/>
                <w:color w:val="auto"/>
                <w:w w:val="88"/>
              </w:rPr>
              <w:t>(State of</w:t>
            </w:r>
          </w:p>
        </w:tc>
        <w:tc>
          <w:tcPr>
            <w:tcW w:w="11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(IRS Employer</w:t>
            </w:r>
          </w:p>
        </w:tc>
      </w:tr>
      <w:tr>
        <w:trPr>
          <w:trHeight w:val="160"/>
        </w:trPr>
        <w:tc>
          <w:tcPr>
            <w:tcW w:w="960" w:type="dxa"/>
            <w:vAlign w:val="bottom"/>
          </w:tcPr>
          <w:p>
            <w:pPr>
              <w:jc w:val="center"/>
              <w:ind w:right="90"/>
              <w:spacing w:after="0"/>
              <w:rPr>
                <w:sz w:val="20"/>
                <w:szCs w:val="20"/>
                <w:color w:val="auto"/>
              </w:rPr>
            </w:pPr>
            <w:r>
              <w:rPr>
                <w:rFonts w:ascii="Arial" w:cs="Arial" w:eastAsia="Arial" w:hAnsi="Arial"/>
                <w:sz w:val="13"/>
                <w:szCs w:val="13"/>
                <w:b w:val="1"/>
                <w:bCs w:val="1"/>
                <w:color w:val="auto"/>
                <w:w w:val="90"/>
              </w:rPr>
              <w:t>Incorporation)</w:t>
            </w:r>
          </w:p>
        </w:tc>
        <w:tc>
          <w:tcPr>
            <w:tcW w:w="11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220" w:type="dxa"/>
            <w:vAlign w:val="bottom"/>
          </w:tcPr>
          <w:p>
            <w:pPr>
              <w:jc w:val="center"/>
              <w:ind w:left="1136"/>
              <w:spacing w:after="0"/>
              <w:rPr>
                <w:sz w:val="20"/>
                <w:szCs w:val="20"/>
                <w:color w:val="auto"/>
              </w:rPr>
            </w:pPr>
            <w:r>
              <w:rPr>
                <w:rFonts w:ascii="Arial" w:cs="Arial" w:eastAsia="Arial" w:hAnsi="Arial"/>
                <w:sz w:val="13"/>
                <w:szCs w:val="13"/>
                <w:b w:val="1"/>
                <w:bCs w:val="1"/>
                <w:color w:val="auto"/>
                <w:w w:val="92"/>
              </w:rPr>
              <w:t>Identification No.)</w:t>
            </w:r>
          </w:p>
        </w:tc>
      </w:tr>
      <w:tr>
        <w:trPr>
          <w:trHeight w:val="193"/>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6555 West Good Hope Road</w:t>
            </w:r>
          </w:p>
        </w:tc>
      </w:tr>
      <w:tr>
        <w:trPr>
          <w:trHeight w:val="190"/>
        </w:trPr>
        <w:tc>
          <w:tcPr>
            <w:tcW w:w="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740" w:type="dxa"/>
            <w:vAlign w:val="bottom"/>
            <w:gridSpan w:val="2"/>
          </w:tcPr>
          <w:p>
            <w:pPr>
              <w:jc w:val="center"/>
              <w:ind w:right="2176"/>
              <w:spacing w:after="0"/>
              <w:rPr>
                <w:sz w:val="20"/>
                <w:szCs w:val="20"/>
                <w:color w:val="auto"/>
              </w:rPr>
            </w:pPr>
            <w:r>
              <w:rPr>
                <w:rFonts w:ascii="Arial" w:cs="Arial" w:eastAsia="Arial" w:hAnsi="Arial"/>
                <w:sz w:val="16"/>
                <w:szCs w:val="16"/>
                <w:b w:val="1"/>
                <w:bCs w:val="1"/>
                <w:color w:val="auto"/>
                <w:w w:val="90"/>
              </w:rPr>
              <w:t>Milwaukee, Wisconsin 53223</w:t>
            </w:r>
          </w:p>
        </w:tc>
      </w:tr>
      <w:tr>
        <w:trPr>
          <w:trHeight w:val="167"/>
        </w:trPr>
        <w:tc>
          <w:tcPr>
            <w:tcW w:w="960" w:type="dxa"/>
            <w:vAlign w:val="bottom"/>
          </w:tcPr>
          <w:p>
            <w:pPr>
              <w:spacing w:after="0"/>
              <w:rPr>
                <w:sz w:val="14"/>
                <w:szCs w:val="14"/>
                <w:color w:val="auto"/>
              </w:rPr>
            </w:pPr>
          </w:p>
        </w:tc>
        <w:tc>
          <w:tcPr>
            <w:tcW w:w="5840" w:type="dxa"/>
            <w:vAlign w:val="bottom"/>
            <w:gridSpan w:val="3"/>
          </w:tcPr>
          <w:p>
            <w:pPr>
              <w:jc w:val="center"/>
              <w:ind w:right="1076"/>
              <w:spacing w:after="0"/>
              <w:rPr>
                <w:sz w:val="20"/>
                <w:szCs w:val="20"/>
                <w:color w:val="auto"/>
              </w:rPr>
            </w:pPr>
            <w:r>
              <w:rPr>
                <w:rFonts w:ascii="Arial" w:cs="Arial" w:eastAsia="Arial" w:hAnsi="Arial"/>
                <w:sz w:val="13"/>
                <w:szCs w:val="13"/>
                <w:b w:val="1"/>
                <w:bCs w:val="1"/>
                <w:color w:val="auto"/>
                <w:w w:val="89"/>
              </w:rPr>
              <w:t>(Address of Principal Executive Offices and Zip Code)</w:t>
            </w:r>
          </w:p>
        </w:tc>
      </w:tr>
      <w:tr>
        <w:trPr>
          <w:trHeight w:val="336"/>
        </w:trPr>
        <w:tc>
          <w:tcPr>
            <w:tcW w:w="960" w:type="dxa"/>
            <w:vAlign w:val="bottom"/>
          </w:tcPr>
          <w:p>
            <w:pPr>
              <w:spacing w:after="0"/>
              <w:rPr>
                <w:sz w:val="24"/>
                <w:szCs w:val="24"/>
                <w:color w:val="auto"/>
              </w:rPr>
            </w:pPr>
          </w:p>
        </w:tc>
        <w:tc>
          <w:tcPr>
            <w:tcW w:w="3620" w:type="dxa"/>
            <w:vAlign w:val="bottom"/>
            <w:gridSpan w:val="2"/>
          </w:tcPr>
          <w:p>
            <w:pPr>
              <w:jc w:val="center"/>
              <w:ind w:left="1000"/>
              <w:spacing w:after="0"/>
              <w:rPr>
                <w:sz w:val="20"/>
                <w:szCs w:val="20"/>
                <w:color w:val="auto"/>
              </w:rPr>
            </w:pPr>
            <w:r>
              <w:rPr>
                <w:rFonts w:ascii="Arial" w:cs="Arial" w:eastAsia="Arial" w:hAnsi="Arial"/>
                <w:sz w:val="16"/>
                <w:szCs w:val="16"/>
                <w:b w:val="1"/>
                <w:bCs w:val="1"/>
                <w:color w:val="auto"/>
                <w:w w:val="91"/>
              </w:rPr>
              <w:t>(414) 358-6600</w:t>
            </w:r>
          </w:p>
        </w:tc>
        <w:tc>
          <w:tcPr>
            <w:tcW w:w="2220" w:type="dxa"/>
            <w:vAlign w:val="bottom"/>
          </w:tcPr>
          <w:p>
            <w:pPr>
              <w:spacing w:after="0"/>
              <w:rPr>
                <w:sz w:val="24"/>
                <w:szCs w:val="24"/>
                <w:color w:val="auto"/>
              </w:rPr>
            </w:pPr>
          </w:p>
        </w:tc>
      </w:tr>
      <w:tr>
        <w:trPr>
          <w:trHeight w:val="171"/>
        </w:trPr>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740" w:type="dxa"/>
            <w:vAlign w:val="bottom"/>
            <w:gridSpan w:val="2"/>
          </w:tcPr>
          <w:p>
            <w:pPr>
              <w:jc w:val="center"/>
              <w:ind w:right="2156"/>
              <w:spacing w:after="0"/>
              <w:rPr>
                <w:sz w:val="20"/>
                <w:szCs w:val="20"/>
                <w:color w:val="auto"/>
              </w:rPr>
            </w:pPr>
            <w:r>
              <w:rPr>
                <w:rFonts w:ascii="Arial" w:cs="Arial" w:eastAsia="Arial" w:hAnsi="Arial"/>
                <w:sz w:val="13"/>
                <w:szCs w:val="13"/>
                <w:b w:val="1"/>
                <w:bCs w:val="1"/>
                <w:color w:val="auto"/>
                <w:w w:val="89"/>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2818765</wp:posOffset>
            </wp:positionH>
            <wp:positionV relativeFrom="paragraph">
              <wp:posOffset>159385</wp:posOffset>
            </wp:positionV>
            <wp:extent cx="16008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0835" cy="7620"/>
                    </a:xfrm>
                    <a:prstGeom prst="rect">
                      <a:avLst/>
                    </a:prstGeom>
                    <a:noFill/>
                  </pic:spPr>
                </pic:pic>
              </a:graphicData>
            </a:graphic>
          </wp:anchor>
        </w:drawing>
      </w:r>
    </w:p>
    <w:p>
      <w:pPr>
        <w:spacing w:after="0" w:line="303" w:lineRule="exact"/>
        <w:rPr>
          <w:sz w:val="24"/>
          <w:szCs w:val="24"/>
          <w:color w:val="auto"/>
        </w:rPr>
      </w:pPr>
    </w:p>
    <w:p>
      <w:pPr>
        <w:ind w:left="479"/>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77" w:lineRule="exact"/>
        <w:rPr>
          <w:rFonts w:ascii="MS PGothic" w:cs="MS PGothic" w:eastAsia="MS PGothic" w:hAnsi="MS PGothic"/>
          <w:sz w:val="16"/>
          <w:szCs w:val="16"/>
          <w:color w:val="auto"/>
        </w:rPr>
      </w:pPr>
    </w:p>
    <w:p>
      <w:pPr>
        <w:ind w:left="679" w:hanging="679"/>
        <w:spacing w:after="0"/>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ectPr>
          <w:pgSz w:w="11900" w:h="16838" w:orient="portrait"/>
          <w:cols w:equalWidth="0" w:num="1">
            <w:col w:w="11319"/>
          </w:cols>
          <w:pgMar w:left="261" w:top="670" w:right="319" w:bottom="1440" w:gutter="0" w:footer="0" w:header="0"/>
        </w:sectPr>
      </w:pPr>
    </w:p>
    <w:bookmarkStart w:id="1" w:name="page2"/>
    <w:bookmarkEnd w:id="1"/>
    <w:p>
      <w:pPr>
        <w:ind w:left="20"/>
        <w:spacing w:after="0"/>
        <w:tabs>
          <w:tab w:leader="none" w:pos="940" w:val="left"/>
        </w:tabs>
        <w:rPr>
          <w:sz w:val="20"/>
          <w:szCs w:val="20"/>
          <w:color w:val="auto"/>
        </w:rPr>
      </w:pPr>
      <w:r>
        <w:rPr>
          <w:rFonts w:ascii="Arial" w:cs="Arial" w:eastAsia="Arial" w:hAnsi="Arial"/>
          <w:sz w:val="16"/>
          <w:szCs w:val="16"/>
          <w:color w:val="auto"/>
        </w:rPr>
        <w:t>Item 2.02</w:t>
      </w:r>
      <w:r>
        <w:rPr>
          <w:sz w:val="20"/>
          <w:szCs w:val="20"/>
          <w:color w:val="auto"/>
        </w:rPr>
        <w:tab/>
      </w:r>
      <w:r>
        <w:rPr>
          <w:rFonts w:ascii="Arial" w:cs="Arial" w:eastAsia="Arial" w:hAnsi="Arial"/>
          <w:sz w:val="15"/>
          <w:szCs w:val="15"/>
          <w:color w:val="auto"/>
        </w:rPr>
        <w:t>RESULTS OF OPERATIONS AND FINANCIAL CONDITION</w:t>
      </w:r>
    </w:p>
    <w:p>
      <w:pPr>
        <w:spacing w:after="0" w:line="226" w:lineRule="exact"/>
        <w:rPr>
          <w:sz w:val="20"/>
          <w:szCs w:val="20"/>
          <w:color w:val="auto"/>
        </w:rPr>
      </w:pPr>
    </w:p>
    <w:p>
      <w:pPr>
        <w:ind w:right="20" w:firstLine="579"/>
        <w:spacing w:after="0" w:line="279" w:lineRule="auto"/>
        <w:rPr>
          <w:sz w:val="20"/>
          <w:szCs w:val="20"/>
          <w:color w:val="auto"/>
        </w:rPr>
      </w:pPr>
      <w:r>
        <w:rPr>
          <w:rFonts w:ascii="Arial" w:cs="Arial" w:eastAsia="Arial" w:hAnsi="Arial"/>
          <w:sz w:val="16"/>
          <w:szCs w:val="16"/>
          <w:color w:val="auto"/>
        </w:rPr>
        <w:t>On May 21, 2015, Brady Corporation (the “Company”) issued a press release announcing its fiscal 2015 third quarter financial results. A copy of the press release is being furnished to the Securities and Exchange Commission as Exhibit 99.1 attached hereto and is incorporated herein by reference.</w:t>
      </w:r>
    </w:p>
    <w:p>
      <w:pPr>
        <w:spacing w:after="0" w:line="296" w:lineRule="exact"/>
        <w:rPr>
          <w:sz w:val="20"/>
          <w:szCs w:val="20"/>
          <w:color w:val="auto"/>
        </w:rPr>
      </w:pPr>
    </w:p>
    <w:p>
      <w:pPr>
        <w:ind w:left="20"/>
        <w:spacing w:after="0"/>
        <w:tabs>
          <w:tab w:leader="none" w:pos="940" w:val="left"/>
        </w:tabs>
        <w:rPr>
          <w:sz w:val="20"/>
          <w:szCs w:val="20"/>
          <w:color w:val="auto"/>
        </w:rPr>
      </w:pPr>
      <w:r>
        <w:rPr>
          <w:rFonts w:ascii="Arial" w:cs="Arial" w:eastAsia="Arial" w:hAnsi="Arial"/>
          <w:sz w:val="16"/>
          <w:szCs w:val="16"/>
          <w:color w:val="auto"/>
        </w:rPr>
        <w:t>Item 9.01</w:t>
      </w:r>
      <w:r>
        <w:rPr>
          <w:sz w:val="20"/>
          <w:szCs w:val="20"/>
          <w:color w:val="auto"/>
        </w:rPr>
        <w:tab/>
      </w:r>
      <w:r>
        <w:rPr>
          <w:rFonts w:ascii="Arial" w:cs="Arial" w:eastAsia="Arial" w:hAnsi="Arial"/>
          <w:sz w:val="15"/>
          <w:szCs w:val="15"/>
          <w:color w:val="auto"/>
        </w:rPr>
        <w:t>FINANCIAL STATEMENTS AND EXHIBITS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filed as Exhibits to this Report.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Pr>
          <w:p>
            <w:pPr>
              <w:ind w:left="20"/>
              <w:spacing w:after="0"/>
              <w:rPr>
                <w:sz w:val="20"/>
                <w:szCs w:val="20"/>
                <w:color w:val="auto"/>
              </w:rPr>
            </w:pPr>
            <w:r>
              <w:rPr>
                <w:rFonts w:ascii="Arial" w:cs="Arial" w:eastAsia="Arial" w:hAnsi="Arial"/>
                <w:sz w:val="14"/>
                <w:szCs w:val="14"/>
                <w:color w:val="auto"/>
              </w:rPr>
              <w:t>EXHIBIT</w:t>
            </w:r>
          </w:p>
        </w:tc>
        <w:tc>
          <w:tcPr>
            <w:tcW w:w="7760" w:type="dxa"/>
            <w:vAlign w:val="bottom"/>
            <w:vMerge w:val="restart"/>
          </w:tcPr>
          <w:p>
            <w:pPr>
              <w:ind w:left="28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89"/>
        </w:trPr>
        <w:tc>
          <w:tcPr>
            <w:tcW w:w="920" w:type="dxa"/>
            <w:vAlign w:val="bottom"/>
          </w:tcPr>
          <w:p>
            <w:pPr>
              <w:ind w:left="20"/>
              <w:spacing w:after="0"/>
              <w:rPr>
                <w:sz w:val="20"/>
                <w:szCs w:val="20"/>
                <w:color w:val="auto"/>
              </w:rPr>
            </w:pPr>
            <w:r>
              <w:rPr>
                <w:rFonts w:ascii="Arial" w:cs="Arial" w:eastAsia="Arial" w:hAnsi="Arial"/>
                <w:sz w:val="14"/>
                <w:szCs w:val="14"/>
                <w:color w:val="auto"/>
              </w:rPr>
              <w:t>NUMBER</w:t>
            </w:r>
          </w:p>
        </w:tc>
        <w:tc>
          <w:tcPr>
            <w:tcW w:w="7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20" w:type="dxa"/>
            <w:vAlign w:val="bottom"/>
            <w:tcBorders>
              <w:bottom w:val="single" w:sz="8" w:color="auto"/>
            </w:tcBorders>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920" w:type="dxa"/>
            <w:vAlign w:val="bottom"/>
          </w:tcPr>
          <w:p>
            <w:pPr>
              <w:ind w:left="20"/>
              <w:spacing w:after="0"/>
              <w:rPr>
                <w:sz w:val="20"/>
                <w:szCs w:val="20"/>
                <w:color w:val="auto"/>
              </w:rPr>
            </w:pPr>
            <w:r>
              <w:rPr>
                <w:rFonts w:ascii="Arial" w:cs="Arial" w:eastAsia="Arial" w:hAnsi="Arial"/>
                <w:sz w:val="16"/>
                <w:szCs w:val="16"/>
                <w:color w:val="auto"/>
              </w:rPr>
              <w:t>99.1</w:t>
            </w:r>
          </w:p>
        </w:tc>
        <w:tc>
          <w:tcPr>
            <w:tcW w:w="7760" w:type="dxa"/>
            <w:vAlign w:val="bottom"/>
          </w:tcPr>
          <w:p>
            <w:pPr>
              <w:ind w:left="280"/>
              <w:spacing w:after="0"/>
              <w:rPr>
                <w:sz w:val="20"/>
                <w:szCs w:val="20"/>
                <w:color w:val="auto"/>
              </w:rPr>
            </w:pPr>
            <w:r>
              <w:rPr>
                <w:rFonts w:ascii="Arial" w:cs="Arial" w:eastAsia="Arial" w:hAnsi="Arial"/>
                <w:sz w:val="16"/>
                <w:szCs w:val="16"/>
                <w:color w:val="auto"/>
                <w:w w:val="96"/>
              </w:rPr>
              <w:t>Press Release of Brady Corporation, dated May 21, 2015, relating to third quarter fiscal 2015 financial results.</w:t>
            </w:r>
          </w:p>
        </w:tc>
        <w:tc>
          <w:tcPr>
            <w:tcW w:w="0" w:type="dxa"/>
            <w:vAlign w:val="bottom"/>
          </w:tcPr>
          <w:p>
            <w:pPr>
              <w:spacing w:after="0"/>
              <w:rPr>
                <w:sz w:val="1"/>
                <w:szCs w:val="1"/>
                <w:color w:val="auto"/>
              </w:rPr>
            </w:pPr>
          </w:p>
        </w:tc>
      </w:tr>
      <w:tr>
        <w:trPr>
          <w:trHeight w:val="374"/>
        </w:trPr>
        <w:tc>
          <w:tcPr>
            <w:tcW w:w="920" w:type="dxa"/>
            <w:vAlign w:val="bottom"/>
            <w:vMerge w:val="restart"/>
          </w:tcPr>
          <w:p>
            <w:pPr>
              <w:ind w:left="20"/>
              <w:spacing w:after="0"/>
              <w:rPr>
                <w:sz w:val="20"/>
                <w:szCs w:val="20"/>
                <w:color w:val="auto"/>
              </w:rPr>
            </w:pPr>
            <w:r>
              <w:rPr>
                <w:rFonts w:ascii="Arial" w:cs="Arial" w:eastAsia="Arial" w:hAnsi="Arial"/>
                <w:sz w:val="16"/>
                <w:szCs w:val="16"/>
                <w:color w:val="auto"/>
              </w:rPr>
              <w:t>99.2</w:t>
            </w:r>
          </w:p>
        </w:tc>
        <w:tc>
          <w:tcPr>
            <w:tcW w:w="7760" w:type="dxa"/>
            <w:vAlign w:val="bottom"/>
          </w:tcPr>
          <w:p>
            <w:pPr>
              <w:ind w:left="280"/>
              <w:spacing w:after="0"/>
              <w:rPr>
                <w:sz w:val="20"/>
                <w:szCs w:val="20"/>
                <w:color w:val="auto"/>
              </w:rPr>
            </w:pPr>
            <w:r>
              <w:rPr>
                <w:rFonts w:ascii="Arial" w:cs="Arial" w:eastAsia="Arial" w:hAnsi="Arial"/>
                <w:sz w:val="16"/>
                <w:szCs w:val="16"/>
                <w:color w:val="auto"/>
                <w:w w:val="98"/>
              </w:rPr>
              <w:t>Informational slides provided by Brady Corporation, dated May 21, 2015, relating to third quarter fiscal 2015</w:t>
            </w:r>
          </w:p>
        </w:tc>
        <w:tc>
          <w:tcPr>
            <w:tcW w:w="0" w:type="dxa"/>
            <w:vAlign w:val="bottom"/>
          </w:tcPr>
          <w:p>
            <w:pPr>
              <w:spacing w:after="0"/>
              <w:rPr>
                <w:sz w:val="1"/>
                <w:szCs w:val="1"/>
                <w:color w:val="auto"/>
              </w:rPr>
            </w:pPr>
          </w:p>
        </w:tc>
      </w:tr>
      <w:tr>
        <w:trPr>
          <w:trHeight w:val="109"/>
        </w:trPr>
        <w:tc>
          <w:tcPr>
            <w:tcW w:w="920" w:type="dxa"/>
            <w:vAlign w:val="bottom"/>
            <w:vMerge w:val="continue"/>
          </w:tcPr>
          <w:p>
            <w:pPr>
              <w:spacing w:after="0"/>
              <w:rPr>
                <w:sz w:val="9"/>
                <w:szCs w:val="9"/>
                <w:color w:val="auto"/>
              </w:rPr>
            </w:pPr>
          </w:p>
        </w:tc>
        <w:tc>
          <w:tcPr>
            <w:tcW w:w="7760" w:type="dxa"/>
            <w:vAlign w:val="bottom"/>
            <w:vMerge w:val="restart"/>
          </w:tcPr>
          <w:p>
            <w:pPr>
              <w:ind w:left="280"/>
              <w:spacing w:after="0"/>
              <w:rPr>
                <w:sz w:val="20"/>
                <w:szCs w:val="20"/>
                <w:color w:val="auto"/>
              </w:rPr>
            </w:pPr>
            <w:r>
              <w:rPr>
                <w:rFonts w:ascii="Arial" w:cs="Arial" w:eastAsia="Arial" w:hAnsi="Arial"/>
                <w:sz w:val="16"/>
                <w:szCs w:val="16"/>
                <w:color w:val="auto"/>
              </w:rPr>
              <w:t>financial results.</w:t>
            </w:r>
          </w:p>
        </w:tc>
        <w:tc>
          <w:tcPr>
            <w:tcW w:w="0" w:type="dxa"/>
            <w:vAlign w:val="bottom"/>
          </w:tcPr>
          <w:p>
            <w:pPr>
              <w:spacing w:after="0"/>
              <w:rPr>
                <w:sz w:val="1"/>
                <w:szCs w:val="1"/>
                <w:color w:val="auto"/>
              </w:rPr>
            </w:pPr>
          </w:p>
        </w:tc>
      </w:tr>
      <w:tr>
        <w:trPr>
          <w:trHeight w:val="96"/>
        </w:trPr>
        <w:tc>
          <w:tcPr>
            <w:tcW w:w="920" w:type="dxa"/>
            <w:vAlign w:val="bottom"/>
          </w:tcPr>
          <w:p>
            <w:pPr>
              <w:spacing w:after="0"/>
              <w:rPr>
                <w:sz w:val="8"/>
                <w:szCs w:val="8"/>
                <w:color w:val="auto"/>
              </w:rPr>
            </w:pPr>
          </w:p>
        </w:tc>
        <w:tc>
          <w:tcPr>
            <w:tcW w:w="7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7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5940" w:val="left"/>
        </w:tabs>
        <w:rPr>
          <w:sz w:val="20"/>
          <w:szCs w:val="20"/>
          <w:color w:val="auto"/>
        </w:rPr>
      </w:pPr>
      <w:r>
        <w:rPr>
          <w:rFonts w:ascii="Arial" w:cs="Arial" w:eastAsia="Arial" w:hAnsi="Arial"/>
          <w:sz w:val="16"/>
          <w:szCs w:val="16"/>
          <w:color w:val="auto"/>
        </w:rPr>
        <w:t>Date: May 21, 2015</w:t>
      </w:r>
      <w:r>
        <w:rPr>
          <w:sz w:val="20"/>
          <w:szCs w:val="20"/>
          <w:color w:val="auto"/>
        </w:rPr>
        <w:tab/>
      </w:r>
      <w:r>
        <w:rPr>
          <w:rFonts w:ascii="Arial" w:cs="Arial" w:eastAsia="Arial" w:hAnsi="Arial"/>
          <w:sz w:val="15"/>
          <w:szCs w:val="15"/>
          <w:color w:val="auto"/>
        </w:rPr>
        <w:t>/s/ AARON J.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3773805</wp:posOffset>
            </wp:positionH>
            <wp:positionV relativeFrom="paragraph">
              <wp:posOffset>29210</wp:posOffset>
            </wp:positionV>
            <wp:extent cx="34848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84880" cy="7620"/>
                    </a:xfrm>
                    <a:prstGeom prst="rect">
                      <a:avLst/>
                    </a:prstGeom>
                    <a:noFill/>
                  </pic:spPr>
                </pic:pic>
              </a:graphicData>
            </a:graphic>
          </wp:anchor>
        </w:drawing>
      </w:r>
    </w:p>
    <w:p>
      <w:pPr>
        <w:spacing w:after="0" w:line="49"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Aaron J. Pearce</w:t>
      </w:r>
    </w:p>
    <w:p>
      <w:pPr>
        <w:spacing w:after="0" w:line="57"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Senior Vice President &amp; Chief Financial Officer</w:t>
      </w:r>
    </w:p>
    <w:p>
      <w:pPr>
        <w:sectPr>
          <w:pgSz w:w="11900" w:h="16838" w:orient="portrait"/>
          <w:cols w:equalWidth="0" w:num="1">
            <w:col w:w="11440"/>
          </w:cols>
          <w:pgMar w:left="240" w:top="682"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920" w:type="dxa"/>
            <w:vAlign w:val="bottom"/>
          </w:tcPr>
          <w:p>
            <w:pPr>
              <w:spacing w:after="0"/>
              <w:rPr>
                <w:sz w:val="17"/>
                <w:szCs w:val="17"/>
                <w:color w:val="auto"/>
              </w:rPr>
            </w:pPr>
          </w:p>
        </w:tc>
        <w:tc>
          <w:tcPr>
            <w:tcW w:w="7760" w:type="dxa"/>
            <w:vAlign w:val="bottom"/>
          </w:tcPr>
          <w:p>
            <w:pPr>
              <w:ind w:left="4200"/>
              <w:spacing w:after="0"/>
              <w:rPr>
                <w:sz w:val="20"/>
                <w:szCs w:val="20"/>
                <w:color w:val="auto"/>
              </w:rPr>
            </w:pPr>
            <w:r>
              <w:rPr>
                <w:rFonts w:ascii="Arial" w:cs="Arial" w:eastAsia="Arial" w:hAnsi="Arial"/>
                <w:sz w:val="16"/>
                <w:szCs w:val="16"/>
                <w:color w:val="auto"/>
              </w:rPr>
              <w:t>EXHIBIT INDEX</w:t>
            </w:r>
          </w:p>
        </w:tc>
        <w:tc>
          <w:tcPr>
            <w:tcW w:w="0" w:type="dxa"/>
            <w:vAlign w:val="bottom"/>
          </w:tcPr>
          <w:p>
            <w:pPr>
              <w:spacing w:after="0"/>
              <w:rPr>
                <w:sz w:val="1"/>
                <w:szCs w:val="1"/>
                <w:color w:val="auto"/>
              </w:rPr>
            </w:pPr>
          </w:p>
        </w:tc>
      </w:tr>
      <w:tr>
        <w:trPr>
          <w:trHeight w:val="511"/>
        </w:trPr>
        <w:tc>
          <w:tcPr>
            <w:tcW w:w="920" w:type="dxa"/>
            <w:vAlign w:val="bottom"/>
          </w:tcPr>
          <w:p>
            <w:pPr>
              <w:ind w:left="20"/>
              <w:spacing w:after="0"/>
              <w:rPr>
                <w:sz w:val="20"/>
                <w:szCs w:val="20"/>
                <w:color w:val="auto"/>
              </w:rPr>
            </w:pPr>
            <w:r>
              <w:rPr>
                <w:rFonts w:ascii="Arial" w:cs="Arial" w:eastAsia="Arial" w:hAnsi="Arial"/>
                <w:sz w:val="14"/>
                <w:szCs w:val="14"/>
                <w:color w:val="auto"/>
              </w:rPr>
              <w:t>EXHIBIT</w:t>
            </w:r>
          </w:p>
        </w:tc>
        <w:tc>
          <w:tcPr>
            <w:tcW w:w="7760" w:type="dxa"/>
            <w:vAlign w:val="bottom"/>
            <w:vMerge w:val="restart"/>
          </w:tcPr>
          <w:p>
            <w:pPr>
              <w:ind w:left="280"/>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189"/>
        </w:trPr>
        <w:tc>
          <w:tcPr>
            <w:tcW w:w="920" w:type="dxa"/>
            <w:vAlign w:val="bottom"/>
          </w:tcPr>
          <w:p>
            <w:pPr>
              <w:ind w:left="20"/>
              <w:spacing w:after="0"/>
              <w:rPr>
                <w:sz w:val="20"/>
                <w:szCs w:val="20"/>
                <w:color w:val="auto"/>
              </w:rPr>
            </w:pPr>
            <w:r>
              <w:rPr>
                <w:rFonts w:ascii="Arial" w:cs="Arial" w:eastAsia="Arial" w:hAnsi="Arial"/>
                <w:sz w:val="14"/>
                <w:szCs w:val="14"/>
                <w:color w:val="auto"/>
              </w:rPr>
              <w:t>NUMBER</w:t>
            </w:r>
          </w:p>
        </w:tc>
        <w:tc>
          <w:tcPr>
            <w:tcW w:w="7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920" w:type="dxa"/>
            <w:vAlign w:val="bottom"/>
            <w:tcBorders>
              <w:bottom w:val="single" w:sz="8" w:color="auto"/>
            </w:tcBorders>
          </w:tcPr>
          <w:p>
            <w:pPr>
              <w:spacing w:after="0"/>
              <w:rPr>
                <w:sz w:val="2"/>
                <w:szCs w:val="2"/>
                <w:color w:val="auto"/>
              </w:rPr>
            </w:pPr>
          </w:p>
        </w:tc>
        <w:tc>
          <w:tcPr>
            <w:tcW w:w="7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920" w:type="dxa"/>
            <w:vAlign w:val="bottom"/>
          </w:tcPr>
          <w:p>
            <w:pPr>
              <w:ind w:left="20"/>
              <w:spacing w:after="0"/>
              <w:rPr>
                <w:sz w:val="20"/>
                <w:szCs w:val="20"/>
                <w:color w:val="auto"/>
              </w:rPr>
            </w:pPr>
            <w:r>
              <w:rPr>
                <w:rFonts w:ascii="Arial" w:cs="Arial" w:eastAsia="Arial" w:hAnsi="Arial"/>
                <w:sz w:val="16"/>
                <w:szCs w:val="16"/>
                <w:color w:val="auto"/>
              </w:rPr>
              <w:t>99.1</w:t>
            </w:r>
          </w:p>
        </w:tc>
        <w:tc>
          <w:tcPr>
            <w:tcW w:w="7760" w:type="dxa"/>
            <w:vAlign w:val="bottom"/>
          </w:tcPr>
          <w:p>
            <w:pPr>
              <w:ind w:left="280"/>
              <w:spacing w:after="0"/>
              <w:rPr>
                <w:sz w:val="20"/>
                <w:szCs w:val="20"/>
                <w:color w:val="auto"/>
              </w:rPr>
            </w:pPr>
            <w:r>
              <w:rPr>
                <w:rFonts w:ascii="Arial" w:cs="Arial" w:eastAsia="Arial" w:hAnsi="Arial"/>
                <w:sz w:val="16"/>
                <w:szCs w:val="16"/>
                <w:color w:val="auto"/>
                <w:w w:val="96"/>
              </w:rPr>
              <w:t>Press Release of Brady Corporation, dated May 21, 2015, relating to third quarter fiscal 2015 financial results.</w:t>
            </w:r>
          </w:p>
        </w:tc>
        <w:tc>
          <w:tcPr>
            <w:tcW w:w="0" w:type="dxa"/>
            <w:vAlign w:val="bottom"/>
          </w:tcPr>
          <w:p>
            <w:pPr>
              <w:spacing w:after="0"/>
              <w:rPr>
                <w:sz w:val="1"/>
                <w:szCs w:val="1"/>
                <w:color w:val="auto"/>
              </w:rPr>
            </w:pPr>
          </w:p>
        </w:tc>
      </w:tr>
      <w:tr>
        <w:trPr>
          <w:trHeight w:val="374"/>
        </w:trPr>
        <w:tc>
          <w:tcPr>
            <w:tcW w:w="920" w:type="dxa"/>
            <w:vAlign w:val="bottom"/>
            <w:vMerge w:val="restart"/>
          </w:tcPr>
          <w:p>
            <w:pPr>
              <w:ind w:left="20"/>
              <w:spacing w:after="0"/>
              <w:rPr>
                <w:sz w:val="20"/>
                <w:szCs w:val="20"/>
                <w:color w:val="auto"/>
              </w:rPr>
            </w:pPr>
            <w:r>
              <w:rPr>
                <w:rFonts w:ascii="Arial" w:cs="Arial" w:eastAsia="Arial" w:hAnsi="Arial"/>
                <w:sz w:val="16"/>
                <w:szCs w:val="16"/>
                <w:color w:val="auto"/>
              </w:rPr>
              <w:t>99.2</w:t>
            </w:r>
          </w:p>
        </w:tc>
        <w:tc>
          <w:tcPr>
            <w:tcW w:w="7760" w:type="dxa"/>
            <w:vAlign w:val="bottom"/>
          </w:tcPr>
          <w:p>
            <w:pPr>
              <w:ind w:left="280"/>
              <w:spacing w:after="0"/>
              <w:rPr>
                <w:sz w:val="20"/>
                <w:szCs w:val="20"/>
                <w:color w:val="auto"/>
              </w:rPr>
            </w:pPr>
            <w:r>
              <w:rPr>
                <w:rFonts w:ascii="Arial" w:cs="Arial" w:eastAsia="Arial" w:hAnsi="Arial"/>
                <w:sz w:val="16"/>
                <w:szCs w:val="16"/>
                <w:color w:val="auto"/>
                <w:w w:val="98"/>
              </w:rPr>
              <w:t>Informational slides provided by Brady Corporation, dated May 21, 2015, relating to third quarter fiscal 2015</w:t>
            </w:r>
          </w:p>
        </w:tc>
        <w:tc>
          <w:tcPr>
            <w:tcW w:w="0" w:type="dxa"/>
            <w:vAlign w:val="bottom"/>
          </w:tcPr>
          <w:p>
            <w:pPr>
              <w:spacing w:after="0"/>
              <w:rPr>
                <w:sz w:val="1"/>
                <w:szCs w:val="1"/>
                <w:color w:val="auto"/>
              </w:rPr>
            </w:pPr>
          </w:p>
        </w:tc>
      </w:tr>
      <w:tr>
        <w:trPr>
          <w:trHeight w:val="109"/>
        </w:trPr>
        <w:tc>
          <w:tcPr>
            <w:tcW w:w="920" w:type="dxa"/>
            <w:vAlign w:val="bottom"/>
            <w:vMerge w:val="continue"/>
          </w:tcPr>
          <w:p>
            <w:pPr>
              <w:spacing w:after="0"/>
              <w:rPr>
                <w:sz w:val="9"/>
                <w:szCs w:val="9"/>
                <w:color w:val="auto"/>
              </w:rPr>
            </w:pPr>
          </w:p>
        </w:tc>
        <w:tc>
          <w:tcPr>
            <w:tcW w:w="7760" w:type="dxa"/>
            <w:vAlign w:val="bottom"/>
            <w:vMerge w:val="restart"/>
          </w:tcPr>
          <w:p>
            <w:pPr>
              <w:ind w:left="280"/>
              <w:spacing w:after="0"/>
              <w:rPr>
                <w:sz w:val="20"/>
                <w:szCs w:val="20"/>
                <w:color w:val="auto"/>
              </w:rPr>
            </w:pPr>
            <w:r>
              <w:rPr>
                <w:rFonts w:ascii="Arial" w:cs="Arial" w:eastAsia="Arial" w:hAnsi="Arial"/>
                <w:sz w:val="16"/>
                <w:szCs w:val="16"/>
                <w:color w:val="auto"/>
              </w:rPr>
              <w:t>financial results.</w:t>
            </w:r>
          </w:p>
        </w:tc>
        <w:tc>
          <w:tcPr>
            <w:tcW w:w="0" w:type="dxa"/>
            <w:vAlign w:val="bottom"/>
          </w:tcPr>
          <w:p>
            <w:pPr>
              <w:spacing w:after="0"/>
              <w:rPr>
                <w:sz w:val="1"/>
                <w:szCs w:val="1"/>
                <w:color w:val="auto"/>
              </w:rPr>
            </w:pPr>
          </w:p>
        </w:tc>
      </w:tr>
      <w:tr>
        <w:trPr>
          <w:trHeight w:val="96"/>
        </w:trPr>
        <w:tc>
          <w:tcPr>
            <w:tcW w:w="920" w:type="dxa"/>
            <w:vAlign w:val="bottom"/>
          </w:tcPr>
          <w:p>
            <w:pPr>
              <w:spacing w:after="0"/>
              <w:rPr>
                <w:sz w:val="8"/>
                <w:szCs w:val="8"/>
                <w:color w:val="auto"/>
              </w:rPr>
            </w:pPr>
          </w:p>
        </w:tc>
        <w:tc>
          <w:tcPr>
            <w:tcW w:w="7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73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 More Information:</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 Ann Thornton 414-438-6887</w:t>
      </w:r>
    </w:p>
    <w:p>
      <w:pPr>
        <w:spacing w:after="0"/>
        <w:rPr>
          <w:sz w:val="20"/>
          <w:szCs w:val="20"/>
          <w:color w:val="auto"/>
        </w:rPr>
      </w:pPr>
      <w:r>
        <w:rPr>
          <w:rFonts w:ascii="Arial" w:cs="Arial" w:eastAsia="Arial" w:hAnsi="Arial"/>
          <w:sz w:val="18"/>
          <w:szCs w:val="18"/>
          <w:color w:val="auto"/>
        </w:rPr>
        <w:t>Media contact: Carole Herbstreit 414-438-6882</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Brady Corporation Reports Fiscal 2015 Third Quarter Results</w:t>
      </w:r>
    </w:p>
    <w:p>
      <w:pPr>
        <w:spacing w:after="0" w:line="245" w:lineRule="exact"/>
        <w:rPr>
          <w:sz w:val="20"/>
          <w:szCs w:val="20"/>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Third quarter organic revenue growth of 1.7 percent.</w:t>
      </w:r>
    </w:p>
    <w:p>
      <w:pPr>
        <w:spacing w:after="0" w:line="94" w:lineRule="exact"/>
        <w:rPr>
          <w:rFonts w:ascii="Arial" w:cs="Arial" w:eastAsia="Arial" w:hAnsi="Arial"/>
          <w:sz w:val="16"/>
          <w:szCs w:val="16"/>
          <w:color w:val="auto"/>
        </w:rPr>
      </w:pPr>
    </w:p>
    <w:p>
      <w:pPr>
        <w:ind w:left="580" w:right="20" w:hanging="294"/>
        <w:spacing w:after="0" w:line="349"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Non-GAAP earnings from continuing operations per diluted Class A Nonvoting Common Share* of $0.34 in the third quarter of fiscal 2015 compared to $0.43 in the same quarter of the prior year.</w:t>
      </w:r>
    </w:p>
    <w:p>
      <w:pPr>
        <w:spacing w:after="0" w:line="1"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Net cash provided by operating activities of $28.8 million or 167 percent of net income.</w:t>
      </w:r>
    </w:p>
    <w:p>
      <w:pPr>
        <w:spacing w:after="0" w:line="372" w:lineRule="exact"/>
        <w:rPr>
          <w:sz w:val="20"/>
          <w:szCs w:val="20"/>
          <w:color w:val="auto"/>
        </w:rPr>
      </w:pPr>
    </w:p>
    <w:p>
      <w:pPr>
        <w:ind w:right="620"/>
        <w:spacing w:after="0" w:line="368" w:lineRule="auto"/>
        <w:rPr>
          <w:sz w:val="20"/>
          <w:szCs w:val="20"/>
          <w:color w:val="auto"/>
        </w:rPr>
      </w:pPr>
      <w:r>
        <w:rPr>
          <w:rFonts w:ascii="Arial" w:cs="Arial" w:eastAsia="Arial" w:hAnsi="Arial"/>
          <w:sz w:val="18"/>
          <w:szCs w:val="18"/>
          <w:color w:val="auto"/>
        </w:rPr>
        <w:t>MILWAUKEE (May 21, 2015)--Brady Corporation (NYSE: BRC) (“Brady” or “Company”), a world leader in identification solutions, today reported its financial results for its fiscal 2015 third quarter ended April 30, 2015.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April 30, 2015 Financial Results:</w:t>
      </w:r>
    </w:p>
    <w:p>
      <w:pPr>
        <w:spacing w:after="0" w:line="101" w:lineRule="exact"/>
        <w:rPr>
          <w:sz w:val="20"/>
          <w:szCs w:val="20"/>
          <w:color w:val="auto"/>
        </w:rPr>
      </w:pPr>
    </w:p>
    <w:p>
      <w:pPr>
        <w:ind w:right="220" w:firstLine="579"/>
        <w:spacing w:after="0" w:line="349" w:lineRule="auto"/>
        <w:rPr>
          <w:sz w:val="20"/>
          <w:szCs w:val="20"/>
          <w:color w:val="auto"/>
        </w:rPr>
      </w:pPr>
      <w:r>
        <w:rPr>
          <w:rFonts w:ascii="Arial" w:cs="Arial" w:eastAsia="Arial" w:hAnsi="Arial"/>
          <w:sz w:val="18"/>
          <w:szCs w:val="18"/>
          <w:color w:val="auto"/>
        </w:rPr>
        <w:t>Sales for the quarter ended April 30, 2015 decreased 6.3 percent to $290.2 million compared to $309.6 million in the third quarter of fiscal 2014. Total organic sales increased 1.7 percent and foreign currency translation decreased sales by 8.0 percent. By segment, organic sales increased 3.0 percent in Identification Solutions and decreased 1.1 percent in Workplace Safety.</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Earnings from continuing operations for the quarter ended April 30, 2015 were $17.2 million compared to $20.2 million in the same quarter last year.</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color w:val="auto"/>
        </w:rPr>
        <w:t>Non-GAAP earnings from continuing operations* for the current quarter were $17.6 million compared to $22.3 million in the third quarter of fiscal 2014.</w:t>
      </w:r>
    </w:p>
    <w:p>
      <w:pPr>
        <w:spacing w:after="0" w:line="106" w:lineRule="exact"/>
        <w:rPr>
          <w:sz w:val="20"/>
          <w:szCs w:val="20"/>
          <w:color w:val="auto"/>
        </w:rPr>
      </w:pPr>
    </w:p>
    <w:p>
      <w:pPr>
        <w:jc w:val="both"/>
        <w:ind w:right="40" w:firstLine="579"/>
        <w:spacing w:after="0" w:line="349" w:lineRule="auto"/>
        <w:rPr>
          <w:sz w:val="20"/>
          <w:szCs w:val="20"/>
          <w:color w:val="auto"/>
        </w:rPr>
      </w:pPr>
      <w:r>
        <w:rPr>
          <w:rFonts w:ascii="Arial" w:cs="Arial" w:eastAsia="Arial" w:hAnsi="Arial"/>
          <w:sz w:val="18"/>
          <w:szCs w:val="18"/>
          <w:color w:val="auto"/>
        </w:rPr>
        <w:t>Earnings from continuing operations per diluted Class A Nonvoting Common Share were $0.33 for the quarter ended April 30, 2015 compared to $0.39 in the same quarter last year. Non-GAAP earnings from continuing operations per diluted Class A Nonvoting Common Share* for the current quarter were $0.34 compared to $0.43 per share in the third quarter of fiscal 2014.</w:t>
      </w:r>
    </w:p>
    <w:p>
      <w:pPr>
        <w:spacing w:after="0" w:line="2" w:lineRule="exact"/>
        <w:rPr>
          <w:sz w:val="20"/>
          <w:szCs w:val="20"/>
          <w:color w:val="auto"/>
        </w:rPr>
      </w:pPr>
    </w:p>
    <w:p>
      <w:pPr>
        <w:ind w:right="60" w:firstLine="579"/>
        <w:spacing w:after="0" w:line="359" w:lineRule="auto"/>
        <w:rPr>
          <w:sz w:val="20"/>
          <w:szCs w:val="20"/>
          <w:color w:val="auto"/>
        </w:rPr>
      </w:pPr>
      <w:r>
        <w:rPr>
          <w:rFonts w:ascii="Arial" w:cs="Arial" w:eastAsia="Arial" w:hAnsi="Arial"/>
          <w:sz w:val="18"/>
          <w:szCs w:val="18"/>
          <w:color w:val="auto"/>
        </w:rPr>
        <w:t>The Company recorded a gain of $2.8 million, net of tax during the quarter ended April 30, 2015 due to the curtailment of a medical defined benefit plan. This gain is excluded from the reported Non-GAAP earnings from continuing operations* and Non-GAAP earnings from continuing operations per diluted Class A Nonvoting Common Share* for the quarter ended April 30, 2015.</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Nine-Month Period Ended April 30, 2015 Financial Results:</w:t>
      </w:r>
    </w:p>
    <w:p>
      <w:pPr>
        <w:spacing w:after="0" w:line="101" w:lineRule="exact"/>
        <w:rPr>
          <w:sz w:val="20"/>
          <w:szCs w:val="20"/>
          <w:color w:val="auto"/>
        </w:rPr>
      </w:pPr>
    </w:p>
    <w:p>
      <w:pPr>
        <w:ind w:right="40" w:firstLine="579"/>
        <w:spacing w:after="0" w:line="359" w:lineRule="auto"/>
        <w:rPr>
          <w:sz w:val="20"/>
          <w:szCs w:val="20"/>
          <w:color w:val="auto"/>
        </w:rPr>
      </w:pPr>
      <w:r>
        <w:rPr>
          <w:rFonts w:ascii="Arial" w:cs="Arial" w:eastAsia="Arial" w:hAnsi="Arial"/>
          <w:sz w:val="18"/>
          <w:szCs w:val="18"/>
          <w:color w:val="auto"/>
        </w:rPr>
        <w:t>Sales for the nine-month period ended April 30, 2015 decreased 2.8 percent to $883.1 million compared to $908.3 million in the same period in fiscal 2014. Total organic sales increased 1.8 percent and the impact of foreign currency translation decreased sales by 4.6 percent. By segment, organic sales increased 2.4 percent in Identification Solutions and increased 0.6 percent in Workplace Safety.</w:t>
      </w:r>
    </w:p>
    <w:p>
      <w:pPr>
        <w:sectPr>
          <w:pgSz w:w="11900" w:h="16838" w:orient="portrait"/>
          <w:cols w:equalWidth="0" w:num="1">
            <w:col w:w="11440"/>
          </w:cols>
          <w:pgMar w:left="240" w:top="734" w:right="219" w:bottom="1440" w:gutter="0" w:footer="0" w:header="0"/>
        </w:sectPr>
      </w:pPr>
    </w:p>
    <w:bookmarkStart w:id="4" w:name="page5"/>
    <w:bookmarkEnd w:id="4"/>
    <w:p>
      <w:pPr>
        <w:ind w:firstLine="579"/>
        <w:spacing w:after="0" w:line="349" w:lineRule="auto"/>
        <w:rPr>
          <w:sz w:val="20"/>
          <w:szCs w:val="20"/>
          <w:color w:val="auto"/>
        </w:rPr>
      </w:pPr>
      <w:r>
        <w:rPr>
          <w:rFonts w:ascii="Arial" w:cs="Arial" w:eastAsia="Arial" w:hAnsi="Arial"/>
          <w:sz w:val="18"/>
          <w:szCs w:val="18"/>
          <w:color w:val="auto"/>
        </w:rPr>
        <w:t>Earnings from continuing operations for the nine-month period ended April 30, 2015 were $44.3 million compared to $48.8 million in the same period in fiscal 2014. Non-GAAP earnings from continuing operations* for the nine-month period were $51.1 million compared to $58.5 million in the same period in fiscal 2014.</w:t>
      </w:r>
    </w:p>
    <w:p>
      <w:pPr>
        <w:spacing w:after="0" w:line="2" w:lineRule="exact"/>
        <w:rPr>
          <w:sz w:val="20"/>
          <w:szCs w:val="20"/>
          <w:color w:val="auto"/>
        </w:rPr>
      </w:pPr>
    </w:p>
    <w:p>
      <w:pPr>
        <w:ind w:right="300" w:firstLine="579"/>
        <w:spacing w:after="0" w:line="359" w:lineRule="auto"/>
        <w:rPr>
          <w:sz w:val="20"/>
          <w:szCs w:val="20"/>
          <w:color w:val="auto"/>
        </w:rPr>
      </w:pPr>
      <w:r>
        <w:rPr>
          <w:rFonts w:ascii="Arial" w:cs="Arial" w:eastAsia="Arial" w:hAnsi="Arial"/>
          <w:sz w:val="18"/>
          <w:szCs w:val="18"/>
          <w:color w:val="auto"/>
        </w:rPr>
        <w:t>Earnings from continuing operations per diluted Class A Nonvoting Common share were $0.86 for the nine-month period ended April 30, 2015 compared to $0.93 in the same period in fiscal 2014. Non-GAAP earnings from continuing operations per diluted Class A Common Share* were $0.99 in the nine-month period ended April 30, 2015 compared to $1.12 in the same period in fiscal 2014.</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Commentary and Guidance:</w:t>
      </w:r>
    </w:p>
    <w:p>
      <w:pPr>
        <w:spacing w:after="0" w:line="101" w:lineRule="exact"/>
        <w:rPr>
          <w:sz w:val="20"/>
          <w:szCs w:val="20"/>
          <w:color w:val="auto"/>
        </w:rPr>
      </w:pPr>
    </w:p>
    <w:p>
      <w:pPr>
        <w:ind w:right="60" w:firstLine="579"/>
        <w:spacing w:after="0" w:line="370" w:lineRule="auto"/>
        <w:rPr>
          <w:sz w:val="20"/>
          <w:szCs w:val="20"/>
          <w:color w:val="auto"/>
        </w:rPr>
      </w:pPr>
      <w:r>
        <w:rPr>
          <w:rFonts w:ascii="Arial" w:cs="Arial" w:eastAsia="Arial" w:hAnsi="Arial"/>
          <w:sz w:val="17"/>
          <w:szCs w:val="17"/>
          <w:color w:val="auto"/>
        </w:rPr>
        <w:t>“After just over nine months with Brady, I’m impressed with the dedication of our team as well as the progress we’ve made on our initiatives this fiscal year,” said Brady President and Chief Executive Officer J. Michael Nauman. “I’m confident that we are investing in the right initiatives to deliver shareholder value over the long term. However, we still remain challenged by operational inefficiencies stemming from certain facilities that were recently consolidated, and we are focused on executing business fundamentals to drive organic sales and improve profitability while still achieving efficiency gains over the long term. We are investing in research and development and sales resources in selected industries, as well as building an improved, scalable digital platform that will generate value for Brady and enhance our customer experience.”</w:t>
      </w:r>
    </w:p>
    <w:p>
      <w:pPr>
        <w:spacing w:after="0" w:line="1" w:lineRule="exact"/>
        <w:rPr>
          <w:sz w:val="20"/>
          <w:szCs w:val="20"/>
          <w:color w:val="auto"/>
        </w:rPr>
      </w:pPr>
    </w:p>
    <w:p>
      <w:pPr>
        <w:ind w:right="160" w:firstLine="579"/>
        <w:spacing w:after="0" w:line="433" w:lineRule="auto"/>
        <w:rPr>
          <w:sz w:val="20"/>
          <w:szCs w:val="20"/>
          <w:color w:val="auto"/>
        </w:rPr>
      </w:pPr>
      <w:r>
        <w:rPr>
          <w:rFonts w:ascii="Arial" w:cs="Arial" w:eastAsia="Arial" w:hAnsi="Arial"/>
          <w:sz w:val="15"/>
          <w:szCs w:val="15"/>
          <w:color w:val="auto"/>
        </w:rPr>
        <w:t>“We are focused on controlling non-customer facing selling, general and administrative expenses and driving cash flow improvements. Net cash provided by operating activities was $28.8 million during the quarter ended April 30, 2015, up from $5.3 million during the previous quarter ended January 31, 2015,” said Brady’s Chief Financial Officer Aaron Pearce. “As a result of our customer service and operational challenges due to the facility consolidations as well as less than originally anticipated organic sales in our Workplace Safety business, we do not anticipate our fourth quarter financial results to significantly improve over what we experienced in the third quarter. As such, we expect Non-GAAP earnings from continuing operations per diluted Class A Nonvoting Common Share* to range from $0.30 to $0.40 during our fiscal 2015 fourth quarter ending July 31, 2015.”</w:t>
      </w:r>
    </w:p>
    <w:p>
      <w:pPr>
        <w:spacing w:after="0" w:line="22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 xml:space="preserve">A webcast regarding Brady’s fiscal 2015 third quarter financial results will be available at </w:t>
      </w:r>
      <w:r>
        <w:rPr>
          <w:rFonts w:ascii="Arial" w:cs="Arial" w:eastAsia="Arial" w:hAnsi="Arial"/>
          <w:sz w:val="15"/>
          <w:szCs w:val="15"/>
          <w:u w:val="single" w:color="auto"/>
          <w:color w:val="0000FF"/>
        </w:rPr>
        <w:t>www.bradycorp.com</w:t>
      </w:r>
      <w:r>
        <w:rPr>
          <w:rFonts w:ascii="Arial" w:cs="Arial" w:eastAsia="Arial" w:hAnsi="Arial"/>
          <w:sz w:val="15"/>
          <w:szCs w:val="15"/>
          <w:color w:val="auto"/>
        </w:rPr>
        <w:t xml:space="preserve"> beginning at 9:30 a.m. Central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today.</w:t>
      </w:r>
    </w:p>
    <w:p>
      <w:pPr>
        <w:spacing w:after="0" w:line="396" w:lineRule="exact"/>
        <w:rPr>
          <w:sz w:val="20"/>
          <w:szCs w:val="20"/>
          <w:color w:val="auto"/>
        </w:rPr>
      </w:pPr>
    </w:p>
    <w:p>
      <w:pPr>
        <w:ind w:right="60" w:firstLine="579"/>
        <w:spacing w:after="0" w:line="377" w:lineRule="auto"/>
        <w:rPr>
          <w:sz w:val="20"/>
          <w:szCs w:val="20"/>
          <w:color w:val="auto"/>
        </w:rPr>
      </w:pPr>
      <w:r>
        <w:rPr>
          <w:rFonts w:ascii="Arial" w:cs="Arial" w:eastAsia="Arial" w:hAnsi="Arial"/>
          <w:sz w:val="17"/>
          <w:szCs w:val="17"/>
          <w:color w:val="auto"/>
        </w:rPr>
        <w:t xml:space="preserve">Brady Corporation is an international manufacturer and marketer of complete solutions that identify and protect people, products and places. Brady’s products help customers increase safety, security, productivity and performance and include high-performance labels, signs, safety devices, printing systems and software. Founded in 1914, the Company has a diverse customer base in electronics, telecommunications, manufacturing, electrical, construction, medical, aerospace and a variety of other industries. Brady is headquartered in Milwaukee, Wisconsin and as of August 1, 2014, employed approximately 6,400 people in its worldwide businesses. Brady’s fiscal 2014 sales were approximately $1.23 billion. Brady stock trades on the New York Stock Exchange under the symbol BRC. More information is available on the Internet at </w:t>
      </w:r>
      <w:r>
        <w:rPr>
          <w:rFonts w:ascii="Arial" w:cs="Arial" w:eastAsia="Arial" w:hAnsi="Arial"/>
          <w:sz w:val="17"/>
          <w:szCs w:val="17"/>
          <w:u w:val="single" w:color="auto"/>
          <w:color w:val="0000FF"/>
        </w:rPr>
        <w:t>www.bradycorp.com.</w:t>
      </w:r>
    </w:p>
    <w:p>
      <w:pPr>
        <w:sectPr>
          <w:pgSz w:w="11900" w:h="16838" w:orient="portrait"/>
          <w:cols w:equalWidth="0" w:num="1">
            <w:col w:w="11420"/>
          </w:cols>
          <w:pgMar w:left="240" w:top="583" w:right="239" w:bottom="1440" w:gutter="0" w:footer="0" w:header="0"/>
        </w:sectPr>
      </w:pPr>
    </w:p>
    <w:bookmarkStart w:id="5" w:name="page6"/>
    <w:bookmarkEnd w:id="5"/>
    <w:p>
      <w:pPr>
        <w:ind w:left="580"/>
        <w:spacing w:after="0"/>
        <w:rPr>
          <w:sz w:val="20"/>
          <w:szCs w:val="20"/>
          <w:color w:val="auto"/>
        </w:rPr>
      </w:pPr>
      <w:r>
        <w:rPr>
          <w:rFonts w:ascii="Arial" w:cs="Arial" w:eastAsia="Arial" w:hAnsi="Arial"/>
          <w:sz w:val="18"/>
          <w:szCs w:val="18"/>
          <w:color w:val="auto"/>
        </w:rPr>
        <w:t>* See accompanying notes for Non-GAAP measures.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this news release, statements that are not reported financial results or other historic information are “forward-looking statements.” These forward-looking statements relate to, among other things, the Company's future financial position, business strategy, targets, projected sales, costs, earnings, capital expenditures, debt levels and cash flows, and plans and objectives of management for future operations.</w:t>
      </w:r>
    </w:p>
    <w:p>
      <w:pPr>
        <w:spacing w:after="0" w:line="163" w:lineRule="exact"/>
        <w:rPr>
          <w:sz w:val="20"/>
          <w:szCs w:val="20"/>
          <w:color w:val="auto"/>
        </w:rPr>
      </w:pPr>
    </w:p>
    <w:p>
      <w:pPr>
        <w:ind w:right="100"/>
        <w:spacing w:after="0" w:line="271" w:lineRule="auto"/>
        <w:rPr>
          <w:sz w:val="20"/>
          <w:szCs w:val="20"/>
          <w:color w:val="auto"/>
        </w:rPr>
      </w:pPr>
      <w:r>
        <w:rPr>
          <w:rFonts w:ascii="Arial" w:cs="Arial" w:eastAsia="Arial" w:hAnsi="Arial"/>
          <w:sz w:val="15"/>
          <w:szCs w:val="15"/>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implementation of the healthcare strategy; implementation of the Workplace Safety strategy; future competition; risks associated with restructuring plans; future financial performance of major markets Brady serves, which include, without limitation, telecommunications, hard disk drive, manufacturing, electrical, construction, laboratory, education, governmental, public utility, computer, healthcare and transportation; technology changes and potential security violations to the Company's information technology system; fluctuations in currency rates versus the U.S. dollar; risks associated with international operations; difficulties associated with exports; Brady's ability to develop and successfully market new products; risks associated with identifying, completing, and integrating acquisitions; changes in the supply of, or price for, parts and components; increased price pressure from suppliers and customers; Brady's ability to retain significant contracts and customers; risk associated with loss of key talent; risks associated with divestitures and businesses held for sale; risks associated with obtaining governmental approvals and maintaining regulatory compliance; risk associated with product liability claims; environmental, health and safety compliance costs and liabilities; potential write-offs of Brady's substantial intangible assets; risks associated with our ownership structure; unforeseen tax consequences; Brady's ability to maintain compliance with its debt covenants; increase in our level of debt;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2014.</w:t>
      </w:r>
    </w:p>
    <w:p>
      <w:pPr>
        <w:spacing w:after="0" w:line="166"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These uncertainties may cause Brady's actual future results to be materially different than those expressed in its forward-looking statements. Brady does not undertake to update its forward-looking statements except as required by law.</w:t>
      </w:r>
    </w:p>
    <w:p>
      <w:pPr>
        <w:sectPr>
          <w:pgSz w:w="11900" w:h="16838" w:orient="portrait"/>
          <w:cols w:equalWidth="0" w:num="1">
            <w:col w:w="11420"/>
          </w:cols>
          <w:pgMar w:left="240" w:top="583" w:right="23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EARNINGS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data)</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60" w:type="dxa"/>
            <w:vAlign w:val="bottom"/>
            <w:gridSpan w:val="5"/>
          </w:tcPr>
          <w:p>
            <w:pPr>
              <w:ind w:left="80"/>
              <w:spacing w:after="0"/>
              <w:rPr>
                <w:sz w:val="20"/>
                <w:szCs w:val="20"/>
                <w:color w:val="auto"/>
              </w:rPr>
            </w:pPr>
            <w:r>
              <w:rPr>
                <w:rFonts w:ascii="Arial" w:cs="Arial" w:eastAsia="Arial" w:hAnsi="Arial"/>
                <w:sz w:val="14"/>
                <w:szCs w:val="14"/>
                <w:color w:val="auto"/>
              </w:rPr>
              <w:t>Three months ended April 30,</w:t>
            </w:r>
          </w:p>
        </w:tc>
        <w:tc>
          <w:tcPr>
            <w:tcW w:w="200" w:type="dxa"/>
            <w:vAlign w:val="bottom"/>
          </w:tcPr>
          <w:p>
            <w:pPr>
              <w:spacing w:after="0"/>
              <w:rPr>
                <w:sz w:val="15"/>
                <w:szCs w:val="15"/>
                <w:color w:val="auto"/>
              </w:rPr>
            </w:pPr>
          </w:p>
        </w:tc>
        <w:tc>
          <w:tcPr>
            <w:tcW w:w="2040" w:type="dxa"/>
            <w:vAlign w:val="bottom"/>
            <w:gridSpan w:val="4"/>
          </w:tcPr>
          <w:p>
            <w:pPr>
              <w:jc w:val="right"/>
              <w:ind w:right="188"/>
              <w:spacing w:after="0"/>
              <w:rPr>
                <w:sz w:val="20"/>
                <w:szCs w:val="20"/>
                <w:color w:val="auto"/>
              </w:rPr>
            </w:pPr>
            <w:r>
              <w:rPr>
                <w:rFonts w:ascii="Arial" w:cs="Arial" w:eastAsia="Arial" w:hAnsi="Arial"/>
                <w:sz w:val="14"/>
                <w:szCs w:val="14"/>
                <w:color w:val="auto"/>
                <w:w w:val="99"/>
              </w:rPr>
              <w:t>Nine months ended April 30,</w:t>
            </w:r>
          </w:p>
        </w:tc>
      </w:tr>
      <w:tr>
        <w:trPr>
          <w:trHeight w:val="30"/>
        </w:trPr>
        <w:tc>
          <w:tcPr>
            <w:tcW w:w="4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3"/>
        </w:trPr>
        <w:tc>
          <w:tcPr>
            <w:tcW w:w="4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2014</w:t>
            </w:r>
          </w:p>
        </w:tc>
      </w:tr>
      <w:tr>
        <w:trPr>
          <w:trHeight w:val="30"/>
        </w:trPr>
        <w:tc>
          <w:tcPr>
            <w:tcW w:w="4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290,227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309,577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883,095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908,301</w:t>
            </w: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Cost of products sold</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149,228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154,457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453,732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452,797</w:t>
            </w:r>
          </w:p>
        </w:tc>
      </w:tr>
      <w:tr>
        <w:trPr>
          <w:trHeight w:val="30"/>
        </w:trPr>
        <w:tc>
          <w:tcPr>
            <w:tcW w:w="4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Gross margin</w:t>
            </w: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140,999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155,120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429,363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455,504</w:t>
            </w: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Research and development</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8,928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8,648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27,507</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25,675</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Selling, general and administrative</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102,952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116,666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319,796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340,825</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Restructuring charges</w:t>
            </w:r>
          </w:p>
        </w:tc>
        <w:tc>
          <w:tcPr>
            <w:tcW w:w="1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4,834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3,039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13,991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14,202</w:t>
            </w:r>
          </w:p>
        </w:tc>
      </w:tr>
      <w:tr>
        <w:trPr>
          <w:trHeight w:val="191"/>
        </w:trPr>
        <w:tc>
          <w:tcPr>
            <w:tcW w:w="410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116,714</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128,353</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361,294</w:t>
            </w: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380,702</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24,285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26,767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68,069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74,802</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Other income and (expense):</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Investment and other income</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872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968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1,887</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(10,777)</w:t>
            </w:r>
          </w:p>
        </w:tc>
      </w:tr>
      <w:tr>
        <w:trPr>
          <w:trHeight w:val="30"/>
        </w:trPr>
        <w:tc>
          <w:tcPr>
            <w:tcW w:w="4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5"/>
        </w:trPr>
        <w:tc>
          <w:tcPr>
            <w:tcW w:w="4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Earnings from continuing operations before income taxes</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22,216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24,258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60,643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65,912</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5,003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4,074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16,347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17,077</w:t>
            </w:r>
          </w:p>
        </w:tc>
      </w:tr>
      <w:tr>
        <w:trPr>
          <w:trHeight w:val="30"/>
        </w:trPr>
        <w:tc>
          <w:tcPr>
            <w:tcW w:w="4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5"/>
        </w:trPr>
        <w:tc>
          <w:tcPr>
            <w:tcW w:w="4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Earnings from continuing operations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17,213</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20,184</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44,296</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48,835</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w w:val="99"/>
              </w:rPr>
              <w:t>Earnings (loss) from discontinued operations, net of income taxes</w:t>
            </w:r>
          </w:p>
        </w:tc>
        <w:tc>
          <w:tcPr>
            <w:tcW w:w="1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3,904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(1,915)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15,606</w:t>
            </w:r>
          </w:p>
        </w:tc>
      </w:tr>
      <w:tr>
        <w:trPr>
          <w:trHeight w:val="30"/>
        </w:trPr>
        <w:tc>
          <w:tcPr>
            <w:tcW w:w="4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5"/>
        </w:trPr>
        <w:tc>
          <w:tcPr>
            <w:tcW w:w="4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61"/>
        </w:trPr>
        <w:tc>
          <w:tcPr>
            <w:tcW w:w="41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earnings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17,213</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24,088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42,381</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64,441</w:t>
            </w:r>
          </w:p>
        </w:tc>
      </w:tr>
      <w:tr>
        <w:trPr>
          <w:trHeight w:val="177"/>
        </w:trPr>
        <w:tc>
          <w:tcPr>
            <w:tcW w:w="4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rPr>
              <w:t>Earnings from continuing operations per Class A Nonvoting</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3"/>
        </w:trPr>
        <w:tc>
          <w:tcPr>
            <w:tcW w:w="4100" w:type="dxa"/>
            <w:vAlign w:val="bottom"/>
          </w:tcPr>
          <w:p>
            <w:pPr>
              <w:ind w:left="20"/>
              <w:spacing w:after="0"/>
              <w:rPr>
                <w:sz w:val="20"/>
                <w:szCs w:val="20"/>
                <w:color w:val="auto"/>
              </w:rPr>
            </w:pPr>
            <w:r>
              <w:rPr>
                <w:rFonts w:ascii="Arial" w:cs="Arial" w:eastAsia="Arial" w:hAnsi="Arial"/>
                <w:sz w:val="14"/>
                <w:szCs w:val="14"/>
                <w:color w:val="auto"/>
              </w:rPr>
              <w:t>Common Share: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0.86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0.94</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0.33</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0.39</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0.86</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0.93</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rPr>
              <w:t>Earnings from continuing operations per Class B Voting Common</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3"/>
        </w:trPr>
        <w:tc>
          <w:tcPr>
            <w:tcW w:w="4100" w:type="dxa"/>
            <w:vAlign w:val="bottom"/>
          </w:tcPr>
          <w:p>
            <w:pPr>
              <w:ind w:left="20"/>
              <w:spacing w:after="0"/>
              <w:rPr>
                <w:sz w:val="20"/>
                <w:szCs w:val="20"/>
                <w:color w:val="auto"/>
              </w:rPr>
            </w:pPr>
            <w:r>
              <w:rPr>
                <w:rFonts w:ascii="Arial" w:cs="Arial" w:eastAsia="Arial" w:hAnsi="Arial"/>
                <w:sz w:val="14"/>
                <w:szCs w:val="14"/>
                <w:color w:val="auto"/>
              </w:rPr>
              <w:t>Share: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0.85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0.92</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0.33</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0.39</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0.85</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0.92</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w w:val="96"/>
              </w:rPr>
              <w:t>Earnings (loss) from discontinued operations per Class A Nonvoting</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3"/>
        </w:trPr>
        <w:tc>
          <w:tcPr>
            <w:tcW w:w="4100" w:type="dxa"/>
            <w:vAlign w:val="bottom"/>
          </w:tcPr>
          <w:p>
            <w:pPr>
              <w:ind w:left="20"/>
              <w:spacing w:after="0"/>
              <w:rPr>
                <w:sz w:val="20"/>
                <w:szCs w:val="20"/>
                <w:color w:val="auto"/>
              </w:rPr>
            </w:pPr>
            <w:r>
              <w:rPr>
                <w:rFonts w:ascii="Arial" w:cs="Arial" w:eastAsia="Arial" w:hAnsi="Arial"/>
                <w:sz w:val="14"/>
                <w:szCs w:val="14"/>
                <w:color w:val="auto"/>
              </w:rPr>
              <w:t>Common Share: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0.30</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(0.03)</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0.30</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97"/>
        </w:trPr>
        <w:tc>
          <w:tcPr>
            <w:tcW w:w="4100" w:type="dxa"/>
            <w:vAlign w:val="bottom"/>
          </w:tcPr>
          <w:p>
            <w:pPr>
              <w:ind w:left="20"/>
              <w:spacing w:after="0"/>
              <w:rPr>
                <w:sz w:val="20"/>
                <w:szCs w:val="20"/>
                <w:color w:val="auto"/>
              </w:rPr>
            </w:pPr>
            <w:r>
              <w:rPr>
                <w:rFonts w:ascii="Arial" w:cs="Arial" w:eastAsia="Arial" w:hAnsi="Arial"/>
                <w:sz w:val="14"/>
                <w:szCs w:val="14"/>
                <w:color w:val="auto"/>
              </w:rPr>
              <w:t>Earnings (loss) from discontinued operations per Class B Voting</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3"/>
        </w:trPr>
        <w:tc>
          <w:tcPr>
            <w:tcW w:w="4100" w:type="dxa"/>
            <w:vAlign w:val="bottom"/>
          </w:tcPr>
          <w:p>
            <w:pPr>
              <w:ind w:left="20"/>
              <w:spacing w:after="0"/>
              <w:rPr>
                <w:sz w:val="20"/>
                <w:szCs w:val="20"/>
                <w:color w:val="auto"/>
              </w:rPr>
            </w:pPr>
            <w:r>
              <w:rPr>
                <w:rFonts w:ascii="Arial" w:cs="Arial" w:eastAsia="Arial" w:hAnsi="Arial"/>
                <w:sz w:val="14"/>
                <w:szCs w:val="14"/>
                <w:color w:val="auto"/>
              </w:rPr>
              <w:t>Common Share:</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0.07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0.30</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(0.04)</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0.29</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Net earnings per Class A Nonvoting Common Share:</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0.83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1.24</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0.33</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0.46</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0.83</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1.23</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Dividends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0.20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0.195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0.60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0.585</w:t>
            </w:r>
          </w:p>
        </w:tc>
      </w:tr>
      <w:tr>
        <w:trPr>
          <w:trHeight w:val="193"/>
        </w:trPr>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21"/>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per Class B Voting Common Share:</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Basic</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0.34</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0.46</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0.81</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1.22</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Diluted</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0.46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0.81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1.21</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Dividends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0.20</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0.195</w:t>
            </w: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0.583</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0.568</w:t>
            </w: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3"/>
        </w:trPr>
        <w:tc>
          <w:tcPr>
            <w:tcW w:w="4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11"/>
        </w:trPr>
        <w:tc>
          <w:tcPr>
            <w:tcW w:w="4100" w:type="dxa"/>
            <w:vAlign w:val="bottom"/>
          </w:tcPr>
          <w:p>
            <w:pPr>
              <w:ind w:left="20"/>
              <w:spacing w:after="0"/>
              <w:rPr>
                <w:sz w:val="20"/>
                <w:szCs w:val="20"/>
                <w:color w:val="auto"/>
              </w:rPr>
            </w:pPr>
            <w:r>
              <w:rPr>
                <w:rFonts w:ascii="Arial" w:cs="Arial" w:eastAsia="Arial" w:hAnsi="Arial"/>
                <w:sz w:val="14"/>
                <w:szCs w:val="14"/>
                <w:color w:val="auto"/>
              </w:rPr>
              <w:t>Weighted average common shares outstanding (in thousands):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0"/>
        </w:trPr>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4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Basic</w:t>
            </w:r>
          </w:p>
        </w:tc>
        <w:tc>
          <w:tcPr>
            <w:tcW w:w="1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51,301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51,933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51,275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52,071</w:t>
            </w:r>
          </w:p>
        </w:tc>
      </w:tr>
      <w:tr>
        <w:trPr>
          <w:trHeight w:val="211"/>
        </w:trPr>
        <w:tc>
          <w:tcPr>
            <w:tcW w:w="4100" w:type="dxa"/>
            <w:vAlign w:val="bottom"/>
          </w:tcPr>
          <w:p>
            <w:pPr>
              <w:ind w:left="240"/>
              <w:spacing w:after="0"/>
              <w:rPr>
                <w:sz w:val="20"/>
                <w:szCs w:val="20"/>
                <w:color w:val="auto"/>
              </w:rPr>
            </w:pPr>
            <w:r>
              <w:rPr>
                <w:rFonts w:ascii="Arial" w:cs="Arial" w:eastAsia="Arial" w:hAnsi="Arial"/>
                <w:sz w:val="14"/>
                <w:szCs w:val="14"/>
                <w:color w:val="auto"/>
              </w:rPr>
              <w:t>Diluted</w:t>
            </w:r>
          </w:p>
        </w:tc>
        <w:tc>
          <w:tcPr>
            <w:tcW w:w="18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51,450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52,000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51,370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52,304</w:t>
            </w:r>
          </w:p>
        </w:tc>
      </w:tr>
    </w:tbl>
    <w:p>
      <w:pPr>
        <w:sectPr>
          <w:pgSz w:w="11900" w:h="16838" w:orient="portrait"/>
          <w:cols w:equalWidth="0" w:num="1">
            <w:col w:w="10219"/>
          </w:cols>
          <w:pgMar w:left="240" w:top="537" w:right="1440"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April 30, 2015</w:t>
            </w:r>
          </w:p>
        </w:tc>
        <w:tc>
          <w:tcPr>
            <w:tcW w:w="160" w:type="dxa"/>
            <w:vAlign w:val="bottom"/>
          </w:tcPr>
          <w:p>
            <w:pPr>
              <w:spacing w:after="0"/>
              <w:rPr>
                <w:sz w:val="15"/>
                <w:szCs w:val="15"/>
                <w:color w:val="auto"/>
              </w:rPr>
            </w:pP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July 31, 2014</w:t>
            </w:r>
          </w:p>
        </w:tc>
        <w:tc>
          <w:tcPr>
            <w:tcW w:w="0" w:type="dxa"/>
            <w:vAlign w:val="bottom"/>
          </w:tcPr>
          <w:p>
            <w:pPr>
              <w:spacing w:after="0"/>
              <w:rPr>
                <w:sz w:val="1"/>
                <w:szCs w:val="1"/>
                <w:color w:val="auto"/>
              </w:rPr>
            </w:pPr>
          </w:p>
        </w:tc>
      </w:tr>
      <w:tr>
        <w:trPr>
          <w:trHeight w:val="30"/>
        </w:trPr>
        <w:tc>
          <w:tcPr>
            <w:tcW w:w="1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260" w:type="dxa"/>
            <w:vAlign w:val="bottom"/>
            <w:gridSpan w:val="3"/>
            <w:shd w:val="clear" w:color="auto" w:fill="CCEEFF"/>
          </w:tcPr>
          <w:p>
            <w:pPr>
              <w:jc w:val="center"/>
              <w:ind w:right="2720"/>
              <w:spacing w:after="0" w:line="149" w:lineRule="exact"/>
              <w:rPr>
                <w:sz w:val="20"/>
                <w:szCs w:val="20"/>
                <w:color w:val="auto"/>
              </w:rPr>
            </w:pPr>
            <w:r>
              <w:rPr>
                <w:rFonts w:ascii="Arial" w:cs="Arial" w:eastAsia="Arial" w:hAnsi="Arial"/>
                <w:sz w:val="14"/>
                <w:szCs w:val="14"/>
                <w:b w:val="1"/>
                <w:bCs w:val="1"/>
                <w:color w:val="auto"/>
                <w:w w:val="96"/>
              </w:rPr>
              <w:t>ASSETS</w:t>
            </w: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1200" w:type="dxa"/>
            <w:vAlign w:val="bottom"/>
            <w:tcBorders>
              <w:top w:val="single" w:sz="8" w:color="CCEEFF"/>
            </w:tcBorders>
            <w:shd w:val="clear" w:color="auto" w:fill="CCEEFF"/>
          </w:tcPr>
          <w:p>
            <w:pPr>
              <w:spacing w:after="0"/>
              <w:rPr>
                <w:sz w:val="5"/>
                <w:szCs w:val="5"/>
                <w:color w:val="auto"/>
              </w:rPr>
            </w:pPr>
          </w:p>
        </w:tc>
        <w:tc>
          <w:tcPr>
            <w:tcW w:w="150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12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Current assets:</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1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100,468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81,834</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Accounts receivable—net</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162,180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177,648</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Inventories: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gridSpan w:val="5"/>
          </w:tcPr>
          <w:p>
            <w:pPr>
              <w:ind w:left="620"/>
              <w:spacing w:after="0"/>
              <w:rPr>
                <w:sz w:val="20"/>
                <w:szCs w:val="20"/>
                <w:color w:val="auto"/>
              </w:rPr>
            </w:pPr>
            <w:r>
              <w:rPr>
                <w:rFonts w:ascii="Arial" w:cs="Arial" w:eastAsia="Arial" w:hAnsi="Arial"/>
                <w:sz w:val="14"/>
                <w:szCs w:val="14"/>
                <w:color w:val="auto"/>
              </w:rPr>
              <w:t>Finished products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69,504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73,096</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620"/>
              <w:spacing w:after="0"/>
              <w:rPr>
                <w:sz w:val="20"/>
                <w:szCs w:val="20"/>
                <w:color w:val="auto"/>
              </w:rPr>
            </w:pPr>
            <w:r>
              <w:rPr>
                <w:rFonts w:ascii="Arial" w:cs="Arial" w:eastAsia="Arial" w:hAnsi="Arial"/>
                <w:sz w:val="14"/>
                <w:szCs w:val="14"/>
                <w:color w:val="auto"/>
              </w:rPr>
              <w:t>Work-in-process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18,600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17,689</w:t>
            </w:r>
          </w:p>
        </w:tc>
        <w:tc>
          <w:tcPr>
            <w:tcW w:w="0" w:type="dxa"/>
            <w:vAlign w:val="bottom"/>
          </w:tcPr>
          <w:p>
            <w:pPr>
              <w:spacing w:after="0"/>
              <w:rPr>
                <w:sz w:val="1"/>
                <w:szCs w:val="1"/>
                <w:color w:val="auto"/>
              </w:rPr>
            </w:pPr>
          </w:p>
        </w:tc>
      </w:tr>
      <w:tr>
        <w:trPr>
          <w:trHeight w:val="211"/>
        </w:trPr>
        <w:tc>
          <w:tcPr>
            <w:tcW w:w="5960" w:type="dxa"/>
            <w:vAlign w:val="bottom"/>
            <w:gridSpan w:val="5"/>
          </w:tcPr>
          <w:p>
            <w:pPr>
              <w:ind w:left="620"/>
              <w:spacing w:after="0"/>
              <w:rPr>
                <w:sz w:val="20"/>
                <w:szCs w:val="20"/>
                <w:color w:val="auto"/>
              </w:rPr>
            </w:pPr>
            <w:r>
              <w:rPr>
                <w:rFonts w:ascii="Arial" w:cs="Arial" w:eastAsia="Arial" w:hAnsi="Arial"/>
                <w:sz w:val="14"/>
                <w:szCs w:val="14"/>
                <w:color w:val="auto"/>
              </w:rPr>
              <w:t>Raw materials and supplies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25,797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22,490</w:t>
            </w:r>
          </w:p>
        </w:tc>
        <w:tc>
          <w:tcPr>
            <w:tcW w:w="0" w:type="dxa"/>
            <w:vAlign w:val="bottom"/>
          </w:tcPr>
          <w:p>
            <w:pPr>
              <w:spacing w:after="0"/>
              <w:rPr>
                <w:sz w:val="1"/>
                <w:szCs w:val="1"/>
                <w:color w:val="auto"/>
              </w:rPr>
            </w:pPr>
          </w:p>
        </w:tc>
      </w:tr>
      <w:tr>
        <w:trPr>
          <w:trHeight w:val="30"/>
        </w:trPr>
        <w:tc>
          <w:tcPr>
            <w:tcW w:w="1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960" w:type="dxa"/>
            <w:vAlign w:val="bottom"/>
            <w:tcBorders>
              <w:bottom w:val="single" w:sz="8" w:color="CCEEFF"/>
            </w:tcBorders>
            <w:gridSpan w:val="5"/>
            <w:shd w:val="clear" w:color="auto" w:fill="CCEEFF"/>
          </w:tcPr>
          <w:p>
            <w:pPr>
              <w:ind w:left="1000"/>
              <w:spacing w:after="0"/>
              <w:rPr>
                <w:sz w:val="20"/>
                <w:szCs w:val="20"/>
                <w:color w:val="auto"/>
              </w:rPr>
            </w:pPr>
            <w:r>
              <w:rPr>
                <w:rFonts w:ascii="Arial" w:cs="Arial" w:eastAsia="Arial" w:hAnsi="Arial"/>
                <w:sz w:val="14"/>
                <w:szCs w:val="14"/>
                <w:color w:val="auto"/>
              </w:rPr>
              <w:t>Total inventories</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113,901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113,275</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Assets held for sale</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49,542</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39,786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41,543</w:t>
            </w:r>
          </w:p>
        </w:tc>
        <w:tc>
          <w:tcPr>
            <w:tcW w:w="0" w:type="dxa"/>
            <w:vAlign w:val="bottom"/>
          </w:tcPr>
          <w:p>
            <w:pPr>
              <w:spacing w:after="0"/>
              <w:rPr>
                <w:sz w:val="1"/>
                <w:szCs w:val="1"/>
                <w:color w:val="auto"/>
              </w:rPr>
            </w:pPr>
          </w:p>
        </w:tc>
      </w:tr>
      <w:tr>
        <w:trPr>
          <w:trHeight w:val="191"/>
        </w:trPr>
        <w:tc>
          <w:tcPr>
            <w:tcW w:w="5960" w:type="dxa"/>
            <w:vAlign w:val="bottom"/>
            <w:gridSpan w:val="5"/>
          </w:tcPr>
          <w:p>
            <w:pPr>
              <w:ind w:left="620"/>
              <w:spacing w:after="0"/>
              <w:rPr>
                <w:sz w:val="20"/>
                <w:szCs w:val="20"/>
                <w:color w:val="auto"/>
              </w:rPr>
            </w:pPr>
            <w:r>
              <w:rPr>
                <w:rFonts w:ascii="Arial" w:cs="Arial" w:eastAsia="Arial" w:hAnsi="Arial"/>
                <w:sz w:val="14"/>
                <w:szCs w:val="14"/>
                <w:b w:val="1"/>
                <w:bCs w:val="1"/>
                <w:color w:val="auto"/>
              </w:rPr>
              <w:t>Total current assets</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416,335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463,842</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Other assets: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478,035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515,004</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Other intangible assets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78,764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91,014</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Deferred income taxes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24,026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27,320</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21,047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22,314</w:t>
            </w:r>
          </w:p>
        </w:tc>
        <w:tc>
          <w:tcPr>
            <w:tcW w:w="0" w:type="dxa"/>
            <w:vAlign w:val="bottom"/>
          </w:tcPr>
          <w:p>
            <w:pPr>
              <w:spacing w:after="0"/>
              <w:rPr>
                <w:sz w:val="1"/>
                <w:szCs w:val="1"/>
                <w:color w:val="auto"/>
              </w:rPr>
            </w:pPr>
          </w:p>
        </w:tc>
      </w:tr>
      <w:tr>
        <w:trPr>
          <w:trHeight w:val="199"/>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Property, plant and equipment:</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1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Cost:</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gridSpan w:val="5"/>
          </w:tcPr>
          <w:p>
            <w:pPr>
              <w:ind w:left="620"/>
              <w:spacing w:after="0"/>
              <w:rPr>
                <w:sz w:val="20"/>
                <w:szCs w:val="20"/>
                <w:color w:val="auto"/>
              </w:rPr>
            </w:pPr>
            <w:r>
              <w:rPr>
                <w:rFonts w:ascii="Arial" w:cs="Arial" w:eastAsia="Arial" w:hAnsi="Arial"/>
                <w:sz w:val="14"/>
                <w:szCs w:val="14"/>
                <w:color w:val="auto"/>
              </w:rPr>
              <w:t>Land</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5,659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7,875</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620"/>
              <w:spacing w:after="0"/>
              <w:rPr>
                <w:sz w:val="20"/>
                <w:szCs w:val="20"/>
                <w:color w:val="auto"/>
              </w:rPr>
            </w:pPr>
            <w:r>
              <w:rPr>
                <w:rFonts w:ascii="Arial" w:cs="Arial" w:eastAsia="Arial" w:hAnsi="Arial"/>
                <w:sz w:val="14"/>
                <w:szCs w:val="14"/>
                <w:color w:val="auto"/>
              </w:rPr>
              <w:t>Buildings and improvements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98,156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101,866</w:t>
            </w:r>
          </w:p>
        </w:tc>
        <w:tc>
          <w:tcPr>
            <w:tcW w:w="0" w:type="dxa"/>
            <w:vAlign w:val="bottom"/>
          </w:tcPr>
          <w:p>
            <w:pPr>
              <w:spacing w:after="0"/>
              <w:rPr>
                <w:sz w:val="1"/>
                <w:szCs w:val="1"/>
                <w:color w:val="auto"/>
              </w:rPr>
            </w:pPr>
          </w:p>
        </w:tc>
      </w:tr>
      <w:tr>
        <w:trPr>
          <w:trHeight w:val="211"/>
        </w:trPr>
        <w:tc>
          <w:tcPr>
            <w:tcW w:w="5960" w:type="dxa"/>
            <w:vAlign w:val="bottom"/>
            <w:gridSpan w:val="5"/>
          </w:tcPr>
          <w:p>
            <w:pPr>
              <w:ind w:left="620"/>
              <w:spacing w:after="0"/>
              <w:rPr>
                <w:sz w:val="20"/>
                <w:szCs w:val="20"/>
                <w:color w:val="auto"/>
              </w:rPr>
            </w:pPr>
            <w:r>
              <w:rPr>
                <w:rFonts w:ascii="Arial" w:cs="Arial" w:eastAsia="Arial" w:hAnsi="Arial"/>
                <w:sz w:val="14"/>
                <w:szCs w:val="14"/>
                <w:color w:val="auto"/>
              </w:rPr>
              <w:t>Machinery and equipment</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280,718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288,409</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960" w:type="dxa"/>
            <w:vAlign w:val="bottom"/>
            <w:tcBorders>
              <w:bottom w:val="single" w:sz="8" w:color="CCEEFF"/>
            </w:tcBorders>
            <w:gridSpan w:val="5"/>
            <w:shd w:val="clear" w:color="auto" w:fill="CCEEFF"/>
          </w:tcPr>
          <w:p>
            <w:pPr>
              <w:ind w:left="620"/>
              <w:spacing w:after="0"/>
              <w:rPr>
                <w:sz w:val="20"/>
                <w:szCs w:val="20"/>
                <w:color w:val="auto"/>
              </w:rPr>
            </w:pPr>
            <w:r>
              <w:rPr>
                <w:rFonts w:ascii="Arial" w:cs="Arial" w:eastAsia="Arial" w:hAnsi="Arial"/>
                <w:sz w:val="14"/>
                <w:szCs w:val="14"/>
                <w:color w:val="auto"/>
              </w:rPr>
              <w:t>Construction in progress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7,151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191"/>
        </w:trPr>
        <w:tc>
          <w:tcPr>
            <w:tcW w:w="1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391,684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410,650</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Less accumulated depreciation</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267,906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276,479</w:t>
            </w:r>
          </w:p>
        </w:tc>
        <w:tc>
          <w:tcPr>
            <w:tcW w:w="0" w:type="dxa"/>
            <w:vAlign w:val="bottom"/>
          </w:tcPr>
          <w:p>
            <w:pPr>
              <w:spacing w:after="0"/>
              <w:rPr>
                <w:sz w:val="1"/>
                <w:szCs w:val="1"/>
                <w:color w:val="auto"/>
              </w:rPr>
            </w:pPr>
          </w:p>
        </w:tc>
      </w:tr>
      <w:tr>
        <w:trPr>
          <w:trHeight w:val="191"/>
        </w:trPr>
        <w:tc>
          <w:tcPr>
            <w:tcW w:w="5960" w:type="dxa"/>
            <w:vAlign w:val="bottom"/>
            <w:gridSpan w:val="5"/>
          </w:tcPr>
          <w:p>
            <w:pPr>
              <w:ind w:left="620"/>
              <w:spacing w:after="0"/>
              <w:rPr>
                <w:sz w:val="20"/>
                <w:szCs w:val="20"/>
                <w:color w:val="auto"/>
              </w:rPr>
            </w:pPr>
            <w:r>
              <w:rPr>
                <w:rFonts w:ascii="Arial" w:cs="Arial" w:eastAsia="Arial" w:hAnsi="Arial"/>
                <w:sz w:val="14"/>
                <w:szCs w:val="14"/>
                <w:b w:val="1"/>
                <w:bCs w:val="1"/>
                <w:color w:val="auto"/>
              </w:rPr>
              <w:t>Property, plant and equipment—net</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123,778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134,171</w:t>
            </w:r>
          </w:p>
        </w:tc>
        <w:tc>
          <w:tcPr>
            <w:tcW w:w="0" w:type="dxa"/>
            <w:vAlign w:val="bottom"/>
          </w:tcPr>
          <w:p>
            <w:pPr>
              <w:spacing w:after="0"/>
              <w:rPr>
                <w:sz w:val="1"/>
                <w:szCs w:val="1"/>
                <w:color w:val="auto"/>
              </w:rPr>
            </w:pPr>
          </w:p>
        </w:tc>
      </w:tr>
      <w:tr>
        <w:trPr>
          <w:trHeight w:val="30"/>
        </w:trPr>
        <w:tc>
          <w:tcPr>
            <w:tcW w:w="1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9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1,141,985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1,253,665</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bottom w:val="single" w:sz="8" w:color="CCEEFF"/>
            </w:tcBorders>
            <w:vMerge w:val="restart"/>
          </w:tcPr>
          <w:p>
            <w:pPr>
              <w:spacing w:after="0" w:line="20" w:lineRule="exact"/>
              <w:rPr>
                <w:sz w:val="1"/>
                <w:szCs w:val="1"/>
                <w:color w:val="auto"/>
              </w:rPr>
            </w:pPr>
          </w:p>
        </w:tc>
        <w:tc>
          <w:tcPr>
            <w:tcW w:w="4760" w:type="dxa"/>
            <w:vAlign w:val="bottom"/>
            <w:tcBorders>
              <w:top w:val="single" w:sz="8" w:color="CCEEFF"/>
              <w:bottom w:val="single" w:sz="8" w:color="CCEEFF"/>
            </w:tcBorders>
            <w:gridSpan w:val="4"/>
            <w:vMerge w:val="restart"/>
          </w:tcPr>
          <w:p>
            <w:pPr>
              <w:jc w:val="center"/>
              <w:ind w:right="1200"/>
              <w:spacing w:after="0"/>
              <w:rPr>
                <w:sz w:val="20"/>
                <w:szCs w:val="20"/>
                <w:color w:val="auto"/>
              </w:rPr>
            </w:pPr>
            <w:r>
              <w:rPr>
                <w:rFonts w:ascii="Arial" w:cs="Arial" w:eastAsia="Arial" w:hAnsi="Arial"/>
                <w:sz w:val="14"/>
                <w:szCs w:val="14"/>
                <w:b w:val="1"/>
                <w:bCs w:val="1"/>
                <w:color w:val="auto"/>
              </w:rPr>
              <w:t>LIABILITIES AND STOCKHOLDERS’ INVESTMENT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476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200" w:type="dxa"/>
            <w:vAlign w:val="bottom"/>
          </w:tcPr>
          <w:p>
            <w:pPr>
              <w:spacing w:after="0"/>
              <w:rPr>
                <w:sz w:val="6"/>
                <w:szCs w:val="6"/>
                <w:color w:val="auto"/>
              </w:rPr>
            </w:pPr>
          </w:p>
        </w:tc>
        <w:tc>
          <w:tcPr>
            <w:tcW w:w="150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1520" w:type="dxa"/>
            <w:vAlign w:val="bottom"/>
            <w:tcBorders>
              <w:top w:val="single" w:sz="8" w:color="auto"/>
            </w:tcBorders>
          </w:tcPr>
          <w:p>
            <w:pPr>
              <w:spacing w:after="0"/>
              <w:rPr>
                <w:sz w:val="6"/>
                <w:szCs w:val="6"/>
                <w:color w:val="auto"/>
              </w:rPr>
            </w:pPr>
          </w:p>
        </w:tc>
        <w:tc>
          <w:tcPr>
            <w:tcW w:w="1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Notes payable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12,001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61,422</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72,792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88,099</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Wages and amounts withheld from employees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36,164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38,064</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Liabilities held for sale</w:t>
            </w:r>
          </w:p>
        </w:tc>
        <w:tc>
          <w:tcPr>
            <w:tcW w:w="1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10,640</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Taxes, other than income taxes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6,578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7,994</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Accrued income taxes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3,444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7,893</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Other current liabilities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33,783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35,319</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Current maturities on long-term debt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42,514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42,514</w:t>
            </w:r>
          </w:p>
        </w:tc>
        <w:tc>
          <w:tcPr>
            <w:tcW w:w="0" w:type="dxa"/>
            <w:vAlign w:val="bottom"/>
          </w:tcPr>
          <w:p>
            <w:pPr>
              <w:spacing w:after="0"/>
              <w:rPr>
                <w:sz w:val="1"/>
                <w:szCs w:val="1"/>
                <w:color w:val="auto"/>
              </w:rPr>
            </w:pPr>
          </w:p>
        </w:tc>
      </w:tr>
      <w:tr>
        <w:trPr>
          <w:trHeight w:val="191"/>
        </w:trPr>
        <w:tc>
          <w:tcPr>
            <w:tcW w:w="5960" w:type="dxa"/>
            <w:vAlign w:val="bottom"/>
            <w:gridSpan w:val="5"/>
          </w:tcPr>
          <w:p>
            <w:pPr>
              <w:ind w:left="620"/>
              <w:spacing w:after="0"/>
              <w:rPr>
                <w:sz w:val="20"/>
                <w:szCs w:val="20"/>
                <w:color w:val="auto"/>
              </w:rPr>
            </w:pPr>
            <w:r>
              <w:rPr>
                <w:rFonts w:ascii="Arial" w:cs="Arial" w:eastAsia="Arial" w:hAnsi="Arial"/>
                <w:sz w:val="14"/>
                <w:szCs w:val="14"/>
                <w:b w:val="1"/>
                <w:bCs w:val="1"/>
                <w:color w:val="auto"/>
              </w:rPr>
              <w:t>Total current liabilities</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207,276</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291,945</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Long-term obligations, less current maturities</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213,839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159,296</w:t>
            </w:r>
          </w:p>
        </w:tc>
        <w:tc>
          <w:tcPr>
            <w:tcW w:w="0" w:type="dxa"/>
            <w:vAlign w:val="bottom"/>
          </w:tcPr>
          <w:p>
            <w:pPr>
              <w:spacing w:after="0"/>
              <w:rPr>
                <w:sz w:val="1"/>
                <w:szCs w:val="1"/>
                <w:color w:val="auto"/>
              </w:rPr>
            </w:pPr>
          </w:p>
        </w:tc>
      </w:tr>
      <w:tr>
        <w:trPr>
          <w:trHeight w:val="211"/>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Other liabilities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66,903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69,348</w:t>
            </w:r>
          </w:p>
        </w:tc>
        <w:tc>
          <w:tcPr>
            <w:tcW w:w="0" w:type="dxa"/>
            <w:vAlign w:val="bottom"/>
          </w:tcPr>
          <w:p>
            <w:pPr>
              <w:spacing w:after="0"/>
              <w:rPr>
                <w:sz w:val="1"/>
                <w:szCs w:val="1"/>
                <w:color w:val="auto"/>
              </w:rPr>
            </w:pPr>
          </w:p>
        </w:tc>
      </w:tr>
      <w:tr>
        <w:trPr>
          <w:trHeight w:val="30"/>
        </w:trPr>
        <w:tc>
          <w:tcPr>
            <w:tcW w:w="1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5960" w:type="dxa"/>
            <w:vAlign w:val="bottom"/>
            <w:tcBorders>
              <w:bottom w:val="single" w:sz="8" w:color="CCEEFF"/>
            </w:tcBorders>
            <w:gridSpan w:val="5"/>
            <w:shd w:val="clear" w:color="auto" w:fill="CCEEFF"/>
          </w:tcPr>
          <w:p>
            <w:pPr>
              <w:ind w:left="620"/>
              <w:spacing w:after="0"/>
              <w:rPr>
                <w:sz w:val="20"/>
                <w:szCs w:val="20"/>
                <w:color w:val="auto"/>
              </w:rPr>
            </w:pPr>
            <w:r>
              <w:rPr>
                <w:rFonts w:ascii="Arial" w:cs="Arial" w:eastAsia="Arial" w:hAnsi="Arial"/>
                <w:sz w:val="14"/>
                <w:szCs w:val="14"/>
                <w:b w:val="1"/>
                <w:bCs w:val="1"/>
                <w:color w:val="auto"/>
              </w:rPr>
              <w:t>Total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488,018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520,589</w:t>
            </w:r>
          </w:p>
        </w:tc>
        <w:tc>
          <w:tcPr>
            <w:tcW w:w="0" w:type="dxa"/>
            <w:vAlign w:val="bottom"/>
          </w:tcPr>
          <w:p>
            <w:pPr>
              <w:spacing w:after="0"/>
              <w:rPr>
                <w:sz w:val="1"/>
                <w:szCs w:val="1"/>
                <w:color w:val="auto"/>
              </w:rPr>
            </w:pPr>
          </w:p>
        </w:tc>
      </w:tr>
      <w:tr>
        <w:trPr>
          <w:trHeight w:val="199"/>
        </w:trPr>
        <w:tc>
          <w:tcPr>
            <w:tcW w:w="5960" w:type="dxa"/>
            <w:vAlign w:val="bottom"/>
            <w:gridSpan w:val="5"/>
          </w:tcPr>
          <w:p>
            <w:pPr>
              <w:ind w:left="20"/>
              <w:spacing w:after="0"/>
              <w:rPr>
                <w:sz w:val="20"/>
                <w:szCs w:val="20"/>
                <w:color w:val="auto"/>
              </w:rPr>
            </w:pPr>
            <w:r>
              <w:rPr>
                <w:rFonts w:ascii="Arial" w:cs="Arial" w:eastAsia="Arial" w:hAnsi="Arial"/>
                <w:sz w:val="14"/>
                <w:szCs w:val="14"/>
                <w:b w:val="1"/>
                <w:bCs w:val="1"/>
                <w:color w:val="auto"/>
              </w:rPr>
              <w:t>Stockholders’ investment:</w:t>
            </w: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1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5960" w:type="dxa"/>
            <w:vAlign w:val="bottom"/>
            <w:gridSpan w:val="5"/>
            <w:shd w:val="clear" w:color="auto" w:fill="CCEEFF"/>
          </w:tcPr>
          <w:p>
            <w:pPr>
              <w:ind w:left="340"/>
              <w:spacing w:after="0"/>
              <w:rPr>
                <w:sz w:val="20"/>
                <w:szCs w:val="20"/>
                <w:color w:val="auto"/>
              </w:rPr>
            </w:pPr>
            <w:r>
              <w:rPr>
                <w:rFonts w:ascii="Arial" w:cs="Arial" w:eastAsia="Arial" w:hAnsi="Arial"/>
                <w:sz w:val="14"/>
                <w:szCs w:val="14"/>
                <w:color w:val="auto"/>
                <w:w w:val="94"/>
              </w:rPr>
              <w:t>Class A nonvoting common stock—Issued 51,261,487 and 51,261,487 shares, respectively and</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outstanding 47,778,684 and 47,704,196, respectively</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513</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Class B voting common stock—Issued and outstanding, 3,538,628 shares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1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313,917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311,811</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Earnings retained in the business</w:t>
            </w:r>
          </w:p>
        </w:tc>
        <w:tc>
          <w:tcPr>
            <w:tcW w:w="140" w:type="dxa"/>
            <w:vAlign w:val="bottom"/>
          </w:tcPr>
          <w:p>
            <w:pPr>
              <w:spacing w:after="0"/>
              <w:rPr>
                <w:sz w:val="18"/>
                <w:szCs w:val="18"/>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463,726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452,057</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gridSpan w:val="5"/>
            <w:shd w:val="clear" w:color="auto" w:fill="CCEEFF"/>
          </w:tcPr>
          <w:p>
            <w:pPr>
              <w:ind w:left="340"/>
              <w:spacing w:after="0"/>
              <w:rPr>
                <w:sz w:val="20"/>
                <w:szCs w:val="20"/>
                <w:color w:val="auto"/>
              </w:rPr>
            </w:pPr>
            <w:r>
              <w:rPr>
                <w:rFonts w:ascii="Arial" w:cs="Arial" w:eastAsia="Arial" w:hAnsi="Arial"/>
                <w:sz w:val="14"/>
                <w:szCs w:val="14"/>
                <w:color w:val="auto"/>
                <w:w w:val="96"/>
              </w:rPr>
              <w:t>Treasury stock—3,482,803 and 3,477,291 shares, respectively of Class A nonvoting common</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stock, at cost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(93,300)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(93,337)</w:t>
            </w:r>
          </w:p>
        </w:tc>
        <w:tc>
          <w:tcPr>
            <w:tcW w:w="0" w:type="dxa"/>
            <w:vAlign w:val="bottom"/>
          </w:tcPr>
          <w:p>
            <w:pPr>
              <w:spacing w:after="0"/>
              <w:rPr>
                <w:sz w:val="1"/>
                <w:szCs w:val="1"/>
                <w:color w:val="auto"/>
              </w:rPr>
            </w:pPr>
          </w:p>
        </w:tc>
      </w:tr>
      <w:tr>
        <w:trPr>
          <w:trHeight w:val="211"/>
        </w:trPr>
        <w:tc>
          <w:tcPr>
            <w:tcW w:w="5960" w:type="dxa"/>
            <w:vAlign w:val="bottom"/>
            <w:gridSpan w:val="5"/>
          </w:tcPr>
          <w:p>
            <w:pPr>
              <w:ind w:left="340"/>
              <w:spacing w:after="0"/>
              <w:rPr>
                <w:sz w:val="20"/>
                <w:szCs w:val="20"/>
                <w:color w:val="auto"/>
              </w:rPr>
            </w:pPr>
            <w:r>
              <w:rPr>
                <w:rFonts w:ascii="Arial" w:cs="Arial" w:eastAsia="Arial" w:hAnsi="Arial"/>
                <w:sz w:val="14"/>
                <w:szCs w:val="14"/>
                <w:color w:val="auto"/>
              </w:rPr>
              <w:t>Accumulated other comprehensive (loss) income</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(27,939)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64,156</w:t>
            </w:r>
          </w:p>
        </w:tc>
        <w:tc>
          <w:tcPr>
            <w:tcW w:w="0" w:type="dxa"/>
            <w:vAlign w:val="bottom"/>
          </w:tcPr>
          <w:p>
            <w:pPr>
              <w:spacing w:after="0"/>
              <w:rPr>
                <w:sz w:val="1"/>
                <w:szCs w:val="1"/>
                <w:color w:val="auto"/>
              </w:rPr>
            </w:pPr>
          </w:p>
        </w:tc>
      </w:tr>
      <w:tr>
        <w:trPr>
          <w:trHeight w:val="30"/>
        </w:trPr>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5960" w:type="dxa"/>
            <w:vAlign w:val="bottom"/>
            <w:tcBorders>
              <w:bottom w:val="single" w:sz="8" w:color="CCEEFF"/>
            </w:tcBorders>
            <w:gridSpan w:val="5"/>
            <w:shd w:val="clear" w:color="auto" w:fill="CCEEFF"/>
          </w:tcPr>
          <w:p>
            <w:pPr>
              <w:ind w:left="340"/>
              <w:spacing w:after="0"/>
              <w:rPr>
                <w:sz w:val="20"/>
                <w:szCs w:val="20"/>
                <w:color w:val="auto"/>
              </w:rPr>
            </w:pPr>
            <w:r>
              <w:rPr>
                <w:rFonts w:ascii="Arial" w:cs="Arial" w:eastAsia="Arial" w:hAnsi="Arial"/>
                <w:sz w:val="14"/>
                <w:szCs w:val="14"/>
                <w:color w:val="auto"/>
              </w:rPr>
              <w:t>Other</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(2,159)</w:t>
            </w:r>
          </w:p>
        </w:tc>
        <w:tc>
          <w:tcPr>
            <w:tcW w:w="0" w:type="dxa"/>
            <w:vAlign w:val="bottom"/>
          </w:tcPr>
          <w:p>
            <w:pPr>
              <w:spacing w:after="0"/>
              <w:rPr>
                <w:sz w:val="1"/>
                <w:szCs w:val="1"/>
                <w:color w:val="auto"/>
              </w:rPr>
            </w:pPr>
          </w:p>
        </w:tc>
      </w:tr>
      <w:tr>
        <w:trPr>
          <w:trHeight w:val="191"/>
        </w:trPr>
        <w:tc>
          <w:tcPr>
            <w:tcW w:w="5960" w:type="dxa"/>
            <w:vAlign w:val="bottom"/>
            <w:gridSpan w:val="5"/>
          </w:tcPr>
          <w:p>
            <w:pPr>
              <w:ind w:left="620"/>
              <w:spacing w:after="0"/>
              <w:rPr>
                <w:sz w:val="20"/>
                <w:szCs w:val="20"/>
                <w:color w:val="auto"/>
              </w:rPr>
            </w:pPr>
            <w:r>
              <w:rPr>
                <w:rFonts w:ascii="Arial" w:cs="Arial" w:eastAsia="Arial" w:hAnsi="Arial"/>
                <w:sz w:val="14"/>
                <w:szCs w:val="14"/>
                <w:b w:val="1"/>
                <w:bCs w:val="1"/>
                <w:color w:val="auto"/>
              </w:rPr>
              <w:t>Total stockholders’ investment</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653,967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733,076</w:t>
            </w:r>
          </w:p>
        </w:tc>
        <w:tc>
          <w:tcPr>
            <w:tcW w:w="0" w:type="dxa"/>
            <w:vAlign w:val="bottom"/>
          </w:tcPr>
          <w:p>
            <w:pPr>
              <w:spacing w:after="0"/>
              <w:rPr>
                <w:sz w:val="1"/>
                <w:szCs w:val="1"/>
                <w:color w:val="auto"/>
              </w:rPr>
            </w:pPr>
          </w:p>
        </w:tc>
      </w:tr>
      <w:tr>
        <w:trPr>
          <w:trHeight w:val="30"/>
        </w:trPr>
        <w:tc>
          <w:tcPr>
            <w:tcW w:w="12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59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1,141,985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1,253,665</w:t>
            </w:r>
          </w:p>
        </w:tc>
        <w:tc>
          <w:tcPr>
            <w:tcW w:w="0" w:type="dxa"/>
            <w:vAlign w:val="bottom"/>
          </w:tcPr>
          <w:p>
            <w:pPr>
              <w:spacing w:after="0"/>
              <w:rPr>
                <w:sz w:val="1"/>
                <w:szCs w:val="1"/>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gridSpan w:val="4"/>
          </w:tcPr>
          <w:p>
            <w:pPr>
              <w:jc w:val="right"/>
              <w:ind w:right="188"/>
              <w:spacing w:after="0"/>
              <w:rPr>
                <w:sz w:val="20"/>
                <w:szCs w:val="20"/>
                <w:color w:val="auto"/>
              </w:rPr>
            </w:pPr>
            <w:r>
              <w:rPr>
                <w:rFonts w:ascii="Arial" w:cs="Arial" w:eastAsia="Arial" w:hAnsi="Arial"/>
                <w:sz w:val="14"/>
                <w:szCs w:val="14"/>
                <w:color w:val="auto"/>
                <w:w w:val="99"/>
              </w:rPr>
              <w:t>Nine months ended April 30,</w:t>
            </w:r>
          </w:p>
        </w:tc>
      </w:tr>
      <w:tr>
        <w:trPr>
          <w:trHeight w:val="30"/>
        </w:trPr>
        <w:tc>
          <w:tcPr>
            <w:tcW w:w="6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3"/>
        </w:trPr>
        <w:tc>
          <w:tcPr>
            <w:tcW w:w="6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ind w:right="328"/>
              <w:spacing w:after="0"/>
              <w:rPr>
                <w:sz w:val="20"/>
                <w:szCs w:val="20"/>
                <w:color w:val="auto"/>
              </w:rPr>
            </w:pPr>
            <w:r>
              <w:rPr>
                <w:rFonts w:ascii="Arial" w:cs="Arial" w:eastAsia="Arial" w:hAnsi="Arial"/>
                <w:sz w:val="14"/>
                <w:szCs w:val="14"/>
                <w:color w:val="auto"/>
              </w:rPr>
              <w:t>2014</w:t>
            </w:r>
          </w:p>
        </w:tc>
      </w:tr>
      <w:tr>
        <w:trPr>
          <w:trHeight w:val="30"/>
        </w:trPr>
        <w:tc>
          <w:tcPr>
            <w:tcW w:w="6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3"/>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211"/>
        </w:trPr>
        <w:tc>
          <w:tcPr>
            <w:tcW w:w="6440" w:type="dxa"/>
            <w:vAlign w:val="bottom"/>
          </w:tcPr>
          <w:p>
            <w:pPr>
              <w:ind w:left="340"/>
              <w:spacing w:after="0"/>
              <w:rPr>
                <w:sz w:val="20"/>
                <w:szCs w:val="20"/>
                <w:color w:val="auto"/>
              </w:rPr>
            </w:pPr>
            <w:r>
              <w:rPr>
                <w:rFonts w:ascii="Arial" w:cs="Arial" w:eastAsia="Arial" w:hAnsi="Arial"/>
                <w:sz w:val="14"/>
                <w:szCs w:val="14"/>
                <w:color w:val="auto"/>
              </w:rPr>
              <w:t>Net earnings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42,381</w:t>
            </w:r>
          </w:p>
        </w:tc>
        <w:tc>
          <w:tcPr>
            <w:tcW w:w="8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64,441</w:t>
            </w:r>
          </w:p>
        </w:tc>
      </w:tr>
      <w:tr>
        <w:trPr>
          <w:trHeight w:val="30"/>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28,511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33,782</w:t>
            </w:r>
          </w:p>
        </w:tc>
      </w:tr>
      <w:tr>
        <w:trPr>
          <w:trHeight w:val="30"/>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Non-cash portion of stock-based compensation expense</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3,556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5,033</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Non-cash portion of restructuring charges</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3,545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267</w:t>
            </w:r>
          </w:p>
        </w:tc>
      </w:tr>
      <w:tr>
        <w:trPr>
          <w:trHeight w:val="30"/>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Loss on sale of business, net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426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(8,310)</w:t>
            </w:r>
          </w:p>
        </w:tc>
      </w:tr>
      <w:tr>
        <w:trPr>
          <w:trHeight w:val="30"/>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Changes in operating assets and liabilities (net of effects of business acquisitions/divestitures):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1000"/>
              <w:spacing w:after="0"/>
              <w:rPr>
                <w:sz w:val="20"/>
                <w:szCs w:val="20"/>
                <w:color w:val="auto"/>
              </w:rPr>
            </w:pPr>
            <w:r>
              <w:rPr>
                <w:rFonts w:ascii="Arial" w:cs="Arial" w:eastAsia="Arial" w:hAnsi="Arial"/>
                <w:sz w:val="14"/>
                <w:szCs w:val="14"/>
                <w:color w:val="auto"/>
              </w:rPr>
              <w:t>Accounts receivable</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(797)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2,949</w:t>
            </w:r>
          </w:p>
        </w:tc>
      </w:tr>
      <w:tr>
        <w:trPr>
          <w:trHeight w:val="30"/>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Inventories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(8,385)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(9,435)</w:t>
            </w:r>
          </w:p>
        </w:tc>
      </w:tr>
      <w:tr>
        <w:trPr>
          <w:trHeight w:val="211"/>
        </w:trPr>
        <w:tc>
          <w:tcPr>
            <w:tcW w:w="6440" w:type="dxa"/>
            <w:vAlign w:val="bottom"/>
          </w:tcPr>
          <w:p>
            <w:pPr>
              <w:ind w:left="1000"/>
              <w:spacing w:after="0"/>
              <w:rPr>
                <w:sz w:val="20"/>
                <w:szCs w:val="20"/>
                <w:color w:val="auto"/>
              </w:rPr>
            </w:pPr>
            <w:r>
              <w:rPr>
                <w:rFonts w:ascii="Arial" w:cs="Arial" w:eastAsia="Arial" w:hAnsi="Arial"/>
                <w:sz w:val="14"/>
                <w:szCs w:val="14"/>
                <w:color w:val="auto"/>
              </w:rPr>
              <w:t>Prepaid expenses and other assets</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(2,772)</w:t>
            </w:r>
          </w:p>
        </w:tc>
      </w:tr>
      <w:tr>
        <w:trPr>
          <w:trHeight w:val="30"/>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4"/>
                <w:szCs w:val="14"/>
                <w:color w:val="auto"/>
              </w:rPr>
              <w:t>Accounts payable and accrued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(8,399)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(13,027)</w:t>
            </w:r>
          </w:p>
        </w:tc>
      </w:tr>
      <w:tr>
        <w:trPr>
          <w:trHeight w:val="211"/>
        </w:trPr>
        <w:tc>
          <w:tcPr>
            <w:tcW w:w="6440" w:type="dxa"/>
            <w:vAlign w:val="bottom"/>
          </w:tcPr>
          <w:p>
            <w:pPr>
              <w:ind w:left="1000"/>
              <w:spacing w:after="0"/>
              <w:rPr>
                <w:sz w:val="20"/>
                <w:szCs w:val="20"/>
                <w:color w:val="auto"/>
              </w:rPr>
            </w:pPr>
            <w:r>
              <w:rPr>
                <w:rFonts w:ascii="Arial" w:cs="Arial" w:eastAsia="Arial" w:hAnsi="Arial"/>
                <w:sz w:val="14"/>
                <w:szCs w:val="14"/>
                <w:color w:val="auto"/>
              </w:rPr>
              <w:t>Income taxes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2,912</w:t>
            </w:r>
          </w:p>
        </w:tc>
      </w:tr>
      <w:tr>
        <w:trPr>
          <w:trHeight w:val="30"/>
        </w:trPr>
        <w:tc>
          <w:tcPr>
            <w:tcW w:w="6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644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52,740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75,840</w:t>
            </w:r>
          </w:p>
        </w:tc>
      </w:tr>
      <w:tr>
        <w:trPr>
          <w:trHeight w:val="253"/>
        </w:trPr>
        <w:tc>
          <w:tcPr>
            <w:tcW w:w="6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Purchases of property, plant and equipment</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(23,545)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(29,808)</w:t>
            </w:r>
          </w:p>
        </w:tc>
      </w:tr>
      <w:tr>
        <w:trPr>
          <w:trHeight w:val="30"/>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Sale of business, net of cash retained</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6,111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3,927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(647)</w:t>
            </w:r>
          </w:p>
        </w:tc>
      </w:tr>
      <w:tr>
        <w:trPr>
          <w:trHeight w:val="30"/>
        </w:trPr>
        <w:tc>
          <w:tcPr>
            <w:tcW w:w="6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644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(13,507)</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(30,455)</w:t>
            </w:r>
          </w:p>
        </w:tc>
      </w:tr>
      <w:tr>
        <w:trPr>
          <w:trHeight w:val="253"/>
        </w:trPr>
        <w:tc>
          <w:tcPr>
            <w:tcW w:w="6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Financing activities: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Payment of dividends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(30,712)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(30,479)</w:t>
            </w:r>
          </w:p>
        </w:tc>
      </w:tr>
      <w:tr>
        <w:trPr>
          <w:trHeight w:val="30"/>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Proceeds from issuance of common stock</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1,591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10,894</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Purchase of treasury stock</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(23,335)</w:t>
            </w:r>
          </w:p>
        </w:tc>
      </w:tr>
      <w:tr>
        <w:trPr>
          <w:trHeight w:val="30"/>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Proceeds from borrowing on credit facilities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82,439</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66,187</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rPr>
              <w:t>Repayment of borrowing on credit facilities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(17,801)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(41,401)</w:t>
            </w:r>
          </w:p>
        </w:tc>
      </w:tr>
      <w:tr>
        <w:trPr>
          <w:trHeight w:val="30"/>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21"/>
        </w:trPr>
        <w:tc>
          <w:tcPr>
            <w:tcW w:w="64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Principal payments on debt</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(42,514)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(42,514)</w:t>
            </w:r>
          </w:p>
        </w:tc>
      </w:tr>
      <w:tr>
        <w:trPr>
          <w:trHeight w:val="211"/>
        </w:trPr>
        <w:tc>
          <w:tcPr>
            <w:tcW w:w="6440" w:type="dxa"/>
            <w:vAlign w:val="bottom"/>
          </w:tcPr>
          <w:p>
            <w:pPr>
              <w:ind w:left="620"/>
              <w:spacing w:after="0"/>
              <w:rPr>
                <w:sz w:val="20"/>
                <w:szCs w:val="20"/>
                <w:color w:val="auto"/>
              </w:rPr>
            </w:pPr>
            <w:r>
              <w:rPr>
                <w:rFonts w:ascii="Arial" w:cs="Arial" w:eastAsia="Arial" w:hAnsi="Arial"/>
                <w:sz w:val="14"/>
                <w:szCs w:val="14"/>
                <w:color w:val="auto"/>
                <w:w w:val="98"/>
              </w:rPr>
              <w:t>Income tax on the exercise of stock options and deferred compensation distributions, and other</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(978)</w:t>
            </w:r>
          </w:p>
        </w:tc>
      </w:tr>
      <w:tr>
        <w:trPr>
          <w:trHeight w:val="30"/>
        </w:trPr>
        <w:tc>
          <w:tcPr>
            <w:tcW w:w="6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1"/>
        </w:trPr>
        <w:tc>
          <w:tcPr>
            <w:tcW w:w="6440" w:type="dxa"/>
            <w:vAlign w:val="bottom"/>
            <w:tcBorders>
              <w:bottom w:val="single" w:sz="8" w:color="CCEEFF"/>
            </w:tcBorders>
            <w:shd w:val="clear" w:color="auto" w:fill="CCEEFF"/>
          </w:tcPr>
          <w:p>
            <w:pPr>
              <w:ind w:left="1400"/>
              <w:spacing w:after="0"/>
              <w:rPr>
                <w:sz w:val="20"/>
                <w:szCs w:val="20"/>
                <w:color w:val="auto"/>
              </w:rPr>
            </w:pPr>
            <w:r>
              <w:rPr>
                <w:rFonts w:ascii="Arial" w:cs="Arial" w:eastAsia="Arial" w:hAnsi="Arial"/>
                <w:sz w:val="14"/>
                <w:szCs w:val="14"/>
                <w:color w:val="auto"/>
              </w:rPr>
              <w:t>Net cash used in financing activities</w:t>
            </w:r>
          </w:p>
        </w:tc>
        <w:tc>
          <w:tcPr>
            <w:tcW w:w="2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(10,829)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(61,626)</w:t>
            </w:r>
          </w:p>
        </w:tc>
      </w:tr>
      <w:tr>
        <w:trPr>
          <w:trHeight w:val="253"/>
        </w:trPr>
        <w:tc>
          <w:tcPr>
            <w:tcW w:w="6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(9,770)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3,898</w:t>
            </w:r>
          </w:p>
        </w:tc>
      </w:tr>
      <w:tr>
        <w:trPr>
          <w:trHeight w:val="253"/>
        </w:trPr>
        <w:tc>
          <w:tcPr>
            <w:tcW w:w="6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1"/>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increase (decrease) in cash and cash equivalents</w:t>
            </w:r>
          </w:p>
        </w:tc>
        <w:tc>
          <w:tcPr>
            <w:tcW w:w="2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18,634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(12,343)</w:t>
            </w:r>
          </w:p>
        </w:tc>
      </w:tr>
      <w:tr>
        <w:trPr>
          <w:trHeight w:val="211"/>
        </w:trPr>
        <w:tc>
          <w:tcPr>
            <w:tcW w:w="6440" w:type="dxa"/>
            <w:vAlign w:val="bottom"/>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20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81,834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91,058</w:t>
            </w:r>
          </w:p>
        </w:tc>
      </w:tr>
      <w:tr>
        <w:trPr>
          <w:trHeight w:val="30"/>
        </w:trPr>
        <w:tc>
          <w:tcPr>
            <w:tcW w:w="6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5"/>
        </w:trPr>
        <w:tc>
          <w:tcPr>
            <w:tcW w:w="6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r>
      <w:tr>
        <w:trPr>
          <w:trHeight w:val="199"/>
        </w:trPr>
        <w:tc>
          <w:tcPr>
            <w:tcW w:w="6440" w:type="dxa"/>
            <w:vAlign w:val="bottom"/>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100,468</w:t>
            </w:r>
          </w:p>
        </w:tc>
        <w:tc>
          <w:tcPr>
            <w:tcW w:w="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78,715</w:t>
            </w:r>
          </w:p>
        </w:tc>
      </w:tr>
      <w:tr>
        <w:trPr>
          <w:trHeight w:val="70"/>
        </w:trPr>
        <w:tc>
          <w:tcPr>
            <w:tcW w:w="644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r>
      <w:tr>
        <w:trPr>
          <w:trHeight w:val="229"/>
        </w:trPr>
        <w:tc>
          <w:tcPr>
            <w:tcW w:w="6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bl>
    <w:p>
      <w:pPr>
        <w:spacing w:after="0" w:line="16" w:lineRule="exact"/>
        <w:rPr>
          <w:sz w:val="20"/>
          <w:szCs w:val="20"/>
          <w:color w:val="auto"/>
        </w:rPr>
      </w:pPr>
    </w:p>
    <w:p>
      <w:pPr>
        <w:sectPr>
          <w:pgSz w:w="11900" w:h="16838" w:orient="portrait"/>
          <w:cols w:equalWidth="0" w:num="1">
            <w:col w:w="10219"/>
          </w:cols>
          <w:pgMar w:left="240" w:top="537" w:right="1440" w:bottom="1440" w:gutter="0" w:footer="0" w:header="0"/>
        </w:sectPr>
      </w:pPr>
    </w:p>
    <w:p>
      <w:pPr>
        <w:ind w:left="20"/>
        <w:spacing w:after="0"/>
        <w:rPr>
          <w:sz w:val="20"/>
          <w:szCs w:val="20"/>
          <w:color w:val="auto"/>
        </w:rPr>
      </w:pPr>
      <w:r>
        <w:rPr>
          <w:rFonts w:ascii="Arial" w:cs="Arial" w:eastAsia="Arial" w:hAnsi="Arial"/>
          <w:sz w:val="13"/>
          <w:szCs w:val="13"/>
          <w:color w:val="auto"/>
        </w:rPr>
        <w:t>Supplemental disclosures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48260</wp:posOffset>
            </wp:positionV>
            <wp:extent cx="5514975" cy="153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Cash paid during the period for:</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40640</wp:posOffset>
            </wp:positionV>
            <wp:extent cx="5514975" cy="153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4975" cy="153035"/>
                    </a:xfrm>
                    <a:prstGeom prst="rect">
                      <a:avLst/>
                    </a:prstGeom>
                    <a:noFill/>
                  </pic:spPr>
                </pic:pic>
              </a:graphicData>
            </a:graphic>
          </wp:anchor>
        </w:drawing>
      </w:r>
    </w:p>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Income taxes, net of refunds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tabs>
          <w:tab w:leader="none" w:pos="640" w:val="left"/>
          <w:tab w:leader="none" w:pos="1160" w:val="left"/>
          <w:tab w:leader="none" w:pos="17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9,451</w:t>
        <w:tab/>
        <w:t>$</w:t>
      </w:r>
      <w:r>
        <w:rPr>
          <w:sz w:val="20"/>
          <w:szCs w:val="20"/>
          <w:color w:val="auto"/>
        </w:rPr>
        <w:tab/>
      </w:r>
      <w:r>
        <w:rPr>
          <w:rFonts w:ascii="Arial" w:cs="Arial" w:eastAsia="Arial" w:hAnsi="Arial"/>
          <w:sz w:val="12"/>
          <w:szCs w:val="12"/>
          <w:color w:val="auto"/>
        </w:rPr>
        <w:t>11,417</w:t>
      </w:r>
    </w:p>
    <w:p>
      <w:pPr>
        <w:spacing w:after="0" w:line="80" w:lineRule="exact"/>
        <w:rPr>
          <w:sz w:val="20"/>
          <w:szCs w:val="20"/>
          <w:color w:val="auto"/>
        </w:rPr>
      </w:pPr>
    </w:p>
    <w:p>
      <w:pPr>
        <w:jc w:val="both"/>
        <w:ind w:left="580"/>
        <w:spacing w:after="0"/>
        <w:tabs>
          <w:tab w:leader="none" w:pos="1740" w:val="left"/>
        </w:tabs>
        <w:rPr>
          <w:sz w:val="20"/>
          <w:szCs w:val="20"/>
          <w:color w:val="auto"/>
        </w:rPr>
      </w:pPr>
      <w:r>
        <w:rPr>
          <w:rFonts w:ascii="Arial" w:cs="Arial" w:eastAsia="Arial" w:hAnsi="Arial"/>
          <w:sz w:val="14"/>
          <w:szCs w:val="14"/>
          <w:color w:val="auto"/>
        </w:rPr>
        <w:t>21,692</w:t>
      </w:r>
      <w:r>
        <w:rPr>
          <w:sz w:val="20"/>
          <w:szCs w:val="20"/>
          <w:color w:val="auto"/>
        </w:rPr>
        <w:tab/>
      </w:r>
      <w:r>
        <w:rPr>
          <w:rFonts w:ascii="Arial" w:cs="Arial" w:eastAsia="Arial" w:hAnsi="Arial"/>
          <w:sz w:val="14"/>
          <w:szCs w:val="14"/>
          <w:color w:val="auto"/>
        </w:rPr>
        <w:t>18,842</w:t>
      </w:r>
    </w:p>
    <w:p>
      <w:pPr>
        <w:sectPr>
          <w:pgSz w:w="11900" w:h="16838" w:orient="portrait"/>
          <w:cols w:equalWidth="0" w:num="2">
            <w:col w:w="5740" w:space="720"/>
            <w:col w:w="3759"/>
          </w:cols>
          <w:pgMar w:left="240" w:top="537"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b w:val="1"/>
          <w:bCs w:val="1"/>
          <w:color w:val="auto"/>
        </w:rPr>
        <w:t>BRADY CORPORATION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INFORMATION</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7"/>
          </w:tcPr>
          <w:p>
            <w:pPr>
              <w:ind w:left="100"/>
              <w:spacing w:after="0"/>
              <w:rPr>
                <w:sz w:val="20"/>
                <w:szCs w:val="20"/>
                <w:color w:val="auto"/>
              </w:rPr>
            </w:pPr>
            <w:r>
              <w:rPr>
                <w:rFonts w:ascii="Arial" w:cs="Arial" w:eastAsia="Arial" w:hAnsi="Arial"/>
                <w:sz w:val="14"/>
                <w:szCs w:val="14"/>
                <w:color w:val="auto"/>
              </w:rPr>
              <w:t>Three months ended April 30,</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4"/>
          </w:tcPr>
          <w:p>
            <w:pPr>
              <w:jc w:val="right"/>
              <w:ind w:right="268"/>
              <w:spacing w:after="0"/>
              <w:rPr>
                <w:sz w:val="20"/>
                <w:szCs w:val="20"/>
                <w:color w:val="auto"/>
              </w:rPr>
            </w:pPr>
            <w:r>
              <w:rPr>
                <w:rFonts w:ascii="Arial" w:cs="Arial" w:eastAsia="Arial" w:hAnsi="Arial"/>
                <w:sz w:val="14"/>
                <w:szCs w:val="14"/>
                <w:color w:val="auto"/>
              </w:rPr>
              <w:t>Nine months ended April 30,</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2015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2014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6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30"/>
        </w:trPr>
        <w:tc>
          <w:tcPr>
            <w:tcW w:w="37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SALES TO EXTERNAL CUSTOMERS</w:t>
            </w:r>
          </w:p>
        </w:tc>
        <w:tc>
          <w:tcPr>
            <w:tcW w:w="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ID Solutions</w:t>
            </w:r>
          </w:p>
        </w:tc>
        <w:tc>
          <w:tcPr>
            <w:tcW w:w="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200,786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206,448</w:t>
            </w:r>
          </w:p>
        </w:tc>
        <w:tc>
          <w:tcPr>
            <w:tcW w:w="8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604,948</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610,726</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Workplace Safety</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89,441</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103,129</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278,147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297,575</w:t>
            </w:r>
          </w:p>
        </w:tc>
        <w:tc>
          <w:tcPr>
            <w:tcW w:w="0" w:type="dxa"/>
            <w:vAlign w:val="bottom"/>
          </w:tcPr>
          <w:p>
            <w:pPr>
              <w:spacing w:after="0"/>
              <w:rPr>
                <w:sz w:val="1"/>
                <w:szCs w:val="1"/>
                <w:color w:val="auto"/>
              </w:rPr>
            </w:pP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290,227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309,577</w:t>
            </w:r>
          </w:p>
        </w:tc>
        <w:tc>
          <w:tcPr>
            <w:tcW w:w="80" w:type="dxa"/>
            <w:vAlign w:val="bottom"/>
          </w:tcPr>
          <w:p>
            <w:pPr>
              <w:spacing w:after="0"/>
              <w:rPr>
                <w:sz w:val="16"/>
                <w:szCs w:val="16"/>
                <w:color w:val="auto"/>
              </w:rPr>
            </w:pPr>
          </w:p>
        </w:tc>
        <w:tc>
          <w:tcPr>
            <w:tcW w:w="2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883,095</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908,301</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SALES INFORMATION</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37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ID Solutions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37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Organic</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4.8 %</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Currency</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Acquisitions</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4.6 %</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15.7 %</w:t>
            </w:r>
          </w:p>
        </w:tc>
        <w:tc>
          <w:tcPr>
            <w:tcW w:w="0" w:type="dxa"/>
            <w:vAlign w:val="bottom"/>
          </w:tcPr>
          <w:p>
            <w:pPr>
              <w:spacing w:after="0"/>
              <w:rPr>
                <w:sz w:val="1"/>
                <w:szCs w:val="1"/>
                <w:color w:val="auto"/>
              </w:rPr>
            </w:pPr>
          </w:p>
        </w:tc>
      </w:tr>
      <w:tr>
        <w:trPr>
          <w:trHeight w:val="70"/>
        </w:trPr>
        <w:tc>
          <w:tcPr>
            <w:tcW w:w="378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378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b w:val="1"/>
                <w:bCs w:val="1"/>
                <w:i w:val="1"/>
                <w:iCs w:val="1"/>
                <w:color w:val="auto"/>
              </w:rPr>
              <w:t>Workplace Safety</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Organic</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0.6 %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Currency</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Acquisitions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0"/>
        </w:trPr>
        <w:tc>
          <w:tcPr>
            <w:tcW w:w="37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Total</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i w:val="1"/>
                <w:iCs w:val="1"/>
                <w:color w:val="auto"/>
              </w:rPr>
              <w:t>Total Company</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7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Organic</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1.7 %</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2.5 %</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Currency</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Acquisitions</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0" w:type="dxa"/>
            <w:vAlign w:val="bottom"/>
          </w:tcPr>
          <w:p>
            <w:pPr>
              <w:spacing w:after="0"/>
              <w:rPr>
                <w:sz w:val="1"/>
                <w:szCs w:val="1"/>
                <w:color w:val="auto"/>
              </w:rPr>
            </w:pP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2.3 %</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7.2 %</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SEGMENT PROFIT</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ID Solutions</w:t>
            </w:r>
          </w:p>
        </w:tc>
        <w:tc>
          <w:tcPr>
            <w:tcW w:w="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41,614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44,302</w:t>
            </w:r>
          </w:p>
        </w:tc>
        <w:tc>
          <w:tcPr>
            <w:tcW w:w="8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120,800</w:t>
            </w:r>
          </w:p>
        </w:tc>
        <w:tc>
          <w:tcPr>
            <w:tcW w:w="100" w:type="dxa"/>
            <w:vAlign w:val="bottom"/>
          </w:tcPr>
          <w:p>
            <w:pPr>
              <w:spacing w:after="0"/>
              <w:rPr>
                <w:sz w:val="18"/>
                <w:szCs w:val="18"/>
                <w:color w:val="auto"/>
              </w:rPr>
            </w:pP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132,795</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Workplace Safety</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12,292</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14,771</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40,607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47,813</w:t>
            </w:r>
          </w:p>
        </w:tc>
        <w:tc>
          <w:tcPr>
            <w:tcW w:w="0" w:type="dxa"/>
            <w:vAlign w:val="bottom"/>
          </w:tcPr>
          <w:p>
            <w:pPr>
              <w:spacing w:after="0"/>
              <w:rPr>
                <w:sz w:val="1"/>
                <w:szCs w:val="1"/>
                <w:color w:val="auto"/>
              </w:rPr>
            </w:pP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53,906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59,073</w:t>
            </w:r>
          </w:p>
        </w:tc>
        <w:tc>
          <w:tcPr>
            <w:tcW w:w="80" w:type="dxa"/>
            <w:vAlign w:val="bottom"/>
          </w:tcPr>
          <w:p>
            <w:pPr>
              <w:spacing w:after="0"/>
              <w:rPr>
                <w:sz w:val="16"/>
                <w:szCs w:val="16"/>
                <w:color w:val="auto"/>
              </w:rPr>
            </w:pPr>
          </w:p>
        </w:tc>
        <w:tc>
          <w:tcPr>
            <w:tcW w:w="24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161,407</w:t>
            </w:r>
          </w:p>
        </w:tc>
        <w:tc>
          <w:tcPr>
            <w:tcW w:w="100" w:type="dxa"/>
            <w:vAlign w:val="bottom"/>
          </w:tcPr>
          <w:p>
            <w:pPr>
              <w:spacing w:after="0"/>
              <w:rPr>
                <w:sz w:val="16"/>
                <w:szCs w:val="16"/>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180,608</w:t>
            </w:r>
          </w:p>
        </w:tc>
        <w:tc>
          <w:tcPr>
            <w:tcW w:w="0" w:type="dxa"/>
            <w:vAlign w:val="bottom"/>
          </w:tcPr>
          <w:p>
            <w:pPr>
              <w:spacing w:after="0"/>
              <w:rPr>
                <w:sz w:val="1"/>
                <w:szCs w:val="1"/>
                <w:color w:val="auto"/>
              </w:rPr>
            </w:pPr>
          </w:p>
        </w:tc>
      </w:tr>
      <w:tr>
        <w:trPr>
          <w:trHeight w:val="70"/>
        </w:trPr>
        <w:tc>
          <w:tcPr>
            <w:tcW w:w="378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378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b w:val="1"/>
                <w:bCs w:val="1"/>
                <w:color w:val="auto"/>
              </w:rPr>
              <w:t>SEGMENT PROFIT AS A PERCENT OF SALES</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ID Solutions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20.7 %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21.5 %</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21.7 %</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Workplace Safety</w:t>
            </w: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13.7 %</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14.3 %</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16.1 %</w:t>
            </w:r>
          </w:p>
        </w:tc>
        <w:tc>
          <w:tcPr>
            <w:tcW w:w="0" w:type="dxa"/>
            <w:vAlign w:val="bottom"/>
          </w:tcPr>
          <w:p>
            <w:pPr>
              <w:spacing w:after="0"/>
              <w:rPr>
                <w:sz w:val="1"/>
                <w:szCs w:val="1"/>
                <w:color w:val="auto"/>
              </w:rPr>
            </w:pPr>
          </w:p>
        </w:tc>
      </w:tr>
      <w:tr>
        <w:trPr>
          <w:trHeight w:val="191"/>
        </w:trPr>
        <w:tc>
          <w:tcPr>
            <w:tcW w:w="3780" w:type="dxa"/>
            <w:vAlign w:val="bottom"/>
          </w:tcPr>
          <w:p>
            <w:pPr>
              <w:ind w:left="34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19.1 %</w:t>
            </w: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18.3 %</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19.9 %</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3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40" w:type="dxa"/>
            <w:vAlign w:val="bottom"/>
            <w:gridSpan w:val="7"/>
          </w:tcPr>
          <w:p>
            <w:pPr>
              <w:ind w:left="120"/>
              <w:spacing w:after="0"/>
              <w:rPr>
                <w:sz w:val="20"/>
                <w:szCs w:val="20"/>
                <w:color w:val="auto"/>
              </w:rPr>
            </w:pPr>
            <w:r>
              <w:rPr>
                <w:rFonts w:ascii="Arial" w:cs="Arial" w:eastAsia="Arial" w:hAnsi="Arial"/>
                <w:sz w:val="14"/>
                <w:szCs w:val="14"/>
                <w:color w:val="auto"/>
              </w:rPr>
              <w:t>Three months ended April 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4"/>
          </w:tcPr>
          <w:p>
            <w:pPr>
              <w:jc w:val="right"/>
              <w:ind w:right="268"/>
              <w:spacing w:after="0"/>
              <w:rPr>
                <w:sz w:val="20"/>
                <w:szCs w:val="20"/>
                <w:color w:val="auto"/>
              </w:rPr>
            </w:pPr>
            <w:r>
              <w:rPr>
                <w:rFonts w:ascii="Arial" w:cs="Arial" w:eastAsia="Arial" w:hAnsi="Arial"/>
                <w:sz w:val="14"/>
                <w:szCs w:val="14"/>
                <w:color w:val="auto"/>
              </w:rPr>
              <w:t>Nine months ended April 30,</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2014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4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30"/>
        </w:trPr>
        <w:tc>
          <w:tcPr>
            <w:tcW w:w="37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segment profit</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53,906</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59,073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161,407</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180,608</w:t>
            </w:r>
          </w:p>
        </w:tc>
        <w:tc>
          <w:tcPr>
            <w:tcW w:w="0" w:type="dxa"/>
            <w:vAlign w:val="bottom"/>
          </w:tcPr>
          <w:p>
            <w:pPr>
              <w:spacing w:after="0"/>
              <w:rPr>
                <w:sz w:val="1"/>
                <w:szCs w:val="1"/>
                <w:color w:val="auto"/>
              </w:rPr>
            </w:pPr>
          </w:p>
        </w:tc>
      </w:tr>
      <w:tr>
        <w:trPr>
          <w:trHeight w:val="199"/>
        </w:trPr>
        <w:tc>
          <w:tcPr>
            <w:tcW w:w="3780" w:type="dxa"/>
            <w:vAlign w:val="bottom"/>
          </w:tcPr>
          <w:p>
            <w:pPr>
              <w:ind w:left="20"/>
              <w:spacing w:after="0"/>
              <w:rPr>
                <w:sz w:val="20"/>
                <w:szCs w:val="20"/>
                <w:color w:val="auto"/>
              </w:rPr>
            </w:pPr>
            <w:r>
              <w:rPr>
                <w:rFonts w:ascii="Arial" w:cs="Arial" w:eastAsia="Arial" w:hAnsi="Arial"/>
                <w:sz w:val="14"/>
                <w:szCs w:val="14"/>
                <w:color w:val="auto"/>
              </w:rPr>
              <w:t>Unallocated amounts:</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37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Administrative costs</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(24,787)</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(29,267)</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(79,347)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(91,604)</w:t>
            </w: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Restructuring charges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(4,834)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(3,039)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(13,991)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(14,202)</w:t>
            </w:r>
          </w:p>
        </w:tc>
        <w:tc>
          <w:tcPr>
            <w:tcW w:w="0" w:type="dxa"/>
            <w:vAlign w:val="bottom"/>
          </w:tcPr>
          <w:p>
            <w:pPr>
              <w:spacing w:after="0"/>
              <w:rPr>
                <w:sz w:val="1"/>
                <w:szCs w:val="1"/>
                <w:color w:val="auto"/>
              </w:rPr>
            </w:pPr>
          </w:p>
        </w:tc>
      </w:tr>
      <w:tr>
        <w:trPr>
          <w:trHeight w:val="30"/>
        </w:trPr>
        <w:tc>
          <w:tcPr>
            <w:tcW w:w="37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Investment and other income</w:t>
            </w:r>
          </w:p>
        </w:tc>
        <w:tc>
          <w:tcPr>
            <w:tcW w:w="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1,887</w:t>
            </w:r>
          </w:p>
        </w:tc>
        <w:tc>
          <w:tcPr>
            <w:tcW w:w="0" w:type="dxa"/>
            <w:vAlign w:val="bottom"/>
          </w:tcPr>
          <w:p>
            <w:pPr>
              <w:spacing w:after="0"/>
              <w:rPr>
                <w:sz w:val="1"/>
                <w:szCs w:val="1"/>
                <w:color w:val="auto"/>
              </w:rPr>
            </w:pPr>
          </w:p>
        </w:tc>
      </w:tr>
      <w:tr>
        <w:trPr>
          <w:trHeight w:val="211"/>
        </w:trPr>
        <w:tc>
          <w:tcPr>
            <w:tcW w:w="3780" w:type="dxa"/>
            <w:vAlign w:val="bottom"/>
          </w:tcPr>
          <w:p>
            <w:pPr>
              <w:ind w:left="340"/>
              <w:spacing w:after="0"/>
              <w:rPr>
                <w:sz w:val="20"/>
                <w:szCs w:val="20"/>
                <w:color w:val="auto"/>
              </w:rPr>
            </w:pPr>
            <w:r>
              <w:rPr>
                <w:rFonts w:ascii="Arial" w:cs="Arial" w:eastAsia="Arial" w:hAnsi="Arial"/>
                <w:sz w:val="14"/>
                <w:szCs w:val="14"/>
                <w:color w:val="auto"/>
              </w:rPr>
              <w:t>Interest expense</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(2,503)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(3,381)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(8,394)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(10,777)</w:t>
            </w:r>
          </w:p>
        </w:tc>
        <w:tc>
          <w:tcPr>
            <w:tcW w:w="0" w:type="dxa"/>
            <w:vAlign w:val="bottom"/>
          </w:tcPr>
          <w:p>
            <w:pPr>
              <w:spacing w:after="0"/>
              <w:rPr>
                <w:sz w:val="1"/>
                <w:szCs w:val="1"/>
                <w:color w:val="auto"/>
              </w:rPr>
            </w:pPr>
          </w:p>
        </w:tc>
      </w:tr>
      <w:tr>
        <w:trPr>
          <w:trHeight w:val="30"/>
        </w:trPr>
        <w:tc>
          <w:tcPr>
            <w:tcW w:w="37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Earnings from continuing operations before income taxes</w:t>
            </w:r>
          </w:p>
        </w:tc>
        <w:tc>
          <w:tcPr>
            <w:tcW w:w="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22,216</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24,258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60,643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65,912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537" w:right="1440" w:bottom="1440"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Amounts)</w:t>
      </w:r>
    </w:p>
    <w:p>
      <w:pPr>
        <w:spacing w:after="0" w:line="334" w:lineRule="exact"/>
        <w:rPr>
          <w:sz w:val="20"/>
          <w:szCs w:val="20"/>
          <w:color w:val="auto"/>
        </w:rPr>
      </w:pPr>
    </w:p>
    <w:p>
      <w:pPr>
        <w:ind w:left="100" w:right="1699"/>
        <w:spacing w:after="0" w:line="302" w:lineRule="auto"/>
        <w:rPr>
          <w:sz w:val="20"/>
          <w:szCs w:val="20"/>
          <w:color w:val="auto"/>
        </w:rPr>
      </w:pPr>
      <w:r>
        <w:rPr>
          <w:rFonts w:ascii="Arial" w:cs="Arial" w:eastAsia="Arial" w:hAnsi="Arial"/>
          <w:sz w:val="14"/>
          <w:szCs w:val="14"/>
          <w:color w:val="auto"/>
        </w:rPr>
        <w:t>In accordance with the U.S. Securities and Exchange Commission’s Regulation G, the following provides definitions of the non-GAAP measures used in the earnings release and the reconciliation to the most closely related GAAP measure.</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Earnings from Continuing Operations Before Income Taxes Excluding Certain Items:</w:t>
      </w:r>
    </w:p>
    <w:p>
      <w:pPr>
        <w:spacing w:after="0" w:line="72" w:lineRule="exact"/>
        <w:rPr>
          <w:sz w:val="20"/>
          <w:szCs w:val="20"/>
          <w:color w:val="auto"/>
        </w:rPr>
      </w:pPr>
    </w:p>
    <w:p>
      <w:pPr>
        <w:jc w:val="both"/>
        <w:ind w:left="60" w:right="1559"/>
        <w:spacing w:after="0" w:line="276" w:lineRule="auto"/>
        <w:rPr>
          <w:sz w:val="20"/>
          <w:szCs w:val="20"/>
          <w:color w:val="auto"/>
        </w:rPr>
      </w:pPr>
      <w:r>
        <w:rPr>
          <w:rFonts w:ascii="Arial" w:cs="Arial" w:eastAsia="Arial" w:hAnsi="Arial"/>
          <w:sz w:val="14"/>
          <w:szCs w:val="14"/>
          <w:color w:val="auto"/>
        </w:rPr>
        <w:t>Brady is presenting the Non-GAAP measure "Earnings from Continuing Operations Before Income Taxes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profit measure provides an important perspective of underlying business trends and results and provides a more comparable measure from year to year. The table below provides a reconciliation of Earnings from Continuing Operations Before Income Taxes to Earnings from Continuing Operations Before Income Taxes Excluding Certain Items:</w:t>
      </w:r>
    </w:p>
    <w:p>
      <w:pPr>
        <w:spacing w:after="0" w:line="200" w:lineRule="exact"/>
        <w:rPr>
          <w:sz w:val="20"/>
          <w:szCs w:val="20"/>
          <w:color w:val="auto"/>
        </w:rPr>
      </w:pPr>
    </w:p>
    <w:p>
      <w:pPr>
        <w:spacing w:after="0" w:line="318"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20" w:type="dxa"/>
            <w:vAlign w:val="bottom"/>
            <w:gridSpan w:val="5"/>
          </w:tcPr>
          <w:p>
            <w:pPr>
              <w:ind w:left="80"/>
              <w:spacing w:after="0"/>
              <w:rPr>
                <w:sz w:val="20"/>
                <w:szCs w:val="20"/>
                <w:color w:val="auto"/>
              </w:rPr>
            </w:pPr>
            <w:r>
              <w:rPr>
                <w:rFonts w:ascii="Arial" w:cs="Arial" w:eastAsia="Arial" w:hAnsi="Arial"/>
                <w:sz w:val="14"/>
                <w:szCs w:val="14"/>
                <w:color w:val="auto"/>
              </w:rPr>
              <w:t>Three months ended April 30,</w:t>
            </w:r>
          </w:p>
        </w:tc>
        <w:tc>
          <w:tcPr>
            <w:tcW w:w="180" w:type="dxa"/>
            <w:vAlign w:val="bottom"/>
          </w:tcPr>
          <w:p>
            <w:pPr>
              <w:spacing w:after="0"/>
              <w:rPr>
                <w:sz w:val="15"/>
                <w:szCs w:val="15"/>
                <w:color w:val="auto"/>
              </w:rPr>
            </w:pPr>
          </w:p>
        </w:tc>
        <w:tc>
          <w:tcPr>
            <w:tcW w:w="2020" w:type="dxa"/>
            <w:vAlign w:val="bottom"/>
            <w:gridSpan w:val="4"/>
          </w:tcPr>
          <w:p>
            <w:pPr>
              <w:jc w:val="right"/>
              <w:ind w:right="168"/>
              <w:spacing w:after="0"/>
              <w:rPr>
                <w:sz w:val="20"/>
                <w:szCs w:val="20"/>
                <w:color w:val="auto"/>
              </w:rPr>
            </w:pPr>
            <w:r>
              <w:rPr>
                <w:rFonts w:ascii="Arial" w:cs="Arial" w:eastAsia="Arial" w:hAnsi="Arial"/>
                <w:sz w:val="14"/>
                <w:szCs w:val="14"/>
                <w:color w:val="auto"/>
                <w:w w:val="99"/>
              </w:rPr>
              <w:t>Nine months ended April 30,</w:t>
            </w:r>
          </w:p>
        </w:tc>
        <w:tc>
          <w:tcPr>
            <w:tcW w:w="0" w:type="dxa"/>
            <w:vAlign w:val="bottom"/>
          </w:tcPr>
          <w:p>
            <w:pPr>
              <w:spacing w:after="0"/>
              <w:rPr>
                <w:sz w:val="1"/>
                <w:szCs w:val="1"/>
                <w:color w:val="auto"/>
              </w:rPr>
            </w:pPr>
          </w:p>
        </w:tc>
      </w:tr>
      <w:tr>
        <w:trPr>
          <w:trHeight w:val="30"/>
        </w:trPr>
        <w:tc>
          <w:tcPr>
            <w:tcW w:w="4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30"/>
        </w:trPr>
        <w:tc>
          <w:tcPr>
            <w:tcW w:w="4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4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Earnings from Continuing Operations Before Income Taxes</w:t>
            </w: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(GAAP Measure)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22,216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24,258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60,643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65,912</w:t>
            </w:r>
          </w:p>
        </w:tc>
        <w:tc>
          <w:tcPr>
            <w:tcW w:w="0" w:type="dxa"/>
            <w:vAlign w:val="bottom"/>
          </w:tcPr>
          <w:p>
            <w:pPr>
              <w:spacing w:after="0"/>
              <w:rPr>
                <w:sz w:val="1"/>
                <w:szCs w:val="1"/>
                <w:color w:val="auto"/>
              </w:rPr>
            </w:pPr>
          </w:p>
        </w:tc>
      </w:tr>
      <w:tr>
        <w:trPr>
          <w:trHeight w:val="211"/>
        </w:trPr>
        <w:tc>
          <w:tcPr>
            <w:tcW w:w="416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160" w:type="dxa"/>
            <w:vAlign w:val="bottom"/>
          </w:tcPr>
          <w:p>
            <w:pPr>
              <w:spacing w:after="0"/>
              <w:rPr>
                <w:sz w:val="18"/>
                <w:szCs w:val="18"/>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4,834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13,991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14,202</w:t>
            </w:r>
          </w:p>
        </w:tc>
        <w:tc>
          <w:tcPr>
            <w:tcW w:w="0" w:type="dxa"/>
            <w:vAlign w:val="bottom"/>
          </w:tcPr>
          <w:p>
            <w:pPr>
              <w:spacing w:after="0"/>
              <w:rPr>
                <w:sz w:val="1"/>
                <w:szCs w:val="1"/>
                <w:color w:val="auto"/>
              </w:rPr>
            </w:pPr>
          </w:p>
        </w:tc>
      </w:tr>
      <w:tr>
        <w:trPr>
          <w:trHeight w:val="30"/>
        </w:trPr>
        <w:tc>
          <w:tcPr>
            <w:tcW w:w="4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Postretirement benefit plan curtailment gain</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(4,296)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Earnings from Continuing Operations Before Income Taxes</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22,754</w:t>
            </w:r>
          </w:p>
        </w:tc>
        <w:tc>
          <w:tcPr>
            <w:tcW w:w="10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27,297</w:t>
            </w:r>
          </w:p>
        </w:tc>
        <w:tc>
          <w:tcPr>
            <w:tcW w:w="100" w:type="dxa"/>
            <w:vAlign w:val="bottom"/>
          </w:tcPr>
          <w:p>
            <w:pPr>
              <w:spacing w:after="0"/>
              <w:rPr>
                <w:sz w:val="15"/>
                <w:szCs w:val="15"/>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70,338</w:t>
            </w:r>
          </w:p>
        </w:tc>
        <w:tc>
          <w:tcPr>
            <w:tcW w:w="1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80,114</w:t>
            </w:r>
          </w:p>
        </w:tc>
        <w:tc>
          <w:tcPr>
            <w:tcW w:w="0" w:type="dxa"/>
            <w:vAlign w:val="bottom"/>
          </w:tcPr>
          <w:p>
            <w:pPr>
              <w:spacing w:after="0"/>
              <w:rPr>
                <w:sz w:val="1"/>
                <w:szCs w:val="1"/>
                <w:color w:val="auto"/>
              </w:rPr>
            </w:pPr>
          </w:p>
        </w:tc>
      </w:tr>
      <w:tr>
        <w:trPr>
          <w:trHeight w:val="202"/>
        </w:trPr>
        <w:tc>
          <w:tcPr>
            <w:tcW w:w="4160" w:type="dxa"/>
            <w:vAlign w:val="bottom"/>
          </w:tcPr>
          <w:p>
            <w:pPr>
              <w:ind w:left="20"/>
              <w:spacing w:after="0"/>
              <w:rPr>
                <w:sz w:val="20"/>
                <w:szCs w:val="20"/>
                <w:color w:val="auto"/>
              </w:rPr>
            </w:pPr>
            <w:r>
              <w:rPr>
                <w:rFonts w:ascii="Arial" w:cs="Arial" w:eastAsia="Arial" w:hAnsi="Arial"/>
                <w:sz w:val="14"/>
                <w:szCs w:val="14"/>
                <w:b w:val="1"/>
                <w:bCs w:val="1"/>
                <w:color w:val="auto"/>
              </w:rPr>
              <w:t>Excluding Certain Items (non-GAAP measure)</w:t>
            </w:r>
          </w:p>
        </w:tc>
        <w:tc>
          <w:tcPr>
            <w:tcW w:w="16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Income Taxes on Continuing Operations Excluding Certain Items:</w:t>
      </w:r>
    </w:p>
    <w:p>
      <w:pPr>
        <w:spacing w:after="0" w:line="72" w:lineRule="exact"/>
        <w:rPr>
          <w:sz w:val="20"/>
          <w:szCs w:val="20"/>
          <w:color w:val="auto"/>
        </w:rPr>
      </w:pPr>
    </w:p>
    <w:p>
      <w:pPr>
        <w:jc w:val="both"/>
        <w:ind w:left="20" w:right="1559"/>
        <w:spacing w:after="0" w:line="303" w:lineRule="auto"/>
        <w:rPr>
          <w:sz w:val="20"/>
          <w:szCs w:val="20"/>
          <w:color w:val="auto"/>
        </w:rPr>
      </w:pPr>
      <w:r>
        <w:rPr>
          <w:rFonts w:ascii="Arial" w:cs="Arial" w:eastAsia="Arial" w:hAnsi="Arial"/>
          <w:sz w:val="13"/>
          <w:szCs w:val="13"/>
          <w:color w:val="auto"/>
        </w:rPr>
        <w:t>Brady is presenting the Non-GAAP measure "Income Taxes on Continuing Operations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Income Taxes on Continuing Operations to Income Taxes on Continuing Operations Excluding Certain Items: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5"/>
          </w:tcPr>
          <w:p>
            <w:pPr>
              <w:ind w:left="60"/>
              <w:spacing w:after="0"/>
              <w:rPr>
                <w:sz w:val="20"/>
                <w:szCs w:val="20"/>
                <w:color w:val="auto"/>
              </w:rPr>
            </w:pPr>
            <w:r>
              <w:rPr>
                <w:rFonts w:ascii="Arial" w:cs="Arial" w:eastAsia="Arial" w:hAnsi="Arial"/>
                <w:sz w:val="14"/>
                <w:szCs w:val="14"/>
                <w:color w:val="auto"/>
              </w:rPr>
              <w:t>Three months ended April 30,</w:t>
            </w:r>
          </w:p>
        </w:tc>
        <w:tc>
          <w:tcPr>
            <w:tcW w:w="140" w:type="dxa"/>
            <w:vAlign w:val="bottom"/>
          </w:tcPr>
          <w:p>
            <w:pPr>
              <w:spacing w:after="0"/>
              <w:rPr>
                <w:sz w:val="15"/>
                <w:szCs w:val="15"/>
                <w:color w:val="auto"/>
              </w:rPr>
            </w:pPr>
          </w:p>
        </w:tc>
        <w:tc>
          <w:tcPr>
            <w:tcW w:w="1860" w:type="dxa"/>
            <w:vAlign w:val="bottom"/>
            <w:gridSpan w:val="4"/>
          </w:tcPr>
          <w:p>
            <w:pPr>
              <w:jc w:val="right"/>
              <w:ind w:right="68"/>
              <w:spacing w:after="0"/>
              <w:rPr>
                <w:sz w:val="20"/>
                <w:szCs w:val="20"/>
                <w:color w:val="auto"/>
              </w:rPr>
            </w:pPr>
            <w:r>
              <w:rPr>
                <w:rFonts w:ascii="Arial" w:cs="Arial" w:eastAsia="Arial" w:hAnsi="Arial"/>
                <w:sz w:val="14"/>
                <w:szCs w:val="14"/>
                <w:color w:val="auto"/>
                <w:w w:val="96"/>
              </w:rPr>
              <w:t>Nine months ended April 30,</w:t>
            </w:r>
          </w:p>
        </w:tc>
        <w:tc>
          <w:tcPr>
            <w:tcW w:w="0" w:type="dxa"/>
            <w:vAlign w:val="bottom"/>
          </w:tcPr>
          <w:p>
            <w:pPr>
              <w:spacing w:after="0"/>
              <w:rPr>
                <w:sz w:val="1"/>
                <w:szCs w:val="1"/>
                <w:color w:val="auto"/>
              </w:rPr>
            </w:pPr>
          </w:p>
        </w:tc>
      </w:tr>
      <w:tr>
        <w:trPr>
          <w:trHeight w:val="30"/>
        </w:trPr>
        <w:tc>
          <w:tcPr>
            <w:tcW w:w="43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30"/>
        </w:trPr>
        <w:tc>
          <w:tcPr>
            <w:tcW w:w="4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Taxes on Continuing Operations (GAAP measure)</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16,347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17,077</w:t>
            </w:r>
          </w:p>
        </w:tc>
        <w:tc>
          <w:tcPr>
            <w:tcW w:w="0" w:type="dxa"/>
            <w:vAlign w:val="bottom"/>
          </w:tcPr>
          <w:p>
            <w:pPr>
              <w:spacing w:after="0"/>
              <w:rPr>
                <w:sz w:val="1"/>
                <w:szCs w:val="1"/>
                <w:color w:val="auto"/>
              </w:rPr>
            </w:pPr>
          </w:p>
        </w:tc>
      </w:tr>
      <w:tr>
        <w:trPr>
          <w:trHeight w:val="211"/>
        </w:trPr>
        <w:tc>
          <w:tcPr>
            <w:tcW w:w="438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4,584</w:t>
            </w:r>
          </w:p>
        </w:tc>
        <w:tc>
          <w:tcPr>
            <w:tcW w:w="0" w:type="dxa"/>
            <w:vAlign w:val="bottom"/>
          </w:tcPr>
          <w:p>
            <w:pPr>
              <w:spacing w:after="0"/>
              <w:rPr>
                <w:sz w:val="1"/>
                <w:szCs w:val="1"/>
                <w:color w:val="auto"/>
              </w:rPr>
            </w:pPr>
          </w:p>
        </w:tc>
      </w:tr>
      <w:tr>
        <w:trPr>
          <w:trHeight w:val="30"/>
        </w:trPr>
        <w:tc>
          <w:tcPr>
            <w:tcW w:w="4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38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Postretirement benefit plan curtailment gain</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Income Taxes on Continuing Operations Excluding Certain Items</w:t>
            </w: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5,135</w:t>
            </w:r>
          </w:p>
        </w:tc>
        <w:tc>
          <w:tcPr>
            <w:tcW w:w="1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5,042</w:t>
            </w:r>
          </w:p>
        </w:tc>
        <w:tc>
          <w:tcPr>
            <w:tcW w:w="100" w:type="dxa"/>
            <w:vAlign w:val="bottom"/>
          </w:tcPr>
          <w:p>
            <w:pPr>
              <w:spacing w:after="0"/>
              <w:rPr>
                <w:sz w:val="15"/>
                <w:szCs w:val="15"/>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19,249</w:t>
            </w:r>
          </w:p>
        </w:tc>
        <w:tc>
          <w:tcPr>
            <w:tcW w:w="10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21,661</w:t>
            </w:r>
          </w:p>
        </w:tc>
        <w:tc>
          <w:tcPr>
            <w:tcW w:w="0" w:type="dxa"/>
            <w:vAlign w:val="bottom"/>
          </w:tcPr>
          <w:p>
            <w:pPr>
              <w:spacing w:after="0"/>
              <w:rPr>
                <w:sz w:val="1"/>
                <w:szCs w:val="1"/>
                <w:color w:val="auto"/>
              </w:rPr>
            </w:pPr>
          </w:p>
        </w:tc>
      </w:tr>
      <w:tr>
        <w:trPr>
          <w:trHeight w:val="202"/>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(non-GAAP measure)</w:t>
            </w:r>
          </w:p>
        </w:tc>
        <w:tc>
          <w:tcPr>
            <w:tcW w:w="1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8"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Net Earnings from Continuing Operations Excluding Certain Items:</w:t>
      </w:r>
    </w:p>
    <w:p>
      <w:pPr>
        <w:spacing w:after="0" w:line="72" w:lineRule="exact"/>
        <w:rPr>
          <w:sz w:val="20"/>
          <w:szCs w:val="20"/>
          <w:color w:val="auto"/>
        </w:rPr>
      </w:pPr>
    </w:p>
    <w:p>
      <w:pPr>
        <w:jc w:val="both"/>
        <w:ind w:left="60" w:right="1579"/>
        <w:spacing w:after="0" w:line="303" w:lineRule="auto"/>
        <w:rPr>
          <w:sz w:val="20"/>
          <w:szCs w:val="20"/>
          <w:color w:val="auto"/>
        </w:rPr>
      </w:pPr>
      <w:r>
        <w:rPr>
          <w:rFonts w:ascii="Arial" w:cs="Arial" w:eastAsia="Arial" w:hAnsi="Arial"/>
          <w:sz w:val="13"/>
          <w:szCs w:val="13"/>
          <w:color w:val="auto"/>
        </w:rPr>
        <w:t>Brady is presenting the Non-GAAP measure "Net Earnings from Continuing Operations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Net Earnings from Continuing Operations to Net Earnings from Continuing Operations Excluding Certain Items:</w:t>
      </w:r>
    </w:p>
    <w:p>
      <w:pPr>
        <w:spacing w:after="0" w:line="200" w:lineRule="exact"/>
        <w:rPr>
          <w:sz w:val="20"/>
          <w:szCs w:val="20"/>
          <w:color w:val="auto"/>
        </w:rPr>
      </w:pP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4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20" w:type="dxa"/>
            <w:vAlign w:val="bottom"/>
            <w:gridSpan w:val="5"/>
          </w:tcPr>
          <w:p>
            <w:pPr>
              <w:ind w:left="60"/>
              <w:spacing w:after="0"/>
              <w:rPr>
                <w:sz w:val="20"/>
                <w:szCs w:val="20"/>
                <w:color w:val="auto"/>
              </w:rPr>
            </w:pPr>
            <w:r>
              <w:rPr>
                <w:rFonts w:ascii="Arial" w:cs="Arial" w:eastAsia="Arial" w:hAnsi="Arial"/>
                <w:sz w:val="14"/>
                <w:szCs w:val="14"/>
                <w:color w:val="auto"/>
              </w:rPr>
              <w:t>Three months ended April 30,</w:t>
            </w:r>
          </w:p>
        </w:tc>
        <w:tc>
          <w:tcPr>
            <w:tcW w:w="180" w:type="dxa"/>
            <w:vAlign w:val="bottom"/>
          </w:tcPr>
          <w:p>
            <w:pPr>
              <w:spacing w:after="0"/>
              <w:rPr>
                <w:sz w:val="15"/>
                <w:szCs w:val="15"/>
                <w:color w:val="auto"/>
              </w:rPr>
            </w:pPr>
          </w:p>
        </w:tc>
        <w:tc>
          <w:tcPr>
            <w:tcW w:w="2000" w:type="dxa"/>
            <w:vAlign w:val="bottom"/>
            <w:gridSpan w:val="4"/>
          </w:tcPr>
          <w:p>
            <w:pPr>
              <w:jc w:val="right"/>
              <w:ind w:right="168"/>
              <w:spacing w:after="0"/>
              <w:rPr>
                <w:sz w:val="20"/>
                <w:szCs w:val="20"/>
                <w:color w:val="auto"/>
              </w:rPr>
            </w:pPr>
            <w:r>
              <w:rPr>
                <w:rFonts w:ascii="Arial" w:cs="Arial" w:eastAsia="Arial" w:hAnsi="Arial"/>
                <w:sz w:val="14"/>
                <w:szCs w:val="14"/>
                <w:color w:val="auto"/>
                <w:w w:val="98"/>
              </w:rPr>
              <w:t>Nine months ended April 30,</w:t>
            </w:r>
          </w:p>
        </w:tc>
        <w:tc>
          <w:tcPr>
            <w:tcW w:w="0" w:type="dxa"/>
            <w:vAlign w:val="bottom"/>
          </w:tcPr>
          <w:p>
            <w:pPr>
              <w:spacing w:after="0"/>
              <w:rPr>
                <w:sz w:val="1"/>
                <w:szCs w:val="1"/>
                <w:color w:val="auto"/>
              </w:rPr>
            </w:pPr>
          </w:p>
        </w:tc>
      </w:tr>
      <w:tr>
        <w:trPr>
          <w:trHeight w:val="30"/>
        </w:trPr>
        <w:tc>
          <w:tcPr>
            <w:tcW w:w="4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0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color w:val="auto"/>
              </w:rPr>
              <w:t>2015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8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30"/>
        </w:trPr>
        <w:tc>
          <w:tcPr>
            <w:tcW w:w="4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 Operations (GAAP measure)</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17,213</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20,184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44,296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48,835</w:t>
            </w:r>
          </w:p>
        </w:tc>
        <w:tc>
          <w:tcPr>
            <w:tcW w:w="0" w:type="dxa"/>
            <w:vAlign w:val="bottom"/>
          </w:tcPr>
          <w:p>
            <w:pPr>
              <w:spacing w:after="0"/>
              <w:rPr>
                <w:sz w:val="1"/>
                <w:szCs w:val="1"/>
                <w:color w:val="auto"/>
              </w:rPr>
            </w:pPr>
          </w:p>
        </w:tc>
      </w:tr>
      <w:tr>
        <w:trPr>
          <w:trHeight w:val="211"/>
        </w:trPr>
        <w:tc>
          <w:tcPr>
            <w:tcW w:w="4140" w:type="dxa"/>
            <w:vAlign w:val="bottom"/>
          </w:tcPr>
          <w:p>
            <w:pPr>
              <w:ind w:left="400"/>
              <w:spacing w:after="0"/>
              <w:rPr>
                <w:sz w:val="20"/>
                <w:szCs w:val="20"/>
                <w:color w:val="auto"/>
              </w:rPr>
            </w:pPr>
            <w:r>
              <w:rPr>
                <w:rFonts w:ascii="Arial" w:cs="Arial" w:eastAsia="Arial" w:hAnsi="Arial"/>
                <w:sz w:val="14"/>
                <w:szCs w:val="14"/>
                <w:color w:val="auto"/>
              </w:rPr>
              <w:t>Restructuring charges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9,585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9,618</w:t>
            </w:r>
          </w:p>
        </w:tc>
        <w:tc>
          <w:tcPr>
            <w:tcW w:w="0" w:type="dxa"/>
            <w:vAlign w:val="bottom"/>
          </w:tcPr>
          <w:p>
            <w:pPr>
              <w:spacing w:after="0"/>
              <w:rPr>
                <w:sz w:val="1"/>
                <w:szCs w:val="1"/>
                <w:color w:val="auto"/>
              </w:rPr>
            </w:pPr>
          </w:p>
        </w:tc>
      </w:tr>
      <w:tr>
        <w:trPr>
          <w:trHeight w:val="30"/>
        </w:trPr>
        <w:tc>
          <w:tcPr>
            <w:tcW w:w="4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41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Postretirement benefit plan curtailment gain</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Net Earnings from Continuing Operations Excluding Certain</w:t>
            </w: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17,619</w:t>
            </w:r>
          </w:p>
        </w:tc>
        <w:tc>
          <w:tcPr>
            <w:tcW w:w="100" w:type="dxa"/>
            <w:vAlign w:val="bottom"/>
          </w:tcPr>
          <w:p>
            <w:pPr>
              <w:spacing w:after="0"/>
              <w:rPr>
                <w:sz w:val="15"/>
                <w:szCs w:val="15"/>
                <w:color w:val="auto"/>
              </w:rPr>
            </w:pPr>
          </w:p>
        </w:tc>
        <w:tc>
          <w:tcPr>
            <w:tcW w:w="2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22,255</w:t>
            </w:r>
          </w:p>
        </w:tc>
        <w:tc>
          <w:tcPr>
            <w:tcW w:w="100" w:type="dxa"/>
            <w:vAlign w:val="bottom"/>
          </w:tcPr>
          <w:p>
            <w:pPr>
              <w:spacing w:after="0"/>
              <w:rPr>
                <w:sz w:val="15"/>
                <w:szCs w:val="15"/>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51,089</w:t>
            </w:r>
          </w:p>
        </w:tc>
        <w:tc>
          <w:tcPr>
            <w:tcW w:w="100" w:type="dxa"/>
            <w:vAlign w:val="bottom"/>
          </w:tcPr>
          <w:p>
            <w:pPr>
              <w:spacing w:after="0"/>
              <w:rPr>
                <w:sz w:val="15"/>
                <w:szCs w:val="15"/>
                <w:color w:val="auto"/>
              </w:rPr>
            </w:pPr>
          </w:p>
        </w:tc>
        <w:tc>
          <w:tcPr>
            <w:tcW w:w="22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58,453</w:t>
            </w:r>
          </w:p>
        </w:tc>
        <w:tc>
          <w:tcPr>
            <w:tcW w:w="0" w:type="dxa"/>
            <w:vAlign w:val="bottom"/>
          </w:tcPr>
          <w:p>
            <w:pPr>
              <w:spacing w:after="0"/>
              <w:rPr>
                <w:sz w:val="1"/>
                <w:szCs w:val="1"/>
                <w:color w:val="auto"/>
              </w:rPr>
            </w:pPr>
          </w:p>
        </w:tc>
      </w:tr>
      <w:tr>
        <w:trPr>
          <w:trHeight w:val="202"/>
        </w:trPr>
        <w:tc>
          <w:tcPr>
            <w:tcW w:w="4140" w:type="dxa"/>
            <w:vAlign w:val="bottom"/>
          </w:tcPr>
          <w:p>
            <w:pPr>
              <w:ind w:left="20"/>
              <w:spacing w:after="0"/>
              <w:rPr>
                <w:sz w:val="20"/>
                <w:szCs w:val="20"/>
                <w:color w:val="auto"/>
              </w:rPr>
            </w:pPr>
            <w:r>
              <w:rPr>
                <w:rFonts w:ascii="Arial" w:cs="Arial" w:eastAsia="Arial" w:hAnsi="Arial"/>
                <w:sz w:val="14"/>
                <w:szCs w:val="14"/>
                <w:b w:val="1"/>
                <w:bCs w:val="1"/>
                <w:color w:val="auto"/>
              </w:rPr>
              <w:t>Items (non-GAAP measure)</w:t>
            </w:r>
          </w:p>
        </w:tc>
        <w:tc>
          <w:tcPr>
            <w:tcW w:w="1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706" w:right="1440"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NON-GAAP MEASURES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(Unaudited; Dollars in Thousands, Except Per Share Amounts)</w:t>
      </w:r>
    </w:p>
    <w:p>
      <w:pPr>
        <w:spacing w:after="0" w:line="33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Net Earnings from Continuing Operations Per Diluted Class A Nonvoting Common Share Excluding Certain Items:</w:t>
      </w:r>
    </w:p>
    <w:p>
      <w:pPr>
        <w:spacing w:after="0" w:line="72" w:lineRule="exact"/>
        <w:rPr>
          <w:sz w:val="20"/>
          <w:szCs w:val="20"/>
          <w:color w:val="auto"/>
        </w:rPr>
      </w:pPr>
    </w:p>
    <w:p>
      <w:pPr>
        <w:jc w:val="both"/>
        <w:ind w:left="20" w:right="1559"/>
        <w:spacing w:after="0" w:line="301" w:lineRule="auto"/>
        <w:rPr>
          <w:sz w:val="20"/>
          <w:szCs w:val="20"/>
          <w:color w:val="auto"/>
        </w:rPr>
      </w:pPr>
      <w:r>
        <w:rPr>
          <w:rFonts w:ascii="Arial" w:cs="Arial" w:eastAsia="Arial" w:hAnsi="Arial"/>
          <w:sz w:val="13"/>
          <w:szCs w:val="13"/>
          <w:color w:val="auto"/>
        </w:rPr>
        <w:t>Brady is presenting the Non-GAAP measure "Net Earnings from Continuing Operations Per Diluted Class A Nonvoting Common Share Excluding Certain Items." This is not a calculation based upon GAAP. The amounts included in this Non-GAAP measure are derived from amounts included in the Consolidated Financial Statements and supporting footnote disclosures. We do not view these items to be part of our sustainable results. We believe this measure provides an important perspective of underlying business trends and results and provides a more comparable measure from year to year. The table below provides a reconciliation of Net Earnings from Continuing Operations Per Diluted Class A Nonvoting Common Share to Net Earnings from Continuing Operations Per Diluted Class A Nonvoting Common Share Excluding Certain Items: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60" w:type="dxa"/>
            <w:vAlign w:val="bottom"/>
          </w:tcPr>
          <w:p>
            <w:pPr>
              <w:spacing w:after="0"/>
              <w:rPr>
                <w:sz w:val="15"/>
                <w:szCs w:val="15"/>
                <w:color w:val="auto"/>
              </w:rPr>
            </w:pPr>
          </w:p>
        </w:tc>
        <w:tc>
          <w:tcPr>
            <w:tcW w:w="2920" w:type="dxa"/>
            <w:vAlign w:val="bottom"/>
            <w:gridSpan w:val="4"/>
          </w:tcPr>
          <w:p>
            <w:pPr>
              <w:jc w:val="right"/>
              <w:ind w:right="248"/>
              <w:spacing w:after="0"/>
              <w:rPr>
                <w:sz w:val="20"/>
                <w:szCs w:val="20"/>
                <w:color w:val="auto"/>
              </w:rPr>
            </w:pPr>
            <w:r>
              <w:rPr>
                <w:rFonts w:ascii="Arial" w:cs="Arial" w:eastAsia="Arial" w:hAnsi="Arial"/>
                <w:sz w:val="14"/>
                <w:szCs w:val="14"/>
                <w:color w:val="auto"/>
              </w:rPr>
              <w:t>Three Months Ended April 30,</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4"/>
          </w:tcPr>
          <w:p>
            <w:pPr>
              <w:jc w:val="right"/>
              <w:ind w:right="368"/>
              <w:spacing w:after="0"/>
              <w:rPr>
                <w:sz w:val="20"/>
                <w:szCs w:val="20"/>
                <w:color w:val="auto"/>
              </w:rPr>
            </w:pPr>
            <w:r>
              <w:rPr>
                <w:rFonts w:ascii="Arial" w:cs="Arial" w:eastAsia="Arial" w:hAnsi="Arial"/>
                <w:sz w:val="14"/>
                <w:szCs w:val="14"/>
                <w:color w:val="auto"/>
              </w:rPr>
              <w:t>Nine Months Ended April 30,</w:t>
            </w:r>
          </w:p>
        </w:tc>
        <w:tc>
          <w:tcPr>
            <w:tcW w:w="0" w:type="dxa"/>
            <w:vAlign w:val="bottom"/>
          </w:tcPr>
          <w:p>
            <w:pPr>
              <w:spacing w:after="0"/>
              <w:rPr>
                <w:sz w:val="1"/>
                <w:szCs w:val="1"/>
                <w:color w:val="auto"/>
              </w:rPr>
            </w:pPr>
          </w:p>
        </w:tc>
      </w:tr>
      <w:tr>
        <w:trPr>
          <w:trHeight w:val="30"/>
        </w:trPr>
        <w:tc>
          <w:tcPr>
            <w:tcW w:w="25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560" w:type="dxa"/>
            <w:vAlign w:val="bottom"/>
          </w:tcPr>
          <w:p>
            <w:pPr>
              <w:spacing w:after="0"/>
              <w:rPr>
                <w:sz w:val="17"/>
                <w:szCs w:val="17"/>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2015</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2014</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jc w:val="right"/>
              <w:ind w:right="428"/>
              <w:spacing w:after="0"/>
              <w:rPr>
                <w:sz w:val="20"/>
                <w:szCs w:val="20"/>
                <w:color w:val="auto"/>
              </w:rPr>
            </w:pPr>
            <w:r>
              <w:rPr>
                <w:rFonts w:ascii="Arial" w:cs="Arial" w:eastAsia="Arial" w:hAnsi="Arial"/>
                <w:sz w:val="14"/>
                <w:szCs w:val="14"/>
                <w:color w:val="auto"/>
              </w:rPr>
              <w:t>2015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color w:val="auto"/>
              </w:rPr>
              <w:t>2014</w:t>
            </w:r>
          </w:p>
        </w:tc>
        <w:tc>
          <w:tcPr>
            <w:tcW w:w="0" w:type="dxa"/>
            <w:vAlign w:val="bottom"/>
          </w:tcPr>
          <w:p>
            <w:pPr>
              <w:spacing w:after="0"/>
              <w:rPr>
                <w:sz w:val="1"/>
                <w:szCs w:val="1"/>
                <w:color w:val="auto"/>
              </w:rPr>
            </w:pPr>
          </w:p>
        </w:tc>
      </w:tr>
      <w:tr>
        <w:trPr>
          <w:trHeight w:val="30"/>
        </w:trPr>
        <w:tc>
          <w:tcPr>
            <w:tcW w:w="25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Earnings from Continuing</w:t>
            </w:r>
          </w:p>
        </w:tc>
        <w:tc>
          <w:tcPr>
            <w:tcW w:w="1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Operations Per Diluted Class A</w:t>
            </w:r>
          </w:p>
        </w:tc>
        <w:tc>
          <w:tcPr>
            <w:tcW w:w="1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Nonvoting Common Share (GAAP</w:t>
            </w:r>
          </w:p>
        </w:tc>
        <w:tc>
          <w:tcPr>
            <w:tcW w:w="1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measure)</w:t>
            </w:r>
          </w:p>
        </w:tc>
        <w:tc>
          <w:tcPr>
            <w:tcW w:w="1140" w:type="dxa"/>
            <w:vAlign w:val="bottom"/>
            <w:tcBorders>
              <w:bottom w:val="single" w:sz="8" w:color="CCEEFF"/>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0.33</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0.86</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0.93</w:t>
            </w:r>
          </w:p>
        </w:tc>
        <w:tc>
          <w:tcPr>
            <w:tcW w:w="0" w:type="dxa"/>
            <w:vAlign w:val="bottom"/>
          </w:tcPr>
          <w:p>
            <w:pPr>
              <w:spacing w:after="0"/>
              <w:rPr>
                <w:sz w:val="1"/>
                <w:szCs w:val="1"/>
                <w:color w:val="auto"/>
              </w:rPr>
            </w:pPr>
          </w:p>
        </w:tc>
      </w:tr>
      <w:tr>
        <w:trPr>
          <w:trHeight w:val="211"/>
        </w:trPr>
        <w:tc>
          <w:tcPr>
            <w:tcW w:w="2560" w:type="dxa"/>
            <w:vAlign w:val="bottom"/>
          </w:tcPr>
          <w:p>
            <w:pPr>
              <w:ind w:left="380"/>
              <w:spacing w:after="0"/>
              <w:rPr>
                <w:sz w:val="20"/>
                <w:szCs w:val="20"/>
                <w:color w:val="auto"/>
              </w:rPr>
            </w:pPr>
            <w:r>
              <w:rPr>
                <w:rFonts w:ascii="Arial" w:cs="Arial" w:eastAsia="Arial" w:hAnsi="Arial"/>
                <w:sz w:val="14"/>
                <w:szCs w:val="14"/>
                <w:color w:val="auto"/>
              </w:rPr>
              <w:t>Restructuring charges</w:t>
            </w:r>
          </w:p>
        </w:tc>
        <w:tc>
          <w:tcPr>
            <w:tcW w:w="1140" w:type="dxa"/>
            <w:vAlign w:val="bottom"/>
          </w:tcPr>
          <w:p>
            <w:pPr>
              <w:spacing w:after="0"/>
              <w:rPr>
                <w:sz w:val="18"/>
                <w:szCs w:val="18"/>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0.06</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0.19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0.18</w:t>
            </w:r>
          </w:p>
        </w:tc>
        <w:tc>
          <w:tcPr>
            <w:tcW w:w="0" w:type="dxa"/>
            <w:vAlign w:val="bottom"/>
          </w:tcPr>
          <w:p>
            <w:pPr>
              <w:spacing w:after="0"/>
              <w:rPr>
                <w:sz w:val="1"/>
                <w:szCs w:val="1"/>
                <w:color w:val="auto"/>
              </w:rPr>
            </w:pPr>
          </w:p>
        </w:tc>
      </w:tr>
      <w:tr>
        <w:trPr>
          <w:trHeight w:val="30"/>
        </w:trPr>
        <w:tc>
          <w:tcPr>
            <w:tcW w:w="25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5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Postretirement benefit plan</w:t>
            </w:r>
          </w:p>
        </w:tc>
        <w:tc>
          <w:tcPr>
            <w:tcW w:w="1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curtailment gain</w:t>
            </w:r>
          </w:p>
        </w:tc>
        <w:tc>
          <w:tcPr>
            <w:tcW w:w="1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8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2560" w:type="dxa"/>
            <w:vAlign w:val="bottom"/>
          </w:tcPr>
          <w:p>
            <w:pPr>
              <w:ind w:left="20"/>
              <w:spacing w:after="0"/>
              <w:rPr>
                <w:sz w:val="20"/>
                <w:szCs w:val="20"/>
                <w:color w:val="auto"/>
              </w:rPr>
            </w:pPr>
            <w:r>
              <w:rPr>
                <w:rFonts w:ascii="Arial" w:cs="Arial" w:eastAsia="Arial" w:hAnsi="Arial"/>
                <w:sz w:val="14"/>
                <w:szCs w:val="14"/>
                <w:b w:val="1"/>
                <w:bCs w:val="1"/>
                <w:color w:val="auto"/>
              </w:rPr>
              <w:t>Net Earnings from Continuing</w:t>
            </w:r>
          </w:p>
        </w:tc>
        <w:tc>
          <w:tcPr>
            <w:tcW w:w="114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60" w:type="dxa"/>
            <w:vAlign w:val="bottom"/>
          </w:tcPr>
          <w:p>
            <w:pPr>
              <w:ind w:left="20"/>
              <w:spacing w:after="0"/>
              <w:rPr>
                <w:sz w:val="20"/>
                <w:szCs w:val="20"/>
                <w:color w:val="auto"/>
              </w:rPr>
            </w:pPr>
            <w:r>
              <w:rPr>
                <w:rFonts w:ascii="Arial" w:cs="Arial" w:eastAsia="Arial" w:hAnsi="Arial"/>
                <w:sz w:val="14"/>
                <w:szCs w:val="14"/>
                <w:b w:val="1"/>
                <w:bCs w:val="1"/>
                <w:color w:val="auto"/>
              </w:rPr>
              <w:t>Operations Per Diluted Class A</w:t>
            </w: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60" w:type="dxa"/>
            <w:vAlign w:val="bottom"/>
          </w:tcPr>
          <w:p>
            <w:pPr>
              <w:ind w:left="20"/>
              <w:spacing w:after="0"/>
              <w:rPr>
                <w:sz w:val="20"/>
                <w:szCs w:val="20"/>
                <w:color w:val="auto"/>
              </w:rPr>
            </w:pPr>
            <w:r>
              <w:rPr>
                <w:rFonts w:ascii="Arial" w:cs="Arial" w:eastAsia="Arial" w:hAnsi="Arial"/>
                <w:sz w:val="14"/>
                <w:szCs w:val="14"/>
                <w:b w:val="1"/>
                <w:bCs w:val="1"/>
                <w:color w:val="auto"/>
              </w:rPr>
              <w:t>Nonvoting Common Share Excluding</w:t>
            </w:r>
          </w:p>
        </w:tc>
        <w:tc>
          <w:tcPr>
            <w:tcW w:w="1140" w:type="dxa"/>
            <w:vAlign w:val="bottom"/>
            <w:vMerge w:val="restart"/>
          </w:tcPr>
          <w:p>
            <w:pPr>
              <w:jc w:val="right"/>
              <w:ind w:right="968"/>
              <w:spacing w:after="0"/>
              <w:rPr>
                <w:sz w:val="20"/>
                <w:szCs w:val="20"/>
                <w:color w:val="auto"/>
              </w:rPr>
            </w:pPr>
            <w:r>
              <w:rPr>
                <w:rFonts w:ascii="Arial" w:cs="Arial" w:eastAsia="Arial" w:hAnsi="Arial"/>
                <w:sz w:val="14"/>
                <w:szCs w:val="14"/>
                <w:b w:val="1"/>
                <w:bCs w:val="1"/>
                <w:color w:val="auto"/>
              </w:rPr>
              <w:t>$</w:t>
            </w:r>
          </w:p>
        </w:tc>
        <w:tc>
          <w:tcPr>
            <w:tcW w:w="5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0.34</w:t>
            </w:r>
          </w:p>
        </w:tc>
        <w:tc>
          <w:tcPr>
            <w:tcW w:w="80" w:type="dxa"/>
            <w:vAlign w:val="bottom"/>
          </w:tcPr>
          <w:p>
            <w:pPr>
              <w:spacing w:after="0"/>
              <w:rPr>
                <w:sz w:val="15"/>
                <w:szCs w:val="15"/>
                <w:color w:val="auto"/>
              </w:rPr>
            </w:pPr>
          </w:p>
        </w:tc>
        <w:tc>
          <w:tcPr>
            <w:tcW w:w="1160" w:type="dxa"/>
            <w:vAlign w:val="bottom"/>
            <w:vMerge w:val="restart"/>
          </w:tcPr>
          <w:p>
            <w:pPr>
              <w:jc w:val="right"/>
              <w:ind w:right="988"/>
              <w:spacing w:after="0"/>
              <w:rPr>
                <w:sz w:val="20"/>
                <w:szCs w:val="20"/>
                <w:color w:val="auto"/>
              </w:rPr>
            </w:pPr>
            <w:r>
              <w:rPr>
                <w:rFonts w:ascii="Arial" w:cs="Arial" w:eastAsia="Arial" w:hAnsi="Arial"/>
                <w:sz w:val="14"/>
                <w:szCs w:val="14"/>
                <w:b w:val="1"/>
                <w:bCs w:val="1"/>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0.43</w:t>
            </w:r>
          </w:p>
        </w:tc>
        <w:tc>
          <w:tcPr>
            <w:tcW w:w="100" w:type="dxa"/>
            <w:vAlign w:val="bottom"/>
          </w:tcPr>
          <w:p>
            <w:pPr>
              <w:spacing w:after="0"/>
              <w:rPr>
                <w:sz w:val="15"/>
                <w:szCs w:val="15"/>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0.99</w:t>
            </w:r>
          </w:p>
        </w:tc>
        <w:tc>
          <w:tcPr>
            <w:tcW w:w="80" w:type="dxa"/>
            <w:vAlign w:val="bottom"/>
          </w:tcPr>
          <w:p>
            <w:pPr>
              <w:spacing w:after="0"/>
              <w:rPr>
                <w:sz w:val="15"/>
                <w:szCs w:val="15"/>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1.12</w:t>
            </w:r>
          </w:p>
        </w:tc>
        <w:tc>
          <w:tcPr>
            <w:tcW w:w="0" w:type="dxa"/>
            <w:vAlign w:val="bottom"/>
          </w:tcPr>
          <w:p>
            <w:pPr>
              <w:spacing w:after="0"/>
              <w:rPr>
                <w:sz w:val="1"/>
                <w:szCs w:val="1"/>
                <w:color w:val="auto"/>
              </w:rPr>
            </w:pPr>
          </w:p>
        </w:tc>
      </w:tr>
      <w:tr>
        <w:trPr>
          <w:trHeight w:val="202"/>
        </w:trPr>
        <w:tc>
          <w:tcPr>
            <w:tcW w:w="2560" w:type="dxa"/>
            <w:vAlign w:val="bottom"/>
          </w:tcPr>
          <w:p>
            <w:pPr>
              <w:ind w:left="20"/>
              <w:spacing w:after="0"/>
              <w:rPr>
                <w:sz w:val="20"/>
                <w:szCs w:val="20"/>
                <w:color w:val="auto"/>
              </w:rPr>
            </w:pPr>
            <w:r>
              <w:rPr>
                <w:rFonts w:ascii="Arial" w:cs="Arial" w:eastAsia="Arial" w:hAnsi="Arial"/>
                <w:sz w:val="14"/>
                <w:szCs w:val="14"/>
                <w:b w:val="1"/>
                <w:bCs w:val="1"/>
                <w:color w:val="auto"/>
              </w:rPr>
              <w:t>Certain Items (non-GAAP measure)</w:t>
            </w:r>
          </w:p>
        </w:tc>
        <w:tc>
          <w:tcPr>
            <w:tcW w:w="114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4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219"/>
          </w:cols>
          <w:pgMar w:left="240" w:top="899" w:right="1440"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556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55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2019-12-05T22:34:21Z</dcterms:created>
  <dcterms:modified xsi:type="dcterms:W3CDTF">2019-12-05T22:34:21Z</dcterms:modified>
</cp:coreProperties>
</file>