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February 20, 2007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BRADY CORPORATION</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Commission File Number 1-14959</w:t>
      </w:r>
    </w:p>
    <w:p>
      <w:pPr>
        <w:sectPr>
          <w:pgSz w:w="11900" w:h="16838" w:orient="portrait"/>
          <w:cols w:equalWidth="0" w:num="1">
            <w:col w:w="11420"/>
          </w:cols>
          <w:pgMar w:left="240" w:top="122" w:right="239" w:bottom="1440" w:gutter="0" w:footer="0" w:header="0"/>
        </w:sectPr>
      </w:pPr>
    </w:p>
    <w:p>
      <w:pPr>
        <w:spacing w:after="0" w:line="194"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Wisconsin</w:t>
      </w:r>
    </w:p>
    <w:p>
      <w:pPr>
        <w:jc w:val="center"/>
        <w:ind w:right="1240"/>
        <w:spacing w:after="0"/>
        <w:rPr>
          <w:sz w:val="20"/>
          <w:szCs w:val="20"/>
          <w:color w:val="auto"/>
        </w:rPr>
      </w:pPr>
      <w:r>
        <w:rPr>
          <w:rFonts w:ascii="Arial" w:cs="Arial" w:eastAsia="Arial" w:hAnsi="Arial"/>
          <w:sz w:val="17"/>
          <w:szCs w:val="17"/>
          <w:color w:val="auto"/>
        </w:rPr>
        <w:t>(State of Incorporation)</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39-0971239</w:t>
      </w: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111" w:lineRule="exact"/>
        <w:rPr>
          <w:sz w:val="20"/>
          <w:szCs w:val="20"/>
          <w:color w:val="auto"/>
        </w:rPr>
      </w:pPr>
    </w:p>
    <w:p>
      <w:pPr>
        <w:sectPr>
          <w:pgSz w:w="11900" w:h="16838" w:orient="portrait"/>
          <w:cols w:equalWidth="0" w:num="2">
            <w:col w:w="6680" w:space="720"/>
            <w:col w:w="4020"/>
          </w:cols>
          <w:pgMar w:left="240" w:top="122"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6555 West Good Hope Road</w:t>
      </w:r>
    </w:p>
    <w:p>
      <w:pPr>
        <w:jc w:val="center"/>
        <w:ind w:right="-19"/>
        <w:spacing w:after="0" w:line="234" w:lineRule="auto"/>
        <w:rPr>
          <w:sz w:val="20"/>
          <w:szCs w:val="20"/>
          <w:color w:val="auto"/>
        </w:rPr>
      </w:pPr>
      <w:r>
        <w:rPr>
          <w:rFonts w:ascii="Arial" w:cs="Arial" w:eastAsia="Arial" w:hAnsi="Arial"/>
          <w:sz w:val="18"/>
          <w:szCs w:val="18"/>
          <w:color w:val="auto"/>
        </w:rPr>
        <w:t>Milwaukee, Wisconsin 53223</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and Zip Code)</w:t>
      </w:r>
    </w:p>
    <w:p>
      <w:pPr>
        <w:spacing w:after="0" w:line="99" w:lineRule="exact"/>
        <w:rPr>
          <w:sz w:val="20"/>
          <w:szCs w:val="20"/>
          <w:color w:val="auto"/>
        </w:rPr>
      </w:pPr>
    </w:p>
    <w:p>
      <w:pPr>
        <w:ind w:left="5560" w:hanging="462"/>
        <w:spacing w:after="0"/>
        <w:tabs>
          <w:tab w:leader="none" w:pos="5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358-6600</w:t>
      </w:r>
    </w:p>
    <w:p>
      <w:pPr>
        <w:ind w:left="4400"/>
        <w:spacing w:after="0"/>
        <w:rPr>
          <w:rFonts w:ascii="Arial" w:cs="Arial" w:eastAsia="Arial" w:hAnsi="Arial"/>
          <w:sz w:val="18"/>
          <w:szCs w:val="18"/>
          <w:color w:val="auto"/>
        </w:rPr>
      </w:pPr>
      <w:r>
        <w:rPr>
          <w:rFonts w:ascii="Arial" w:cs="Arial" w:eastAsia="Arial" w:hAnsi="Arial"/>
          <w:sz w:val="18"/>
          <w:szCs w:val="18"/>
          <w:color w:val="auto"/>
        </w:rPr>
        <w:t>(Registrant’s Telephone Number)</w:t>
      </w:r>
    </w:p>
    <w:p>
      <w:pPr>
        <w:spacing w:after="0" w:line="10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24"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2.02 RESULTS OF OPERATIONS AND FINANCIAL CONDITION</w:t>
        </w:r>
      </w:hyperlink>
    </w:p>
    <w:p>
      <w:pPr>
        <w:spacing w:after="0"/>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Item 5.02(e) DEPARTURE OF DIRECTORS OR CERTAIN OFFICERS; ELECTION OF DIRECTORS;</w:t>
        </w:r>
      </w:hyperlink>
    </w:p>
    <w:p>
      <w:pPr>
        <w:spacing w:after="0" w:line="232"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APPOINTMENT OF CERTAIN OFFICERS; COMPENSATORY ARRANGEMENTS OF CERTAIN</w:t>
        </w:r>
      </w:hyperlink>
    </w:p>
    <w:p>
      <w:pPr>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OFFICERS</w:t>
        </w:r>
      </w:hyperlink>
    </w:p>
    <w:p>
      <w:pPr>
        <w:spacing w:after="0" w:line="231"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132715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00"/>
          </w:cols>
          <w:pgMar w:left="820" w:top="105" w:right="13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104"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On February 21, 2007, Brady Corporation issued a press release announcing its fiscal 2007 second quarter financial results. A copy of the press release is being furnished to the Securities and Exchange Commission as Exhibit 99 attached herewith and incorporated by reference.</w:t>
      </w:r>
    </w:p>
    <w:p>
      <w:pPr>
        <w:spacing w:after="0" w:line="89" w:lineRule="exact"/>
        <w:rPr>
          <w:sz w:val="20"/>
          <w:szCs w:val="20"/>
          <w:color w:val="auto"/>
        </w:rPr>
      </w:pPr>
    </w:p>
    <w:p>
      <w:pPr>
        <w:ind w:right="860"/>
        <w:spacing w:after="0" w:line="246" w:lineRule="auto"/>
        <w:rPr>
          <w:sz w:val="20"/>
          <w:szCs w:val="20"/>
          <w:color w:val="auto"/>
        </w:rPr>
      </w:pPr>
      <w:r>
        <w:rPr>
          <w:rFonts w:ascii="Arial" w:cs="Arial" w:eastAsia="Arial" w:hAnsi="Arial"/>
          <w:sz w:val="18"/>
          <w:szCs w:val="18"/>
          <w:color w:val="auto"/>
        </w:rPr>
        <w:t>Item 5.02(e) DEPARTURE OF DIRECTORS OR CERTAIN OFFICERS; ELECTION OF DIRECTORS; APPOINTMENT OF CERTAIN OFFICERS; COMPENSATORY ARRANGEMENTS OF CERTAIN OFFICERS.</w:t>
      </w:r>
    </w:p>
    <w:p>
      <w:pPr>
        <w:spacing w:after="0" w:line="8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On February 20, 2007, the Compensation Committee (“the Committee”) of the Board of Directors of Brady Corporation approved amendments to the Brady Corporation 1989, 1997, 2001, 2003, 2004, and 2006 Omnibus Incentive Stock Plans (the “Plans”). The amendments provide that in the event of any change in the Brady Corporation Class A Common Stock resulting from reorganization, recapitalization, stock split, stock dividend, merger, consolidation, rights offering or like transaction affecting the Class A Common Stock, the Committee shall proportionately and appropriately adjust: (a) the aggregate number and kind of shares authorized for issuance under the Plans; and (b) in the case of previously granted stock options, the option price and the number and kind of shares subject to the stock options, without any change in the aggregate purchase price to be paid for the stock options. The amendments became effective upon approval by the Compensation Committee.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furnished as an Exhibit to this Report.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20"/>
                <w:szCs w:val="20"/>
                <w:color w:val="auto"/>
              </w:rPr>
            </w:pPr>
            <w:r>
              <w:rPr>
                <w:rFonts w:ascii="Arial" w:cs="Arial" w:eastAsia="Arial" w:hAnsi="Arial"/>
                <w:sz w:val="14"/>
                <w:szCs w:val="14"/>
                <w:color w:val="auto"/>
              </w:rPr>
              <w:t>Exhibit No.</w:t>
            </w:r>
          </w:p>
        </w:tc>
        <w:tc>
          <w:tcPr>
            <w:tcW w:w="10480" w:type="dxa"/>
            <w:vAlign w:val="bottom"/>
          </w:tcPr>
          <w:p>
            <w:pPr>
              <w:ind w:left="4680"/>
              <w:spacing w:after="0"/>
              <w:rPr>
                <w:sz w:val="20"/>
                <w:szCs w:val="20"/>
                <w:color w:val="auto"/>
              </w:rPr>
            </w:pPr>
            <w:r>
              <w:rPr>
                <w:rFonts w:ascii="Arial" w:cs="Arial" w:eastAsia="Arial" w:hAnsi="Arial"/>
                <w:sz w:val="14"/>
                <w:szCs w:val="14"/>
                <w:color w:val="auto"/>
              </w:rPr>
              <w:t>Description of Exhibit</w:t>
            </w:r>
          </w:p>
        </w:tc>
      </w:tr>
      <w:tr>
        <w:trPr>
          <w:trHeight w:val="217"/>
        </w:trPr>
        <w:tc>
          <w:tcPr>
            <w:tcW w:w="940" w:type="dxa"/>
            <w:vAlign w:val="bottom"/>
          </w:tcPr>
          <w:p>
            <w:pPr>
              <w:spacing w:after="0"/>
              <w:rPr>
                <w:sz w:val="20"/>
                <w:szCs w:val="20"/>
                <w:color w:val="auto"/>
              </w:rPr>
            </w:pPr>
            <w:r>
              <w:rPr>
                <w:rFonts w:ascii="Arial" w:cs="Arial" w:eastAsia="Arial" w:hAnsi="Arial"/>
                <w:sz w:val="18"/>
                <w:szCs w:val="18"/>
                <w:color w:val="auto"/>
              </w:rPr>
              <w:t>99</w:t>
            </w:r>
          </w:p>
        </w:tc>
        <w:tc>
          <w:tcPr>
            <w:tcW w:w="10480" w:type="dxa"/>
            <w:vAlign w:val="bottom"/>
          </w:tcPr>
          <w:p>
            <w:pPr>
              <w:ind w:left="220"/>
              <w:spacing w:after="0"/>
              <w:rPr>
                <w:sz w:val="20"/>
                <w:szCs w:val="20"/>
                <w:color w:val="auto"/>
              </w:rPr>
            </w:pPr>
            <w:r>
              <w:rPr>
                <w:rFonts w:ascii="Arial" w:cs="Arial" w:eastAsia="Arial" w:hAnsi="Arial"/>
                <w:sz w:val="18"/>
                <w:szCs w:val="18"/>
                <w:color w:val="auto"/>
              </w:rPr>
              <w:t>Press Release of Brady Corporation, dated February 21, 2007.</w:t>
            </w:r>
          </w:p>
        </w:tc>
      </w:tr>
      <w:tr>
        <w:trPr>
          <w:trHeight w:val="605"/>
        </w:trPr>
        <w:tc>
          <w:tcPr>
            <w:tcW w:w="940" w:type="dxa"/>
            <w:vAlign w:val="bottom"/>
            <w:tcBorders>
              <w:bottom w:val="single" w:sz="8" w:color="808080"/>
            </w:tcBorders>
          </w:tcPr>
          <w:p>
            <w:pPr>
              <w:spacing w:after="0"/>
              <w:rPr>
                <w:sz w:val="24"/>
                <w:szCs w:val="24"/>
                <w:color w:val="auto"/>
              </w:rPr>
            </w:pPr>
          </w:p>
        </w:tc>
        <w:tc>
          <w:tcPr>
            <w:tcW w:w="10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SIGNATURE</w:t>
      </w:r>
    </w:p>
    <w:p>
      <w:pPr>
        <w:spacing w:after="0" w:line="10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BRADY CORPORATION</w:t>
      </w:r>
    </w:p>
    <w:p>
      <w:pPr>
        <w:spacing w:after="0" w:line="198"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February 23, 2007</w:t>
      </w:r>
      <w:r>
        <w:rPr>
          <w:sz w:val="20"/>
          <w:szCs w:val="20"/>
          <w:color w:val="auto"/>
        </w:rPr>
        <w:tab/>
      </w:r>
      <w:r>
        <w:rPr>
          <w:rFonts w:ascii="Arial" w:cs="Arial" w:eastAsia="Arial" w:hAnsi="Arial"/>
          <w:sz w:val="17"/>
          <w:szCs w:val="17"/>
          <w:color w:val="auto"/>
        </w:rPr>
        <w:t>/s/ David Mathieson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-1905</wp:posOffset>
            </wp:positionV>
            <wp:extent cx="26841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David Mathieson</w:t>
      </w:r>
    </w:p>
    <w:p>
      <w:pPr>
        <w:ind w:left="5500"/>
        <w:spacing w:after="0" w:line="234" w:lineRule="auto"/>
        <w:rPr>
          <w:sz w:val="20"/>
          <w:szCs w:val="20"/>
          <w:color w:val="auto"/>
        </w:rPr>
      </w:pPr>
      <w:r>
        <w:rPr>
          <w:rFonts w:ascii="Arial" w:cs="Arial" w:eastAsia="Arial" w:hAnsi="Arial"/>
          <w:sz w:val="18"/>
          <w:szCs w:val="18"/>
          <w:color w:val="auto"/>
        </w:rPr>
        <w:t>Vice President &amp;</w:t>
      </w:r>
    </w:p>
    <w:p>
      <w:pPr>
        <w:spacing w:after="0" w:line="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41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ind w:left="3900"/>
              <w:spacing w:after="0"/>
              <w:rPr>
                <w:sz w:val="20"/>
                <w:szCs w:val="20"/>
                <w:color w:val="auto"/>
              </w:rPr>
            </w:pPr>
            <w:r>
              <w:rPr>
                <w:rFonts w:ascii="Arial" w:cs="Arial" w:eastAsia="Arial" w:hAnsi="Arial"/>
                <w:sz w:val="18"/>
                <w:szCs w:val="18"/>
                <w:color w:val="auto"/>
              </w:rPr>
              <w:t>EXHIBIT INDEX</w:t>
            </w:r>
          </w:p>
        </w:tc>
      </w:tr>
      <w:tr>
        <w:trPr>
          <w:trHeight w:val="356"/>
        </w:trPr>
        <w:tc>
          <w:tcPr>
            <w:tcW w:w="920" w:type="dxa"/>
            <w:vAlign w:val="bottom"/>
          </w:tcPr>
          <w:p>
            <w:pPr>
              <w:spacing w:after="0"/>
              <w:rPr>
                <w:sz w:val="20"/>
                <w:szCs w:val="20"/>
                <w:color w:val="auto"/>
              </w:rPr>
            </w:pPr>
            <w:r>
              <w:rPr>
                <w:rFonts w:ascii="Arial" w:cs="Arial" w:eastAsia="Arial" w:hAnsi="Arial"/>
                <w:sz w:val="14"/>
                <w:szCs w:val="14"/>
                <w:color w:val="auto"/>
              </w:rPr>
              <w:t>EXHIBIT</w:t>
            </w:r>
          </w:p>
        </w:tc>
        <w:tc>
          <w:tcPr>
            <w:tcW w:w="240" w:type="dxa"/>
            <w:vAlign w:val="bottom"/>
          </w:tcPr>
          <w:p>
            <w:pPr>
              <w:spacing w:after="0"/>
              <w:rPr>
                <w:sz w:val="24"/>
                <w:szCs w:val="24"/>
                <w:color w:val="auto"/>
              </w:rPr>
            </w:pPr>
          </w:p>
        </w:tc>
        <w:tc>
          <w:tcPr>
            <w:tcW w:w="10260" w:type="dxa"/>
            <w:vAlign w:val="bottom"/>
          </w:tcPr>
          <w:p>
            <w:pPr>
              <w:spacing w:after="0"/>
              <w:rPr>
                <w:sz w:val="24"/>
                <w:szCs w:val="24"/>
                <w:color w:val="auto"/>
              </w:rPr>
            </w:pPr>
          </w:p>
        </w:tc>
      </w:tr>
      <w:tr>
        <w:trPr>
          <w:trHeight w:val="157"/>
        </w:trPr>
        <w:tc>
          <w:tcPr>
            <w:tcW w:w="9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NUMBER</w:t>
            </w:r>
          </w:p>
        </w:tc>
        <w:tc>
          <w:tcPr>
            <w:tcW w:w="240" w:type="dxa"/>
            <w:vAlign w:val="bottom"/>
          </w:tcPr>
          <w:p>
            <w:pPr>
              <w:spacing w:after="0"/>
              <w:rPr>
                <w:sz w:val="13"/>
                <w:szCs w:val="13"/>
                <w:color w:val="auto"/>
              </w:rPr>
            </w:pPr>
          </w:p>
        </w:tc>
        <w:tc>
          <w:tcPr>
            <w:tcW w:w="10260" w:type="dxa"/>
            <w:vAlign w:val="bottom"/>
            <w:tcBorders>
              <w:bottom w:val="single" w:sz="8" w:color="auto"/>
            </w:tcBorders>
          </w:tcPr>
          <w:p>
            <w:pPr>
              <w:ind w:left="4640"/>
              <w:spacing w:after="0" w:line="157" w:lineRule="exact"/>
              <w:rPr>
                <w:sz w:val="20"/>
                <w:szCs w:val="20"/>
                <w:color w:val="auto"/>
              </w:rPr>
            </w:pPr>
            <w:r>
              <w:rPr>
                <w:rFonts w:ascii="Arial" w:cs="Arial" w:eastAsia="Arial" w:hAnsi="Arial"/>
                <w:sz w:val="14"/>
                <w:szCs w:val="14"/>
                <w:color w:val="auto"/>
              </w:rPr>
              <w:t>DESCRIPTION</w:t>
            </w:r>
          </w:p>
        </w:tc>
      </w:tr>
      <w:tr>
        <w:trPr>
          <w:trHeight w:val="210"/>
        </w:trPr>
        <w:tc>
          <w:tcPr>
            <w:tcW w:w="920" w:type="dxa"/>
            <w:vAlign w:val="bottom"/>
          </w:tcPr>
          <w:p>
            <w:pPr>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Press Release of Brady Corporation dated February 21, 2007.</w:t>
            </w:r>
          </w:p>
        </w:tc>
      </w:tr>
    </w:tbl>
    <w:p>
      <w:pPr>
        <w:sectPr>
          <w:pgSz w:w="11900" w:h="16838" w:orient="portrait"/>
          <w:cols w:equalWidth="0" w:num="1">
            <w:col w:w="11420"/>
          </w:cols>
          <w:pgMar w:left="240" w:top="419" w:right="2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color w:val="auto"/>
        </w:rPr>
        <w:t>EXHIBIT 99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p>
    <w:p>
      <w:pPr>
        <w:spacing w:after="0" w:line="234" w:lineRule="auto"/>
        <w:rPr>
          <w:sz w:val="20"/>
          <w:szCs w:val="20"/>
          <w:color w:val="auto"/>
        </w:rPr>
      </w:pPr>
      <w:r>
        <w:rPr>
          <w:rFonts w:ascii="Arial" w:cs="Arial" w:eastAsia="Arial" w:hAnsi="Arial"/>
          <w:sz w:val="18"/>
          <w:szCs w:val="18"/>
          <w:color w:val="auto"/>
        </w:rPr>
        <w:t>Investor contact: Barbara Bolens 414-438-6940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Media contact: Carole Herbstreit 414-438-6882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Immediate Release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reports sales and net income for its fiscal 2007 second quarter</w:t>
      </w:r>
    </w:p>
    <w:p>
      <w:pPr>
        <w:spacing w:after="0" w:line="126"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MILWAUKEE (February 21, 2007)—Brady Corporation (NYSE: BRC), a world leader in identification solutions, reports sales and earnings for its second quarter ended January 31, 2007.</w:t>
      </w:r>
    </w:p>
    <w:p>
      <w:pPr>
        <w:spacing w:after="0" w:line="89" w:lineRule="exact"/>
        <w:rPr>
          <w:sz w:val="20"/>
          <w:szCs w:val="20"/>
          <w:color w:val="auto"/>
        </w:rPr>
      </w:pPr>
    </w:p>
    <w:p>
      <w:pPr>
        <w:ind w:firstLine="250"/>
        <w:spacing w:after="0"/>
        <w:rPr>
          <w:sz w:val="20"/>
          <w:szCs w:val="20"/>
          <w:color w:val="auto"/>
        </w:rPr>
      </w:pPr>
      <w:r>
        <w:rPr>
          <w:rFonts w:ascii="Arial" w:cs="Arial" w:eastAsia="Arial" w:hAnsi="Arial"/>
          <w:sz w:val="18"/>
          <w:szCs w:val="18"/>
          <w:color w:val="auto"/>
        </w:rPr>
        <w:t>Sales for the quarter were up 39.1 percent to $321.3 million, compared to $231.0 million in the second quarter of fiscal 2006. Base business growth was up 4.6 percent, acquisitions increased sales by 29.8 percent and currency exchange added 4.7 percent. Total sales increased 27.3 percent in the Americas, 29.6 percent in Europe and 84.3 percent in the Asia/Pacific region.</w:t>
      </w:r>
    </w:p>
    <w:p>
      <w:pPr>
        <w:spacing w:after="0" w:line="95" w:lineRule="exact"/>
        <w:rPr>
          <w:sz w:val="20"/>
          <w:szCs w:val="20"/>
          <w:color w:val="auto"/>
        </w:rPr>
      </w:pPr>
    </w:p>
    <w:p>
      <w:pPr>
        <w:ind w:right="120" w:firstLine="250"/>
        <w:spacing w:after="0"/>
        <w:rPr>
          <w:sz w:val="20"/>
          <w:szCs w:val="20"/>
          <w:color w:val="auto"/>
        </w:rPr>
      </w:pPr>
      <w:r>
        <w:rPr>
          <w:rFonts w:ascii="Arial" w:cs="Arial" w:eastAsia="Arial" w:hAnsi="Arial"/>
          <w:sz w:val="18"/>
          <w:szCs w:val="18"/>
          <w:color w:val="auto"/>
        </w:rPr>
        <w:t>Net income for the quarter fell 7.3 percent to $19.7 million compared to $21.3 million in the quarter last year. Earnings per diluted Class A Common share were $0.36 compared to $0.43 per share in the fiscal 2006 second quarter. Fiscal 2007 earnings per share results include the effect of issuance of an additional 4.6 million shares through an equity offering in the fourth quarter of fiscal 2006.</w:t>
      </w:r>
    </w:p>
    <w:p>
      <w:pPr>
        <w:spacing w:after="0" w:line="95" w:lineRule="exact"/>
        <w:rPr>
          <w:sz w:val="20"/>
          <w:szCs w:val="20"/>
          <w:color w:val="auto"/>
        </w:rPr>
      </w:pPr>
    </w:p>
    <w:p>
      <w:pPr>
        <w:ind w:right="120" w:firstLine="250"/>
        <w:spacing w:after="0"/>
        <w:rPr>
          <w:sz w:val="20"/>
          <w:szCs w:val="20"/>
          <w:color w:val="auto"/>
        </w:rPr>
      </w:pPr>
      <w:r>
        <w:rPr>
          <w:rFonts w:ascii="Arial" w:cs="Arial" w:eastAsia="Arial" w:hAnsi="Arial"/>
          <w:sz w:val="18"/>
          <w:szCs w:val="18"/>
          <w:color w:val="auto"/>
        </w:rPr>
        <w:t>Sales for the six months ended January 31, 2007, rose 41.0 percent to $653.5 million, compared to $463.6 million in the same period last year. Net income for the first six months of fiscal 2007 rose 5.3 percent to $54.2 million compared to $51.5 million for the same period in fiscal 2006. Six-month earnings per diluted Class A Common share were $0.99 compared to $1.03 in fiscal 2006.</w:t>
      </w:r>
    </w:p>
    <w:p>
      <w:pPr>
        <w:spacing w:after="0" w:line="95" w:lineRule="exact"/>
        <w:rPr>
          <w:sz w:val="20"/>
          <w:szCs w:val="20"/>
          <w:color w:val="auto"/>
        </w:rPr>
      </w:pPr>
    </w:p>
    <w:p>
      <w:pPr>
        <w:ind w:right="40" w:firstLine="250"/>
        <w:spacing w:after="0" w:line="238" w:lineRule="auto"/>
        <w:rPr>
          <w:sz w:val="20"/>
          <w:szCs w:val="20"/>
          <w:color w:val="auto"/>
        </w:rPr>
      </w:pPr>
      <w:r>
        <w:rPr>
          <w:rFonts w:ascii="Arial" w:cs="Arial" w:eastAsia="Arial" w:hAnsi="Arial"/>
          <w:sz w:val="18"/>
          <w:szCs w:val="18"/>
          <w:color w:val="auto"/>
        </w:rPr>
        <w:t>“We are pleased to see solid revenue growth and profitability in the quarter in both the Americas and Europe. In the Asia/Pacific region, which has been exceptionally strong for a number of previous quarters, we are now feeling the effects of some volatility and pricing pressure in the mobile-handset and hard-disk-drive markets on our business,” said Frank M. Jaehnert, Brady’s president and chief executive officer. “We are addressing this, in part, by re-balancing our global die-cut manufacturing capacity and accelerating the integration activities within our newly acquired die-cut businesses. We remain confident in our long-term plans and are making no major changes to our growth strategy.”</w:t>
      </w:r>
    </w:p>
    <w:p>
      <w:pPr>
        <w:spacing w:after="0" w:line="95" w:lineRule="exact"/>
        <w:rPr>
          <w:sz w:val="20"/>
          <w:szCs w:val="20"/>
          <w:color w:val="auto"/>
        </w:rPr>
      </w:pPr>
    </w:p>
    <w:p>
      <w:pPr>
        <w:ind w:right="340" w:firstLine="247"/>
        <w:spacing w:after="0" w:line="246" w:lineRule="auto"/>
        <w:rPr>
          <w:sz w:val="20"/>
          <w:szCs w:val="20"/>
          <w:color w:val="auto"/>
        </w:rPr>
      </w:pPr>
      <w:r>
        <w:rPr>
          <w:rFonts w:ascii="Arial" w:cs="Arial" w:eastAsia="Arial" w:hAnsi="Arial"/>
          <w:sz w:val="18"/>
          <w:szCs w:val="18"/>
          <w:color w:val="auto"/>
        </w:rPr>
        <w:t>The company reaffirms the guidance issued in its February 8 press release, for fiscal 2007 sales of between $1.35 and $1.37 billion, net income of between $113 and $118 million, and diluted earnings per share between $2.06 and $2.15.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9" w:right="279" w:bottom="1440" w:gutter="0" w:footer="0" w:header="0"/>
        </w:sectPr>
      </w:pPr>
    </w:p>
    <w:bookmarkStart w:id="7" w:name="page8"/>
    <w:bookmarkEnd w:id="7"/>
    <w:p>
      <w:pPr>
        <w:ind w:right="480" w:firstLine="240"/>
        <w:spacing w:after="0" w:line="246" w:lineRule="auto"/>
        <w:rPr>
          <w:sz w:val="20"/>
          <w:szCs w:val="20"/>
          <w:color w:val="auto"/>
        </w:rPr>
      </w:pPr>
      <w:r>
        <w:rPr>
          <w:rFonts w:ascii="Arial" w:cs="Arial" w:eastAsia="Arial" w:hAnsi="Arial"/>
          <w:sz w:val="18"/>
          <w:szCs w:val="18"/>
          <w:color w:val="auto"/>
        </w:rPr>
        <w:t>A webcast regarding fiscal 2007 second quarter results will be available at www.investor.bradycorp.com beginning at 9:30 a.m. Central Standard Time today.</w:t>
      </w:r>
    </w:p>
    <w:p>
      <w:pPr>
        <w:spacing w:after="0" w:line="89" w:lineRule="exact"/>
        <w:rPr>
          <w:sz w:val="20"/>
          <w:szCs w:val="20"/>
          <w:color w:val="auto"/>
        </w:rPr>
      </w:pPr>
    </w:p>
    <w:p>
      <w:pPr>
        <w:ind w:right="340" w:firstLine="250"/>
        <w:spacing w:after="0" w:line="237" w:lineRule="auto"/>
        <w:rPr>
          <w:sz w:val="20"/>
          <w:szCs w:val="20"/>
          <w:color w:val="auto"/>
        </w:rPr>
      </w:pPr>
      <w:r>
        <w:rPr>
          <w:rFonts w:ascii="Arial" w:cs="Arial" w:eastAsia="Arial" w:hAnsi="Arial"/>
          <w:sz w:val="18"/>
          <w:szCs w:val="18"/>
          <w:color w:val="auto"/>
        </w:rPr>
        <w:t>Brady Corporation is an international manufacturer and marketer of complete solutions that identify and protect premises, products and people. Its products help customers increase safety, security, productivity and performance and include high-performance labels and signs, safety devices, printing systems and software, and precision die-cut materials. Founded in 1914, the company has more than 500,000 customers in electronics, telecommunications, manufacturing, electrical, construction, education, medical and a variety of other industries. Brady is headquartered in Milwaukee and employs more than 9,000 people at operations in the Americas, Europe and Asia/Pacific. Brady’s fiscal 2006 sales were approximately $1.018 billion.</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More information is available on the Internet at </w:t>
      </w:r>
      <w:r>
        <w:rPr>
          <w:rFonts w:ascii="Arial" w:cs="Arial" w:eastAsia="Arial" w:hAnsi="Arial"/>
          <w:sz w:val="18"/>
          <w:szCs w:val="18"/>
          <w:u w:val="single" w:color="auto"/>
          <w:color w:val="auto"/>
        </w:rPr>
        <w:t>www.bradycorp.com</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Information by regional segment for the three and six months ended January 31, 2007 and 2006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93"/>
              <w:spacing w:after="0"/>
              <w:rPr>
                <w:sz w:val="20"/>
                <w:szCs w:val="20"/>
                <w:color w:val="auto"/>
              </w:rPr>
            </w:pPr>
            <w:r>
              <w:rPr>
                <w:rFonts w:ascii="Arial" w:cs="Arial" w:eastAsia="Arial" w:hAnsi="Arial"/>
                <w:sz w:val="14"/>
                <w:szCs w:val="14"/>
                <w:color w:val="auto"/>
              </w:rPr>
              <w:t>Corporate and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060" w:type="dxa"/>
            <w:vAlign w:val="bottom"/>
            <w:tcBorders>
              <w:bottom w:val="single" w:sz="8" w:color="auto"/>
            </w:tcBorders>
          </w:tcPr>
          <w:p>
            <w:pPr>
              <w:ind w:left="1040"/>
              <w:spacing w:after="0" w:line="157" w:lineRule="exact"/>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91"/>
              <w:spacing w:after="0" w:line="157" w:lineRule="exact"/>
              <w:rPr>
                <w:sz w:val="20"/>
                <w:szCs w:val="20"/>
                <w:color w:val="auto"/>
              </w:rPr>
            </w:pPr>
            <w:r>
              <w:rPr>
                <w:rFonts w:ascii="Arial" w:cs="Arial" w:eastAsia="Arial" w:hAnsi="Arial"/>
                <w:sz w:val="14"/>
                <w:szCs w:val="14"/>
                <w:color w:val="auto"/>
              </w:rPr>
              <w:t>Americas</w:t>
            </w:r>
          </w:p>
        </w:tc>
        <w:tc>
          <w:tcPr>
            <w:tcW w:w="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1"/>
              <w:spacing w:after="0" w:line="157" w:lineRule="exact"/>
              <w:rPr>
                <w:sz w:val="20"/>
                <w:szCs w:val="20"/>
                <w:color w:val="auto"/>
              </w:rPr>
            </w:pPr>
            <w:r>
              <w:rPr>
                <w:rFonts w:ascii="Arial" w:cs="Arial" w:eastAsia="Arial" w:hAnsi="Arial"/>
                <w:sz w:val="14"/>
                <w:szCs w:val="14"/>
                <w:color w:val="auto"/>
              </w:rPr>
              <w:t>Europe</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1"/>
              <w:spacing w:after="0" w:line="157" w:lineRule="exact"/>
              <w:rPr>
                <w:sz w:val="20"/>
                <w:szCs w:val="20"/>
                <w:color w:val="auto"/>
              </w:rPr>
            </w:pPr>
            <w:r>
              <w:rPr>
                <w:rFonts w:ascii="Arial" w:cs="Arial" w:eastAsia="Arial" w:hAnsi="Arial"/>
                <w:sz w:val="14"/>
                <w:szCs w:val="14"/>
                <w:color w:val="auto"/>
              </w:rPr>
              <w:t>Asia</w:t>
            </w:r>
          </w:p>
        </w:tc>
        <w:tc>
          <w:tcPr>
            <w:tcW w:w="2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91"/>
              <w:spacing w:after="0" w:line="157" w:lineRule="exact"/>
              <w:rPr>
                <w:sz w:val="20"/>
                <w:szCs w:val="20"/>
                <w:color w:val="auto"/>
              </w:rPr>
            </w:pPr>
            <w:r>
              <w:rPr>
                <w:rFonts w:ascii="Arial" w:cs="Arial" w:eastAsia="Arial" w:hAnsi="Arial"/>
                <w:sz w:val="14"/>
                <w:szCs w:val="14"/>
                <w:color w:val="auto"/>
              </w:rPr>
              <w:t>Subtotals</w:t>
            </w:r>
          </w:p>
        </w:tc>
        <w:tc>
          <w:tcPr>
            <w:tcW w:w="220" w:type="dxa"/>
            <w:vAlign w:val="bottom"/>
          </w:tcPr>
          <w:p>
            <w:pPr>
              <w:spacing w:after="0"/>
              <w:rPr>
                <w:sz w:val="13"/>
                <w:szCs w:val="13"/>
                <w:color w:val="auto"/>
              </w:rPr>
            </w:pPr>
          </w:p>
        </w:tc>
        <w:tc>
          <w:tcPr>
            <w:tcW w:w="1300" w:type="dxa"/>
            <w:vAlign w:val="bottom"/>
            <w:tcBorders>
              <w:bottom w:val="single" w:sz="8" w:color="auto"/>
            </w:tcBorders>
          </w:tcPr>
          <w:p>
            <w:pPr>
              <w:jc w:val="right"/>
              <w:ind w:right="173"/>
              <w:spacing w:after="0" w:line="157" w:lineRule="exact"/>
              <w:rPr>
                <w:sz w:val="20"/>
                <w:szCs w:val="20"/>
                <w:color w:val="auto"/>
              </w:rPr>
            </w:pPr>
            <w:r>
              <w:rPr>
                <w:rFonts w:ascii="Arial" w:cs="Arial" w:eastAsia="Arial" w:hAnsi="Arial"/>
                <w:sz w:val="14"/>
                <w:szCs w:val="14"/>
                <w:color w:val="auto"/>
              </w:rPr>
              <w:t>Eliminations</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1"/>
              <w:spacing w:after="0" w:line="157"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60" w:type="dxa"/>
            <w:vAlign w:val="bottom"/>
            <w:shd w:val="clear" w:color="auto" w:fill="CCEEFF"/>
          </w:tcPr>
          <w:p>
            <w:pPr>
              <w:spacing w:after="0" w:line="173" w:lineRule="exact"/>
              <w:rPr>
                <w:sz w:val="20"/>
                <w:szCs w:val="20"/>
                <w:color w:val="auto"/>
              </w:rPr>
            </w:pPr>
            <w:r>
              <w:rPr>
                <w:rFonts w:ascii="Arial" w:cs="Arial" w:eastAsia="Arial" w:hAnsi="Arial"/>
                <w:sz w:val="18"/>
                <w:szCs w:val="18"/>
                <w:b w:val="1"/>
                <w:bCs w:val="1"/>
                <w:color w:val="auto"/>
              </w:rPr>
              <w:t>SALES TO EXTERNAL</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0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CUSTOMERS</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Pr>
          <w:p>
            <w:pPr>
              <w:spacing w:after="0" w:line="202" w:lineRule="exact"/>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January 31, 2007</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w w:val="98"/>
              </w:rPr>
              <w:t>139,988</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98,846</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82,441</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w w:val="98"/>
              </w:rPr>
              <w:t>321,275</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w w:val="98"/>
              </w:rPr>
              <w:t>321,275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60" w:type="dxa"/>
            <w:vAlign w:val="bottom"/>
          </w:tcPr>
          <w:p>
            <w:pPr>
              <w:ind w:left="200"/>
              <w:spacing w:after="0"/>
              <w:rPr>
                <w:sz w:val="20"/>
                <w:szCs w:val="20"/>
                <w:color w:val="auto"/>
              </w:rPr>
            </w:pPr>
            <w:r>
              <w:rPr>
                <w:rFonts w:ascii="Arial" w:cs="Arial" w:eastAsia="Arial" w:hAnsi="Arial"/>
                <w:sz w:val="18"/>
                <w:szCs w:val="18"/>
                <w:color w:val="auto"/>
              </w:rPr>
              <w:t>January 31, 2006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w w:val="98"/>
              </w:rPr>
              <w:t>109,951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76,284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44,739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w w:val="98"/>
              </w:rPr>
              <w:t>230,974</w:t>
            </w:r>
          </w:p>
        </w:tc>
        <w:tc>
          <w:tcPr>
            <w:tcW w:w="220" w:type="dxa"/>
            <w:vAlign w:val="bottom"/>
          </w:tcPr>
          <w:p>
            <w:pPr>
              <w:spacing w:after="0"/>
              <w:rPr>
                <w:sz w:val="18"/>
                <w:szCs w:val="18"/>
                <w:color w:val="auto"/>
              </w:rPr>
            </w:pPr>
          </w:p>
        </w:tc>
        <w:tc>
          <w:tcPr>
            <w:tcW w:w="130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w w:val="98"/>
              </w:rPr>
              <w:t>230,974</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Six months ended:</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Pr>
          <w:p>
            <w:pPr>
              <w:ind w:left="200"/>
              <w:spacing w:after="0" w:line="202" w:lineRule="exact"/>
              <w:rPr>
                <w:sz w:val="20"/>
                <w:szCs w:val="20"/>
                <w:color w:val="auto"/>
              </w:rPr>
            </w:pPr>
            <w:r>
              <w:rPr>
                <w:rFonts w:ascii="Arial" w:cs="Arial" w:eastAsia="Arial" w:hAnsi="Arial"/>
                <w:sz w:val="18"/>
                <w:szCs w:val="18"/>
                <w:color w:val="auto"/>
              </w:rPr>
              <w:t>January 31, 2007</w:t>
            </w: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71"/>
              <w:spacing w:after="0" w:line="202" w:lineRule="exact"/>
              <w:rPr>
                <w:sz w:val="20"/>
                <w:szCs w:val="20"/>
                <w:color w:val="auto"/>
              </w:rPr>
            </w:pPr>
            <w:r>
              <w:rPr>
                <w:rFonts w:ascii="Arial" w:cs="Arial" w:eastAsia="Arial" w:hAnsi="Arial"/>
                <w:sz w:val="18"/>
                <w:szCs w:val="18"/>
                <w:color w:val="auto"/>
                <w:w w:val="98"/>
              </w:rPr>
              <w:t>286,931</w:t>
            </w:r>
          </w:p>
        </w:tc>
        <w:tc>
          <w:tcPr>
            <w:tcW w:w="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1"/>
              <w:spacing w:after="0" w:line="202" w:lineRule="exact"/>
              <w:rPr>
                <w:sz w:val="20"/>
                <w:szCs w:val="20"/>
                <w:color w:val="auto"/>
              </w:rPr>
            </w:pPr>
            <w:r>
              <w:rPr>
                <w:rFonts w:ascii="Arial" w:cs="Arial" w:eastAsia="Arial" w:hAnsi="Arial"/>
                <w:sz w:val="18"/>
                <w:szCs w:val="18"/>
                <w:color w:val="auto"/>
                <w:w w:val="98"/>
              </w:rPr>
              <w:t>191,211</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71"/>
              <w:spacing w:after="0" w:line="202" w:lineRule="exact"/>
              <w:rPr>
                <w:sz w:val="20"/>
                <w:szCs w:val="20"/>
                <w:color w:val="auto"/>
              </w:rPr>
            </w:pPr>
            <w:r>
              <w:rPr>
                <w:rFonts w:ascii="Arial" w:cs="Arial" w:eastAsia="Arial" w:hAnsi="Arial"/>
                <w:sz w:val="18"/>
                <w:szCs w:val="18"/>
                <w:color w:val="auto"/>
                <w:w w:val="98"/>
              </w:rPr>
              <w:t>175,392</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1"/>
              <w:spacing w:after="0" w:line="202" w:lineRule="exact"/>
              <w:rPr>
                <w:sz w:val="20"/>
                <w:szCs w:val="20"/>
                <w:color w:val="auto"/>
              </w:rPr>
            </w:pPr>
            <w:r>
              <w:rPr>
                <w:rFonts w:ascii="Arial" w:cs="Arial" w:eastAsia="Arial" w:hAnsi="Arial"/>
                <w:sz w:val="18"/>
                <w:szCs w:val="18"/>
                <w:color w:val="auto"/>
                <w:w w:val="98"/>
              </w:rPr>
              <w:t>653,534</w:t>
            </w:r>
          </w:p>
        </w:tc>
        <w:tc>
          <w:tcPr>
            <w:tcW w:w="220" w:type="dxa"/>
            <w:vAlign w:val="bottom"/>
          </w:tcPr>
          <w:p>
            <w:pPr>
              <w:spacing w:after="0"/>
              <w:rPr>
                <w:sz w:val="17"/>
                <w:szCs w:val="17"/>
                <w:color w:val="auto"/>
              </w:rPr>
            </w:pPr>
          </w:p>
        </w:tc>
        <w:tc>
          <w:tcPr>
            <w:tcW w:w="130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71"/>
              <w:spacing w:after="0" w:line="202" w:lineRule="exact"/>
              <w:rPr>
                <w:sz w:val="20"/>
                <w:szCs w:val="20"/>
                <w:color w:val="auto"/>
              </w:rPr>
            </w:pPr>
            <w:r>
              <w:rPr>
                <w:rFonts w:ascii="Arial" w:cs="Arial" w:eastAsia="Arial" w:hAnsi="Arial"/>
                <w:sz w:val="18"/>
                <w:szCs w:val="18"/>
                <w:color w:val="auto"/>
                <w:w w:val="98"/>
              </w:rPr>
              <w:t>653,534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January 31, 2006</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w w:val="98"/>
              </w:rPr>
              <w:t>226,010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w w:val="98"/>
              </w:rPr>
              <w:t>150,046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87,553</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w w:val="98"/>
              </w:rPr>
              <w:t>463,609</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w w:val="98"/>
              </w:rPr>
              <w:t>463,609</w:t>
            </w:r>
          </w:p>
        </w:tc>
        <w:tc>
          <w:tcPr>
            <w:tcW w:w="0" w:type="dxa"/>
            <w:vAlign w:val="bottom"/>
          </w:tcPr>
          <w:p>
            <w:pPr>
              <w:spacing w:after="0"/>
              <w:rPr>
                <w:sz w:val="1"/>
                <w:szCs w:val="1"/>
                <w:color w:val="auto"/>
              </w:rPr>
            </w:pPr>
          </w:p>
        </w:tc>
      </w:tr>
      <w:tr>
        <w:trPr>
          <w:trHeight w:val="405"/>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SALES GROWTH INFORMATION</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Three months ended January 31,</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2007:</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Pr>
          <w:p>
            <w:pPr>
              <w:ind w:left="200"/>
              <w:spacing w:after="0" w:line="202" w:lineRule="exact"/>
              <w:rPr>
                <w:sz w:val="20"/>
                <w:szCs w:val="20"/>
                <w:color w:val="auto"/>
              </w:rPr>
            </w:pPr>
            <w:r>
              <w:rPr>
                <w:rFonts w:ascii="Arial" w:cs="Arial" w:eastAsia="Arial" w:hAnsi="Arial"/>
                <w:sz w:val="18"/>
                <w:szCs w:val="18"/>
                <w:color w:val="auto"/>
              </w:rPr>
              <w:t>Base</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5.6%</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220" w:type="dxa"/>
            <w:vAlign w:val="bottom"/>
          </w:tcPr>
          <w:p>
            <w:pPr>
              <w:spacing w:after="0"/>
              <w:rPr>
                <w:sz w:val="17"/>
                <w:szCs w:val="17"/>
                <w:color w:val="auto"/>
              </w:rPr>
            </w:pPr>
          </w:p>
        </w:tc>
        <w:tc>
          <w:tcPr>
            <w:tcW w:w="130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Currency</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Pr>
          <w:p>
            <w:pPr>
              <w:ind w:left="200"/>
              <w:spacing w:after="0" w:line="202" w:lineRule="exact"/>
              <w:rPr>
                <w:sz w:val="20"/>
                <w:szCs w:val="20"/>
                <w:color w:val="auto"/>
              </w:rPr>
            </w:pPr>
            <w:r>
              <w:rPr>
                <w:rFonts w:ascii="Arial" w:cs="Arial" w:eastAsia="Arial" w:hAnsi="Arial"/>
                <w:sz w:val="18"/>
                <w:szCs w:val="18"/>
                <w:color w:val="auto"/>
              </w:rPr>
              <w:t>Acquisitions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21.4%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81.9%</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29.8%</w:t>
            </w:r>
          </w:p>
        </w:tc>
        <w:tc>
          <w:tcPr>
            <w:tcW w:w="220" w:type="dxa"/>
            <w:vAlign w:val="bottom"/>
          </w:tcPr>
          <w:p>
            <w:pPr>
              <w:spacing w:after="0"/>
              <w:rPr>
                <w:sz w:val="17"/>
                <w:szCs w:val="17"/>
                <w:color w:val="auto"/>
              </w:rPr>
            </w:pPr>
          </w:p>
        </w:tc>
        <w:tc>
          <w:tcPr>
            <w:tcW w:w="130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27.3%</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84.3%</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39.1%</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405"/>
        </w:trPr>
        <w:tc>
          <w:tcPr>
            <w:tcW w:w="3080" w:type="dxa"/>
            <w:vAlign w:val="bottom"/>
            <w:gridSpan w:val="2"/>
          </w:tcPr>
          <w:p>
            <w:pPr>
              <w:spacing w:after="0"/>
              <w:rPr>
                <w:sz w:val="20"/>
                <w:szCs w:val="20"/>
                <w:color w:val="auto"/>
              </w:rPr>
            </w:pPr>
            <w:r>
              <w:rPr>
                <w:rFonts w:ascii="Arial" w:cs="Arial" w:eastAsia="Arial" w:hAnsi="Arial"/>
                <w:sz w:val="18"/>
                <w:szCs w:val="18"/>
                <w:color w:val="auto"/>
              </w:rPr>
              <w:t>Six months ended January 31, 2007:</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Base</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Pr>
          <w:p>
            <w:pPr>
              <w:ind w:left="200"/>
              <w:spacing w:after="0" w:line="202" w:lineRule="exact"/>
              <w:rPr>
                <w:sz w:val="20"/>
                <w:szCs w:val="20"/>
                <w:color w:val="auto"/>
              </w:rPr>
            </w:pPr>
            <w:r>
              <w:rPr>
                <w:rFonts w:ascii="Arial" w:cs="Arial" w:eastAsia="Arial" w:hAnsi="Arial"/>
                <w:sz w:val="18"/>
                <w:szCs w:val="18"/>
                <w:color w:val="auto"/>
              </w:rPr>
              <w:t>Currency</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0.6%</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3.7%</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3.6%</w:t>
            </w:r>
          </w:p>
        </w:tc>
        <w:tc>
          <w:tcPr>
            <w:tcW w:w="220" w:type="dxa"/>
            <w:vAlign w:val="bottom"/>
          </w:tcPr>
          <w:p>
            <w:pPr>
              <w:spacing w:after="0"/>
              <w:rPr>
                <w:sz w:val="17"/>
                <w:szCs w:val="17"/>
                <w:color w:val="auto"/>
              </w:rPr>
            </w:pPr>
          </w:p>
        </w:tc>
        <w:tc>
          <w:tcPr>
            <w:tcW w:w="130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Acquisitions</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22.3%</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92.0%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32.3%</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60" w:type="dxa"/>
            <w:vAlign w:val="bottom"/>
          </w:tcPr>
          <w:p>
            <w:pPr>
              <w:ind w:left="40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27.0%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100.3%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41.0%</w:t>
            </w:r>
          </w:p>
        </w:tc>
        <w:tc>
          <w:tcPr>
            <w:tcW w:w="220" w:type="dxa"/>
            <w:vAlign w:val="bottom"/>
          </w:tcPr>
          <w:p>
            <w:pPr>
              <w:spacing w:after="0"/>
              <w:rPr>
                <w:sz w:val="18"/>
                <w:szCs w:val="18"/>
                <w:color w:val="auto"/>
              </w:rPr>
            </w:pPr>
          </w:p>
        </w:tc>
        <w:tc>
          <w:tcPr>
            <w:tcW w:w="130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SEGMENT PROFIT (LOSS)</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Pr>
          <w:p>
            <w:pPr>
              <w:spacing w:after="0" w:line="202" w:lineRule="exact"/>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January 31, 2007</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28,793</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22,604</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12,394</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63,791</w:t>
            </w:r>
          </w:p>
        </w:tc>
        <w:tc>
          <w:tcPr>
            <w:tcW w:w="1520" w:type="dxa"/>
            <w:vAlign w:val="bottom"/>
            <w:gridSpan w:val="2"/>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($2,228)</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61,563</w:t>
            </w:r>
          </w:p>
        </w:tc>
        <w:tc>
          <w:tcPr>
            <w:tcW w:w="0" w:type="dxa"/>
            <w:vAlign w:val="bottom"/>
          </w:tcPr>
          <w:p>
            <w:pPr>
              <w:spacing w:after="0"/>
              <w:rPr>
                <w:sz w:val="1"/>
                <w:szCs w:val="1"/>
                <w:color w:val="auto"/>
              </w:rPr>
            </w:pPr>
          </w:p>
        </w:tc>
      </w:tr>
      <w:tr>
        <w:trPr>
          <w:trHeight w:val="618"/>
        </w:trPr>
        <w:tc>
          <w:tcPr>
            <w:tcW w:w="20" w:type="dxa"/>
            <w:vAlign w:val="bottom"/>
          </w:tcPr>
          <w:p>
            <w:pPr>
              <w:spacing w:after="0"/>
              <w:rPr>
                <w:sz w:val="24"/>
                <w:szCs w:val="24"/>
                <w:color w:val="auto"/>
              </w:rPr>
            </w:pPr>
          </w:p>
        </w:tc>
        <w:tc>
          <w:tcPr>
            <w:tcW w:w="30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Corporate and</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40" w:type="dxa"/>
            <w:vAlign w:val="bottom"/>
            <w:tcBorders>
              <w:bottom w:val="single" w:sz="8" w:color="auto"/>
            </w:tcBorders>
          </w:tcPr>
          <w:p>
            <w:pPr>
              <w:ind w:left="1080"/>
              <w:spacing w:after="0" w:line="157" w:lineRule="exact"/>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3"/>
                <w:szCs w:val="13"/>
                <w:color w:val="auto"/>
              </w:rPr>
            </w:pPr>
          </w:p>
        </w:tc>
        <w:tc>
          <w:tcPr>
            <w:tcW w:w="1080" w:type="dxa"/>
            <w:vAlign w:val="bottom"/>
            <w:tcBorders>
              <w:bottom w:val="single" w:sz="8" w:color="auto"/>
            </w:tcBorders>
          </w:tcPr>
          <w:p>
            <w:pPr>
              <w:jc w:val="right"/>
              <w:ind w:right="153"/>
              <w:spacing w:after="0" w:line="157" w:lineRule="exact"/>
              <w:rPr>
                <w:sz w:val="20"/>
                <w:szCs w:val="20"/>
                <w:color w:val="auto"/>
              </w:rPr>
            </w:pPr>
            <w:r>
              <w:rPr>
                <w:rFonts w:ascii="Arial" w:cs="Arial" w:eastAsia="Arial" w:hAnsi="Arial"/>
                <w:sz w:val="14"/>
                <w:szCs w:val="14"/>
                <w:color w:val="auto"/>
              </w:rPr>
              <w:t>Americas</w:t>
            </w:r>
          </w:p>
        </w:tc>
        <w:tc>
          <w:tcPr>
            <w:tcW w:w="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21"/>
              <w:spacing w:after="0" w:line="157" w:lineRule="exact"/>
              <w:rPr>
                <w:sz w:val="20"/>
                <w:szCs w:val="20"/>
                <w:color w:val="auto"/>
              </w:rPr>
            </w:pPr>
            <w:r>
              <w:rPr>
                <w:rFonts w:ascii="Arial" w:cs="Arial" w:eastAsia="Arial" w:hAnsi="Arial"/>
                <w:sz w:val="14"/>
                <w:szCs w:val="14"/>
                <w:color w:val="auto"/>
              </w:rPr>
              <w:t>Europe</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jc w:val="right"/>
              <w:ind w:right="300"/>
              <w:spacing w:after="0" w:line="157" w:lineRule="exact"/>
              <w:rPr>
                <w:sz w:val="20"/>
                <w:szCs w:val="20"/>
                <w:color w:val="auto"/>
              </w:rPr>
            </w:pPr>
            <w:r>
              <w:rPr>
                <w:rFonts w:ascii="Arial" w:cs="Arial" w:eastAsia="Arial" w:hAnsi="Arial"/>
                <w:sz w:val="14"/>
                <w:szCs w:val="14"/>
                <w:color w:val="auto"/>
              </w:rPr>
              <w:t>Asia</w:t>
            </w:r>
          </w:p>
        </w:tc>
        <w:tc>
          <w:tcPr>
            <w:tcW w:w="1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Borders>
              <w:bottom w:val="single" w:sz="8" w:color="auto"/>
            </w:tcBorders>
            <w:gridSpan w:val="3"/>
          </w:tcPr>
          <w:p>
            <w:pPr>
              <w:ind w:left="280"/>
              <w:spacing w:after="0" w:line="157" w:lineRule="exact"/>
              <w:rPr>
                <w:sz w:val="20"/>
                <w:szCs w:val="20"/>
                <w:color w:val="auto"/>
              </w:rPr>
            </w:pPr>
            <w:r>
              <w:rPr>
                <w:rFonts w:ascii="Arial" w:cs="Arial" w:eastAsia="Arial" w:hAnsi="Arial"/>
                <w:sz w:val="14"/>
                <w:szCs w:val="14"/>
                <w:color w:val="auto"/>
              </w:rPr>
              <w:t>Subtotals</w:t>
            </w:r>
          </w:p>
        </w:tc>
        <w:tc>
          <w:tcPr>
            <w:tcW w:w="220" w:type="dxa"/>
            <w:vAlign w:val="bottom"/>
          </w:tcPr>
          <w:p>
            <w:pPr>
              <w:spacing w:after="0"/>
              <w:rPr>
                <w:sz w:val="13"/>
                <w:szCs w:val="13"/>
                <w:color w:val="auto"/>
              </w:rPr>
            </w:pPr>
          </w:p>
        </w:tc>
        <w:tc>
          <w:tcPr>
            <w:tcW w:w="1400" w:type="dxa"/>
            <w:vAlign w:val="bottom"/>
            <w:tcBorders>
              <w:bottom w:val="single" w:sz="8" w:color="auto"/>
            </w:tcBorders>
            <w:gridSpan w:val="2"/>
          </w:tcPr>
          <w:p>
            <w:pPr>
              <w:jc w:val="right"/>
              <w:ind w:right="300"/>
              <w:spacing w:after="0" w:line="157" w:lineRule="exact"/>
              <w:rPr>
                <w:sz w:val="20"/>
                <w:szCs w:val="20"/>
                <w:color w:val="auto"/>
              </w:rPr>
            </w:pPr>
            <w:r>
              <w:rPr>
                <w:rFonts w:ascii="Arial" w:cs="Arial" w:eastAsia="Arial" w:hAnsi="Arial"/>
                <w:sz w:val="14"/>
                <w:szCs w:val="14"/>
                <w:color w:val="auto"/>
              </w:rPr>
              <w:t>Eliminations</w:t>
            </w:r>
          </w:p>
        </w:tc>
        <w:tc>
          <w:tcPr>
            <w:tcW w:w="220" w:type="dxa"/>
            <w:vAlign w:val="bottom"/>
          </w:tcPr>
          <w:p>
            <w:pPr>
              <w:spacing w:after="0"/>
              <w:rPr>
                <w:sz w:val="13"/>
                <w:szCs w:val="13"/>
                <w:color w:val="auto"/>
              </w:rPr>
            </w:pPr>
          </w:p>
        </w:tc>
        <w:tc>
          <w:tcPr>
            <w:tcW w:w="1180" w:type="dxa"/>
            <w:vAlign w:val="bottom"/>
            <w:tcBorders>
              <w:bottom w:val="single" w:sz="8" w:color="auto"/>
            </w:tcBorders>
          </w:tcPr>
          <w:p>
            <w:pPr>
              <w:jc w:val="right"/>
              <w:ind w:right="368"/>
              <w:spacing w:after="0" w:line="157"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January 31, 2006</w:t>
            </w:r>
          </w:p>
        </w:tc>
        <w:tc>
          <w:tcPr>
            <w:tcW w:w="1080" w:type="dxa"/>
            <w:vAlign w:val="bottom"/>
            <w:shd w:val="clear" w:color="auto" w:fill="CCEEFF"/>
          </w:tcPr>
          <w:p>
            <w:pPr>
              <w:jc w:val="right"/>
              <w:ind w:right="193"/>
              <w:spacing w:after="0" w:line="196" w:lineRule="exact"/>
              <w:rPr>
                <w:sz w:val="20"/>
                <w:szCs w:val="20"/>
                <w:color w:val="auto"/>
              </w:rPr>
            </w:pPr>
            <w:r>
              <w:rPr>
                <w:rFonts w:ascii="Arial" w:cs="Arial" w:eastAsia="Arial" w:hAnsi="Arial"/>
                <w:sz w:val="18"/>
                <w:szCs w:val="18"/>
                <w:color w:val="auto"/>
              </w:rPr>
              <w:t>24,969</w:t>
            </w:r>
          </w:p>
        </w:tc>
        <w:tc>
          <w:tcPr>
            <w:tcW w:w="1280" w:type="dxa"/>
            <w:vAlign w:val="bottom"/>
            <w:gridSpan w:val="3"/>
            <w:shd w:val="clear" w:color="auto" w:fill="CCEEFF"/>
          </w:tcPr>
          <w:p>
            <w:pPr>
              <w:jc w:val="right"/>
              <w:ind w:right="201"/>
              <w:spacing w:after="0" w:line="196" w:lineRule="exact"/>
              <w:rPr>
                <w:sz w:val="20"/>
                <w:szCs w:val="20"/>
                <w:color w:val="auto"/>
              </w:rPr>
            </w:pPr>
            <w:r>
              <w:rPr>
                <w:rFonts w:ascii="Arial" w:cs="Arial" w:eastAsia="Arial" w:hAnsi="Arial"/>
                <w:sz w:val="18"/>
                <w:szCs w:val="18"/>
                <w:color w:val="auto"/>
              </w:rPr>
              <w:t>19,989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11,717</w:t>
            </w:r>
          </w:p>
        </w:tc>
        <w:tc>
          <w:tcPr>
            <w:tcW w:w="1440" w:type="dxa"/>
            <w:vAlign w:val="bottom"/>
            <w:gridSpan w:val="4"/>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56,675</w:t>
            </w:r>
          </w:p>
        </w:tc>
        <w:tc>
          <w:tcPr>
            <w:tcW w:w="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(2,631)</w:t>
            </w:r>
          </w:p>
        </w:tc>
        <w:tc>
          <w:tcPr>
            <w:tcW w:w="2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8"/>
              <w:spacing w:after="0" w:line="196" w:lineRule="exact"/>
              <w:rPr>
                <w:sz w:val="20"/>
                <w:szCs w:val="20"/>
                <w:color w:val="auto"/>
              </w:rPr>
            </w:pPr>
            <w:r>
              <w:rPr>
                <w:rFonts w:ascii="Arial" w:cs="Arial" w:eastAsia="Arial" w:hAnsi="Arial"/>
                <w:sz w:val="18"/>
                <w:szCs w:val="18"/>
                <w:color w:val="auto"/>
              </w:rPr>
              <w:t>54,044</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360" w:type="dxa"/>
            <w:vAlign w:val="bottom"/>
            <w:gridSpan w:val="2"/>
          </w:tcPr>
          <w:p>
            <w:pPr>
              <w:ind w:left="400"/>
              <w:spacing w:after="0"/>
              <w:rPr>
                <w:sz w:val="20"/>
                <w:szCs w:val="20"/>
                <w:color w:val="auto"/>
              </w:rPr>
            </w:pPr>
            <w:r>
              <w:rPr>
                <w:rFonts w:ascii="Arial" w:cs="Arial" w:eastAsia="Arial" w:hAnsi="Arial"/>
                <w:sz w:val="18"/>
                <w:szCs w:val="18"/>
                <w:i w:val="1"/>
                <w:iCs w:val="1"/>
                <w:color w:val="auto"/>
              </w:rPr>
              <w:t>Percentage increase (decrease)</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15.3%</w:t>
            </w:r>
          </w:p>
        </w:tc>
        <w:tc>
          <w:tcPr>
            <w:tcW w:w="1280" w:type="dxa"/>
            <w:vAlign w:val="bottom"/>
            <w:gridSpan w:val="3"/>
          </w:tcPr>
          <w:p>
            <w:pPr>
              <w:jc w:val="right"/>
              <w:ind w:right="41"/>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5.8%</w:t>
            </w:r>
          </w:p>
        </w:tc>
        <w:tc>
          <w:tcPr>
            <w:tcW w:w="1440" w:type="dxa"/>
            <w:vAlign w:val="bottom"/>
            <w:gridSpan w:val="4"/>
          </w:tcPr>
          <w:p>
            <w:pPr>
              <w:jc w:val="right"/>
              <w:ind w:right="60"/>
              <w:spacing w:after="0"/>
              <w:rPr>
                <w:sz w:val="20"/>
                <w:szCs w:val="20"/>
                <w:color w:val="auto"/>
              </w:rPr>
            </w:pPr>
            <w:r>
              <w:rPr>
                <w:rFonts w:ascii="Arial" w:cs="Arial" w:eastAsia="Arial" w:hAnsi="Arial"/>
                <w:sz w:val="18"/>
                <w:szCs w:val="18"/>
                <w:color w:val="auto"/>
              </w:rPr>
              <w:t>12.6%</w:t>
            </w:r>
          </w:p>
        </w:tc>
        <w:tc>
          <w:tcPr>
            <w:tcW w:w="40" w:type="dxa"/>
            <w:vAlign w:val="bottom"/>
          </w:tcPr>
          <w:p>
            <w:pPr>
              <w:spacing w:after="0"/>
              <w:rPr>
                <w:sz w:val="20"/>
                <w:szCs w:val="20"/>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-15.3%</w:t>
            </w:r>
          </w:p>
        </w:tc>
        <w:tc>
          <w:tcPr>
            <w:tcW w:w="1400" w:type="dxa"/>
            <w:vAlign w:val="bottom"/>
            <w:gridSpan w:val="2"/>
          </w:tcPr>
          <w:p>
            <w:pPr>
              <w:jc w:val="right"/>
              <w:ind w:right="48"/>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3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Six months ended:</w:t>
            </w: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January 31, 2007</w:t>
            </w:r>
          </w:p>
        </w:tc>
        <w:tc>
          <w:tcPr>
            <w:tcW w:w="108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$65,698</w:t>
            </w:r>
          </w:p>
        </w:tc>
        <w:tc>
          <w:tcPr>
            <w:tcW w:w="1280" w:type="dxa"/>
            <w:vAlign w:val="bottom"/>
            <w:gridSpan w:val="3"/>
          </w:tcPr>
          <w:p>
            <w:pPr>
              <w:jc w:val="right"/>
              <w:ind w:right="201"/>
              <w:spacing w:after="0" w:line="202" w:lineRule="exact"/>
              <w:rPr>
                <w:sz w:val="20"/>
                <w:szCs w:val="20"/>
                <w:color w:val="auto"/>
              </w:rPr>
            </w:pPr>
            <w:r>
              <w:rPr>
                <w:rFonts w:ascii="Arial" w:cs="Arial" w:eastAsia="Arial" w:hAnsi="Arial"/>
                <w:sz w:val="18"/>
                <w:szCs w:val="18"/>
                <w:color w:val="auto"/>
              </w:rPr>
              <w:t>$45,609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$34,531</w:t>
            </w:r>
          </w:p>
        </w:tc>
        <w:tc>
          <w:tcPr>
            <w:tcW w:w="1440" w:type="dxa"/>
            <w:vAlign w:val="bottom"/>
            <w:gridSpan w:val="4"/>
          </w:tcPr>
          <w:p>
            <w:pPr>
              <w:jc w:val="right"/>
              <w:ind w:right="220"/>
              <w:spacing w:after="0" w:line="202" w:lineRule="exact"/>
              <w:rPr>
                <w:sz w:val="20"/>
                <w:szCs w:val="20"/>
                <w:color w:val="auto"/>
              </w:rPr>
            </w:pPr>
            <w:r>
              <w:rPr>
                <w:rFonts w:ascii="Arial" w:cs="Arial" w:eastAsia="Arial" w:hAnsi="Arial"/>
                <w:sz w:val="18"/>
                <w:szCs w:val="18"/>
                <w:color w:val="auto"/>
              </w:rPr>
              <w:t>$145,838</w:t>
            </w:r>
          </w:p>
        </w:tc>
        <w:tc>
          <w:tcPr>
            <w:tcW w:w="40" w:type="dxa"/>
            <w:vAlign w:val="bottom"/>
          </w:tcPr>
          <w:p>
            <w:pPr>
              <w:spacing w:after="0"/>
              <w:rPr>
                <w:sz w:val="17"/>
                <w:szCs w:val="17"/>
                <w:color w:val="auto"/>
              </w:rPr>
            </w:pP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($4,425)</w:t>
            </w:r>
          </w:p>
        </w:tc>
        <w:tc>
          <w:tcPr>
            <w:tcW w:w="260" w:type="dxa"/>
            <w:vAlign w:val="bottom"/>
          </w:tcPr>
          <w:p>
            <w:pPr>
              <w:spacing w:after="0"/>
              <w:rPr>
                <w:sz w:val="17"/>
                <w:szCs w:val="17"/>
                <w:color w:val="auto"/>
              </w:rPr>
            </w:pPr>
          </w:p>
        </w:tc>
        <w:tc>
          <w:tcPr>
            <w:tcW w:w="1400" w:type="dxa"/>
            <w:vAlign w:val="bottom"/>
            <w:gridSpan w:val="2"/>
          </w:tcPr>
          <w:p>
            <w:pPr>
              <w:jc w:val="right"/>
              <w:ind w:right="188"/>
              <w:spacing w:after="0" w:line="202" w:lineRule="exact"/>
              <w:rPr>
                <w:sz w:val="20"/>
                <w:szCs w:val="20"/>
                <w:color w:val="auto"/>
              </w:rPr>
            </w:pPr>
            <w:r>
              <w:rPr>
                <w:rFonts w:ascii="Arial" w:cs="Arial" w:eastAsia="Arial" w:hAnsi="Arial"/>
                <w:sz w:val="18"/>
                <w:szCs w:val="18"/>
                <w:color w:val="auto"/>
              </w:rPr>
              <w:t>$141,413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January 31, 2006</w:t>
            </w:r>
          </w:p>
        </w:tc>
        <w:tc>
          <w:tcPr>
            <w:tcW w:w="108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57,163</w:t>
            </w:r>
          </w:p>
        </w:tc>
        <w:tc>
          <w:tcPr>
            <w:tcW w:w="1280" w:type="dxa"/>
            <w:vAlign w:val="bottom"/>
            <w:gridSpan w:val="3"/>
            <w:shd w:val="clear" w:color="auto" w:fill="CCEEFF"/>
          </w:tcPr>
          <w:p>
            <w:pPr>
              <w:jc w:val="right"/>
              <w:ind w:right="201"/>
              <w:spacing w:after="0" w:line="202" w:lineRule="exact"/>
              <w:rPr>
                <w:sz w:val="20"/>
                <w:szCs w:val="20"/>
                <w:color w:val="auto"/>
              </w:rPr>
            </w:pPr>
            <w:r>
              <w:rPr>
                <w:rFonts w:ascii="Arial" w:cs="Arial" w:eastAsia="Arial" w:hAnsi="Arial"/>
                <w:sz w:val="18"/>
                <w:szCs w:val="18"/>
                <w:color w:val="auto"/>
              </w:rPr>
              <w:t>40,767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24,727</w:t>
            </w:r>
          </w:p>
        </w:tc>
        <w:tc>
          <w:tcPr>
            <w:tcW w:w="1440" w:type="dxa"/>
            <w:vAlign w:val="bottom"/>
            <w:gridSpan w:val="4"/>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122,657</w:t>
            </w:r>
          </w:p>
        </w:tc>
        <w:tc>
          <w:tcPr>
            <w:tcW w:w="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(5,017)</w:t>
            </w:r>
          </w:p>
        </w:tc>
        <w:tc>
          <w:tcPr>
            <w:tcW w:w="2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8"/>
              <w:spacing w:after="0" w:line="202" w:lineRule="exact"/>
              <w:rPr>
                <w:sz w:val="20"/>
                <w:szCs w:val="20"/>
                <w:color w:val="auto"/>
              </w:rPr>
            </w:pPr>
            <w:r>
              <w:rPr>
                <w:rFonts w:ascii="Arial" w:cs="Arial" w:eastAsia="Arial" w:hAnsi="Arial"/>
                <w:sz w:val="18"/>
                <w:szCs w:val="18"/>
                <w:color w:val="auto"/>
              </w:rPr>
              <w:t>117,640</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360" w:type="dxa"/>
            <w:vAlign w:val="bottom"/>
            <w:gridSpan w:val="2"/>
          </w:tcPr>
          <w:p>
            <w:pPr>
              <w:ind w:left="400"/>
              <w:spacing w:after="0"/>
              <w:rPr>
                <w:sz w:val="20"/>
                <w:szCs w:val="20"/>
                <w:color w:val="auto"/>
              </w:rPr>
            </w:pPr>
            <w:r>
              <w:rPr>
                <w:rFonts w:ascii="Arial" w:cs="Arial" w:eastAsia="Arial" w:hAnsi="Arial"/>
                <w:sz w:val="18"/>
                <w:szCs w:val="18"/>
                <w:i w:val="1"/>
                <w:iCs w:val="1"/>
                <w:color w:val="auto"/>
              </w:rPr>
              <w:t>Percentage increase (decrease)</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14.9%</w:t>
            </w:r>
          </w:p>
        </w:tc>
        <w:tc>
          <w:tcPr>
            <w:tcW w:w="1280" w:type="dxa"/>
            <w:vAlign w:val="bottom"/>
            <w:gridSpan w:val="3"/>
          </w:tcPr>
          <w:p>
            <w:pPr>
              <w:jc w:val="right"/>
              <w:ind w:right="41"/>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39.6%</w:t>
            </w:r>
          </w:p>
        </w:tc>
        <w:tc>
          <w:tcPr>
            <w:tcW w:w="1440" w:type="dxa"/>
            <w:vAlign w:val="bottom"/>
            <w:gridSpan w:val="4"/>
          </w:tcPr>
          <w:p>
            <w:pPr>
              <w:jc w:val="right"/>
              <w:ind w:right="60"/>
              <w:spacing w:after="0"/>
              <w:rPr>
                <w:sz w:val="20"/>
                <w:szCs w:val="20"/>
                <w:color w:val="auto"/>
              </w:rPr>
            </w:pPr>
            <w:r>
              <w:rPr>
                <w:rFonts w:ascii="Arial" w:cs="Arial" w:eastAsia="Arial" w:hAnsi="Arial"/>
                <w:sz w:val="18"/>
                <w:szCs w:val="18"/>
                <w:color w:val="auto"/>
              </w:rPr>
              <w:t>18.9%</w:t>
            </w:r>
          </w:p>
        </w:tc>
        <w:tc>
          <w:tcPr>
            <w:tcW w:w="40" w:type="dxa"/>
            <w:vAlign w:val="bottom"/>
          </w:tcPr>
          <w:p>
            <w:pPr>
              <w:spacing w:after="0"/>
              <w:rPr>
                <w:sz w:val="20"/>
                <w:szCs w:val="20"/>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-11.8%</w:t>
            </w:r>
          </w:p>
        </w:tc>
        <w:tc>
          <w:tcPr>
            <w:tcW w:w="1400" w:type="dxa"/>
            <w:vAlign w:val="bottom"/>
            <w:gridSpan w:val="2"/>
          </w:tcPr>
          <w:p>
            <w:pPr>
              <w:jc w:val="right"/>
              <w:ind w:right="48"/>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400"/>
        </w:trPr>
        <w:tc>
          <w:tcPr>
            <w:tcW w:w="446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NET INCOME RECONCILIATION </w:t>
            </w:r>
            <w:r>
              <w:rPr>
                <w:rFonts w:ascii="Arial" w:cs="Arial" w:eastAsia="Arial" w:hAnsi="Arial"/>
                <w:sz w:val="18"/>
                <w:szCs w:val="18"/>
                <w:color w:val="auto"/>
              </w:rPr>
              <w:t>(in thousands)</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8"/>
          </w:tcPr>
          <w:p>
            <w:pPr>
              <w:jc w:val="right"/>
              <w:ind w:right="828"/>
              <w:spacing w:after="0"/>
              <w:rPr>
                <w:sz w:val="20"/>
                <w:szCs w:val="20"/>
                <w:color w:val="auto"/>
              </w:rPr>
            </w:pPr>
            <w:r>
              <w:rPr>
                <w:rFonts w:ascii="Arial" w:cs="Arial" w:eastAsia="Arial" w:hAnsi="Arial"/>
                <w:sz w:val="14"/>
                <w:szCs w:val="14"/>
                <w:color w:val="auto"/>
              </w:rPr>
              <w:t>Three months ended:</w:t>
            </w:r>
          </w:p>
        </w:tc>
        <w:tc>
          <w:tcPr>
            <w:tcW w:w="2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848"/>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4"/>
                <w:szCs w:val="14"/>
                <w:color w:val="auto"/>
              </w:rPr>
              <w:t>January 31,</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5"/>
          </w:tcPr>
          <w:p>
            <w:pPr>
              <w:ind w:left="80"/>
              <w:spacing w:after="0"/>
              <w:rPr>
                <w:sz w:val="20"/>
                <w:szCs w:val="20"/>
                <w:color w:val="auto"/>
              </w:rPr>
            </w:pPr>
            <w:r>
              <w:rPr>
                <w:rFonts w:ascii="Arial" w:cs="Arial" w:eastAsia="Arial" w:hAnsi="Arial"/>
                <w:sz w:val="14"/>
                <w:szCs w:val="14"/>
                <w:color w:val="auto"/>
              </w:rPr>
              <w:t>January 31,</w:t>
            </w:r>
          </w:p>
        </w:tc>
        <w:tc>
          <w:tcPr>
            <w:tcW w:w="220" w:type="dxa"/>
            <w:vAlign w:val="bottom"/>
          </w:tcPr>
          <w:p>
            <w:pPr>
              <w:spacing w:after="0"/>
              <w:rPr>
                <w:sz w:val="13"/>
                <w:szCs w:val="13"/>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4"/>
                <w:szCs w:val="14"/>
                <w:color w:val="auto"/>
              </w:rPr>
              <w:t>January 31,</w:t>
            </w:r>
          </w:p>
        </w:tc>
        <w:tc>
          <w:tcPr>
            <w:tcW w:w="220" w:type="dxa"/>
            <w:vAlign w:val="bottom"/>
          </w:tcPr>
          <w:p>
            <w:pPr>
              <w:spacing w:after="0"/>
              <w:rPr>
                <w:sz w:val="13"/>
                <w:szCs w:val="13"/>
                <w:color w:val="auto"/>
              </w:rPr>
            </w:pPr>
          </w:p>
        </w:tc>
        <w:tc>
          <w:tcPr>
            <w:tcW w:w="1180" w:type="dxa"/>
            <w:vAlign w:val="bottom"/>
          </w:tcPr>
          <w:p>
            <w:pPr>
              <w:jc w:val="right"/>
              <w:ind w:right="248"/>
              <w:spacing w:after="0"/>
              <w:rPr>
                <w:sz w:val="20"/>
                <w:szCs w:val="20"/>
                <w:color w:val="auto"/>
              </w:rPr>
            </w:pPr>
            <w:r>
              <w:rPr>
                <w:rFonts w:ascii="Arial" w:cs="Arial" w:eastAsia="Arial" w:hAnsi="Arial"/>
                <w:sz w:val="14"/>
                <w:szCs w:val="14"/>
                <w:color w:val="auto"/>
              </w:rPr>
              <w:t>January 31,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gridSpan w:val="2"/>
          </w:tcPr>
          <w:p>
            <w:pPr>
              <w:spacing w:after="0"/>
              <w:rPr>
                <w:sz w:val="13"/>
                <w:szCs w:val="13"/>
                <w:color w:val="auto"/>
              </w:rPr>
            </w:pPr>
          </w:p>
        </w:tc>
        <w:tc>
          <w:tcPr>
            <w:tcW w:w="1000" w:type="dxa"/>
            <w:vAlign w:val="bottom"/>
            <w:tcBorders>
              <w:bottom w:val="single" w:sz="8" w:color="auto"/>
            </w:tcBorders>
            <w:gridSpan w:val="2"/>
          </w:tcPr>
          <w:p>
            <w:pPr>
              <w:jc w:val="right"/>
              <w:ind w:right="68"/>
              <w:spacing w:after="0" w:line="157" w:lineRule="exact"/>
              <w:rPr>
                <w:sz w:val="20"/>
                <w:szCs w:val="20"/>
                <w:color w:val="auto"/>
              </w:rPr>
            </w:pPr>
            <w:r>
              <w:rPr>
                <w:rFonts w:ascii="Arial" w:cs="Arial" w:eastAsia="Arial" w:hAnsi="Arial"/>
                <w:sz w:val="14"/>
                <w:szCs w:val="14"/>
                <w:color w:val="auto"/>
              </w:rPr>
              <w:t>2007</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488"/>
              <w:spacing w:after="0" w:line="157" w:lineRule="exact"/>
              <w:rPr>
                <w:sz w:val="20"/>
                <w:szCs w:val="20"/>
                <w:color w:val="auto"/>
              </w:rPr>
            </w:pPr>
            <w:r>
              <w:rPr>
                <w:rFonts w:ascii="Arial" w:cs="Arial" w:eastAsia="Arial" w:hAnsi="Arial"/>
                <w:sz w:val="14"/>
                <w:szCs w:val="14"/>
                <w:color w:val="auto"/>
              </w:rPr>
              <w:t>2006</w:t>
            </w:r>
          </w:p>
        </w:tc>
        <w:tc>
          <w:tcPr>
            <w:tcW w:w="2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right"/>
              <w:ind w:right="468"/>
              <w:spacing w:after="0" w:line="157" w:lineRule="exact"/>
              <w:rPr>
                <w:sz w:val="20"/>
                <w:szCs w:val="20"/>
                <w:color w:val="auto"/>
              </w:rPr>
            </w:pPr>
            <w:r>
              <w:rPr>
                <w:rFonts w:ascii="Arial" w:cs="Arial" w:eastAsia="Arial" w:hAnsi="Arial"/>
                <w:sz w:val="14"/>
                <w:szCs w:val="14"/>
                <w:color w:val="auto"/>
              </w:rPr>
              <w:t>2007</w:t>
            </w:r>
          </w:p>
        </w:tc>
        <w:tc>
          <w:tcPr>
            <w:tcW w:w="260" w:type="dxa"/>
            <w:vAlign w:val="bottom"/>
          </w:tcPr>
          <w:p>
            <w:pPr>
              <w:spacing w:after="0"/>
              <w:rPr>
                <w:sz w:val="13"/>
                <w:szCs w:val="13"/>
                <w:color w:val="auto"/>
              </w:rPr>
            </w:pPr>
          </w:p>
        </w:tc>
        <w:tc>
          <w:tcPr>
            <w:tcW w:w="1400" w:type="dxa"/>
            <w:vAlign w:val="bottom"/>
            <w:tcBorders>
              <w:bottom w:val="single" w:sz="8" w:color="auto"/>
            </w:tcBorders>
            <w:gridSpan w:val="2"/>
          </w:tcPr>
          <w:p>
            <w:pPr>
              <w:jc w:val="right"/>
              <w:ind w:right="468"/>
              <w:spacing w:after="0" w:line="157" w:lineRule="exact"/>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 profit for reportable segments</w:t>
            </w:r>
          </w:p>
        </w:tc>
        <w:tc>
          <w:tcPr>
            <w:tcW w:w="1080" w:type="dxa"/>
            <w:vAlign w:val="bottom"/>
            <w:shd w:val="clear" w:color="auto" w:fill="CCEEFF"/>
          </w:tcPr>
          <w:p>
            <w:pPr>
              <w:spacing w:after="0"/>
              <w:rPr>
                <w:sz w:val="17"/>
                <w:szCs w:val="17"/>
                <w:color w:val="auto"/>
              </w:rPr>
            </w:pPr>
          </w:p>
        </w:tc>
        <w:tc>
          <w:tcPr>
            <w:tcW w:w="150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$ 63,791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388"/>
              <w:spacing w:after="0" w:line="196" w:lineRule="exact"/>
              <w:rPr>
                <w:sz w:val="20"/>
                <w:szCs w:val="20"/>
                <w:color w:val="auto"/>
              </w:rPr>
            </w:pPr>
            <w:r>
              <w:rPr>
                <w:rFonts w:ascii="Arial" w:cs="Arial" w:eastAsia="Arial" w:hAnsi="Arial"/>
                <w:sz w:val="18"/>
                <w:szCs w:val="18"/>
                <w:color w:val="auto"/>
                <w:w w:val="99"/>
              </w:rPr>
              <w:t>$ 56,675</w:t>
            </w: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8"/>
              <w:spacing w:after="0" w:line="196" w:lineRule="exact"/>
              <w:rPr>
                <w:sz w:val="20"/>
                <w:szCs w:val="20"/>
                <w:color w:val="auto"/>
              </w:rPr>
            </w:pPr>
            <w:r>
              <w:rPr>
                <w:rFonts w:ascii="Arial" w:cs="Arial" w:eastAsia="Arial" w:hAnsi="Arial"/>
                <w:sz w:val="18"/>
                <w:szCs w:val="18"/>
                <w:color w:val="auto"/>
              </w:rPr>
              <w:t>$ 145,838</w:t>
            </w:r>
          </w:p>
        </w:tc>
        <w:tc>
          <w:tcPr>
            <w:tcW w:w="2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88"/>
              <w:spacing w:after="0" w:line="196" w:lineRule="exact"/>
              <w:rPr>
                <w:sz w:val="20"/>
                <w:szCs w:val="20"/>
                <w:color w:val="auto"/>
              </w:rPr>
            </w:pPr>
            <w:r>
              <w:rPr>
                <w:rFonts w:ascii="Arial" w:cs="Arial" w:eastAsia="Arial" w:hAnsi="Arial"/>
                <w:sz w:val="18"/>
                <w:szCs w:val="18"/>
                <w:color w:val="auto"/>
              </w:rPr>
              <w:t>$ 122,657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2"/>
          </w:tcPr>
          <w:p>
            <w:pPr>
              <w:spacing w:after="0" w:line="202" w:lineRule="exact"/>
              <w:rPr>
                <w:sz w:val="20"/>
                <w:szCs w:val="20"/>
                <w:color w:val="auto"/>
              </w:rPr>
            </w:pPr>
            <w:r>
              <w:rPr>
                <w:rFonts w:ascii="Arial" w:cs="Arial" w:eastAsia="Arial" w:hAnsi="Arial"/>
                <w:sz w:val="18"/>
                <w:szCs w:val="18"/>
                <w:color w:val="auto"/>
              </w:rPr>
              <w:t>Corporate and eliminations</w:t>
            </w:r>
          </w:p>
        </w:tc>
        <w:tc>
          <w:tcPr>
            <w:tcW w:w="1080" w:type="dxa"/>
            <w:vAlign w:val="bottom"/>
          </w:tcPr>
          <w:p>
            <w:pPr>
              <w:spacing w:after="0"/>
              <w:rPr>
                <w:sz w:val="17"/>
                <w:szCs w:val="17"/>
                <w:color w:val="auto"/>
              </w:rPr>
            </w:pPr>
          </w:p>
        </w:tc>
        <w:tc>
          <w:tcPr>
            <w:tcW w:w="1600" w:type="dxa"/>
            <w:vAlign w:val="bottom"/>
            <w:gridSpan w:val="5"/>
          </w:tcPr>
          <w:p>
            <w:pPr>
              <w:jc w:val="right"/>
              <w:ind w:right="60"/>
              <w:spacing w:after="0" w:line="202" w:lineRule="exact"/>
              <w:rPr>
                <w:sz w:val="20"/>
                <w:szCs w:val="20"/>
                <w:color w:val="auto"/>
              </w:rPr>
            </w:pPr>
            <w:r>
              <w:rPr>
                <w:rFonts w:ascii="Arial" w:cs="Arial" w:eastAsia="Arial" w:hAnsi="Arial"/>
                <w:sz w:val="18"/>
                <w:szCs w:val="18"/>
                <w:color w:val="auto"/>
              </w:rPr>
              <w:t>(2,228)</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3"/>
          </w:tcPr>
          <w:p>
            <w:pPr>
              <w:jc w:val="right"/>
              <w:ind w:right="328"/>
              <w:spacing w:after="0" w:line="202" w:lineRule="exact"/>
              <w:rPr>
                <w:sz w:val="20"/>
                <w:szCs w:val="20"/>
                <w:color w:val="auto"/>
              </w:rPr>
            </w:pPr>
            <w:r>
              <w:rPr>
                <w:rFonts w:ascii="Arial" w:cs="Arial" w:eastAsia="Arial" w:hAnsi="Arial"/>
                <w:sz w:val="18"/>
                <w:szCs w:val="18"/>
                <w:color w:val="auto"/>
              </w:rPr>
              <w:t>(2,631)</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gridSpan w:val="2"/>
          </w:tcPr>
          <w:p>
            <w:pPr>
              <w:jc w:val="right"/>
              <w:ind w:right="228"/>
              <w:spacing w:after="0" w:line="202" w:lineRule="exact"/>
              <w:rPr>
                <w:sz w:val="20"/>
                <w:szCs w:val="20"/>
                <w:color w:val="auto"/>
              </w:rPr>
            </w:pPr>
            <w:r>
              <w:rPr>
                <w:rFonts w:ascii="Arial" w:cs="Arial" w:eastAsia="Arial" w:hAnsi="Arial"/>
                <w:sz w:val="18"/>
                <w:szCs w:val="18"/>
                <w:color w:val="auto"/>
              </w:rPr>
              <w:t>(4,425)</w:t>
            </w:r>
          </w:p>
        </w:tc>
        <w:tc>
          <w:tcPr>
            <w:tcW w:w="260" w:type="dxa"/>
            <w:vAlign w:val="bottom"/>
          </w:tcPr>
          <w:p>
            <w:pPr>
              <w:spacing w:after="0"/>
              <w:rPr>
                <w:sz w:val="17"/>
                <w:szCs w:val="17"/>
                <w:color w:val="auto"/>
              </w:rPr>
            </w:pPr>
          </w:p>
        </w:tc>
        <w:tc>
          <w:tcPr>
            <w:tcW w:w="1400" w:type="dxa"/>
            <w:vAlign w:val="bottom"/>
            <w:gridSpan w:val="2"/>
          </w:tcPr>
          <w:p>
            <w:pPr>
              <w:jc w:val="right"/>
              <w:ind w:right="228"/>
              <w:spacing w:after="0" w:line="202" w:lineRule="exact"/>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Unallocated amounts:</w:t>
            </w: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Administrative costs</w:t>
            </w:r>
          </w:p>
        </w:tc>
        <w:tc>
          <w:tcPr>
            <w:tcW w:w="1080" w:type="dxa"/>
            <w:vAlign w:val="bottom"/>
          </w:tcPr>
          <w:p>
            <w:pPr>
              <w:spacing w:after="0"/>
              <w:rPr>
                <w:sz w:val="17"/>
                <w:szCs w:val="17"/>
                <w:color w:val="auto"/>
              </w:rPr>
            </w:pPr>
          </w:p>
        </w:tc>
        <w:tc>
          <w:tcPr>
            <w:tcW w:w="1600" w:type="dxa"/>
            <w:vAlign w:val="bottom"/>
            <w:gridSpan w:val="5"/>
          </w:tcPr>
          <w:p>
            <w:pPr>
              <w:jc w:val="right"/>
              <w:ind w:right="60"/>
              <w:spacing w:after="0" w:line="202" w:lineRule="exact"/>
              <w:rPr>
                <w:sz w:val="20"/>
                <w:szCs w:val="20"/>
                <w:color w:val="auto"/>
              </w:rPr>
            </w:pPr>
            <w:r>
              <w:rPr>
                <w:rFonts w:ascii="Arial" w:cs="Arial" w:eastAsia="Arial" w:hAnsi="Arial"/>
                <w:sz w:val="18"/>
                <w:szCs w:val="18"/>
                <w:color w:val="auto"/>
              </w:rPr>
              <w:t>(28,839)</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3"/>
          </w:tcPr>
          <w:p>
            <w:pPr>
              <w:jc w:val="right"/>
              <w:ind w:right="328"/>
              <w:spacing w:after="0" w:line="202" w:lineRule="exact"/>
              <w:rPr>
                <w:sz w:val="20"/>
                <w:szCs w:val="20"/>
                <w:color w:val="auto"/>
              </w:rPr>
            </w:pPr>
            <w:r>
              <w:rPr>
                <w:rFonts w:ascii="Arial" w:cs="Arial" w:eastAsia="Arial" w:hAnsi="Arial"/>
                <w:sz w:val="18"/>
                <w:szCs w:val="18"/>
                <w:color w:val="auto"/>
              </w:rPr>
              <w:t>(22,768)</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gridSpan w:val="2"/>
          </w:tcPr>
          <w:p>
            <w:pPr>
              <w:jc w:val="right"/>
              <w:ind w:right="228"/>
              <w:spacing w:after="0" w:line="202" w:lineRule="exact"/>
              <w:rPr>
                <w:sz w:val="20"/>
                <w:szCs w:val="20"/>
                <w:color w:val="auto"/>
              </w:rPr>
            </w:pPr>
            <w:r>
              <w:rPr>
                <w:rFonts w:ascii="Arial" w:cs="Arial" w:eastAsia="Arial" w:hAnsi="Arial"/>
                <w:sz w:val="18"/>
                <w:szCs w:val="18"/>
                <w:color w:val="auto"/>
              </w:rPr>
              <w:t>(56,748)</w:t>
            </w:r>
          </w:p>
        </w:tc>
        <w:tc>
          <w:tcPr>
            <w:tcW w:w="260" w:type="dxa"/>
            <w:vAlign w:val="bottom"/>
          </w:tcPr>
          <w:p>
            <w:pPr>
              <w:spacing w:after="0"/>
              <w:rPr>
                <w:sz w:val="17"/>
                <w:szCs w:val="17"/>
                <w:color w:val="auto"/>
              </w:rPr>
            </w:pPr>
          </w:p>
        </w:tc>
        <w:tc>
          <w:tcPr>
            <w:tcW w:w="1400" w:type="dxa"/>
            <w:vAlign w:val="bottom"/>
            <w:gridSpan w:val="2"/>
          </w:tcPr>
          <w:p>
            <w:pPr>
              <w:jc w:val="right"/>
              <w:ind w:right="228"/>
              <w:spacing w:after="0" w:line="202" w:lineRule="exact"/>
              <w:rPr>
                <w:sz w:val="20"/>
                <w:szCs w:val="20"/>
                <w:color w:val="auto"/>
              </w:rPr>
            </w:pPr>
            <w:r>
              <w:rPr>
                <w:rFonts w:ascii="Arial" w:cs="Arial" w:eastAsia="Arial" w:hAnsi="Arial"/>
                <w:sz w:val="18"/>
                <w:szCs w:val="18"/>
                <w:color w:val="auto"/>
              </w:rPr>
              <w:t>(42,235)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w w:val="98"/>
              </w:rPr>
              <w:t>Investment and other income (expense)</w:t>
            </w:r>
          </w:p>
        </w:tc>
        <w:tc>
          <w:tcPr>
            <w:tcW w:w="1080" w:type="dxa"/>
            <w:vAlign w:val="bottom"/>
            <w:shd w:val="clear" w:color="auto" w:fill="CCEEFF"/>
          </w:tcPr>
          <w:p>
            <w:pPr>
              <w:spacing w:after="0"/>
              <w:rPr>
                <w:sz w:val="17"/>
                <w:szCs w:val="17"/>
                <w:color w:val="auto"/>
              </w:rPr>
            </w:pPr>
          </w:p>
        </w:tc>
        <w:tc>
          <w:tcPr>
            <w:tcW w:w="1600" w:type="dxa"/>
            <w:vAlign w:val="bottom"/>
            <w:gridSpan w:val="5"/>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(106)</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388"/>
              <w:spacing w:after="0" w:line="202" w:lineRule="exact"/>
              <w:rPr>
                <w:sz w:val="20"/>
                <w:szCs w:val="20"/>
                <w:color w:val="auto"/>
              </w:rPr>
            </w:pPr>
            <w:r>
              <w:rPr>
                <w:rFonts w:ascii="Arial" w:cs="Arial" w:eastAsia="Arial" w:hAnsi="Arial"/>
                <w:sz w:val="18"/>
                <w:szCs w:val="18"/>
                <w:color w:val="auto"/>
              </w:rPr>
              <w:t>88</w:t>
            </w: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8"/>
              <w:spacing w:after="0" w:line="202" w:lineRule="exact"/>
              <w:rPr>
                <w:sz w:val="20"/>
                <w:szCs w:val="20"/>
                <w:color w:val="auto"/>
              </w:rPr>
            </w:pPr>
            <w:r>
              <w:rPr>
                <w:rFonts w:ascii="Arial" w:cs="Arial" w:eastAsia="Arial" w:hAnsi="Arial"/>
                <w:sz w:val="18"/>
                <w:szCs w:val="18"/>
                <w:color w:val="auto"/>
              </w:rPr>
              <w:t>532</w:t>
            </w:r>
          </w:p>
        </w:tc>
        <w:tc>
          <w:tcPr>
            <w:tcW w:w="2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88"/>
              <w:spacing w:after="0" w:line="202" w:lineRule="exact"/>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108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100" w:type="dxa"/>
            <w:vAlign w:val="bottom"/>
            <w:tcBorders>
              <w:bottom w:val="single" w:sz="8" w:color="auto"/>
            </w:tcBorders>
            <w:gridSpan w:val="3"/>
          </w:tcPr>
          <w:p>
            <w:pPr>
              <w:jc w:val="right"/>
              <w:ind w:right="60"/>
              <w:spacing w:after="0" w:line="202" w:lineRule="exact"/>
              <w:rPr>
                <w:sz w:val="20"/>
                <w:szCs w:val="20"/>
                <w:color w:val="auto"/>
              </w:rPr>
            </w:pPr>
            <w:r>
              <w:rPr>
                <w:rFonts w:ascii="Arial" w:cs="Arial" w:eastAsia="Arial" w:hAnsi="Arial"/>
                <w:sz w:val="18"/>
                <w:szCs w:val="18"/>
                <w:color w:val="auto"/>
              </w:rPr>
              <w:t>(5,244)</w:t>
            </w: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328"/>
              <w:spacing w:after="0" w:line="202" w:lineRule="exact"/>
              <w:rPr>
                <w:sz w:val="20"/>
                <w:szCs w:val="20"/>
                <w:color w:val="auto"/>
              </w:rPr>
            </w:pPr>
            <w:r>
              <w:rPr>
                <w:rFonts w:ascii="Arial" w:cs="Arial" w:eastAsia="Arial" w:hAnsi="Arial"/>
                <w:sz w:val="18"/>
                <w:szCs w:val="18"/>
                <w:color w:val="auto"/>
              </w:rPr>
              <w:t>(2,435)</w:t>
            </w:r>
          </w:p>
        </w:tc>
        <w:tc>
          <w:tcPr>
            <w:tcW w:w="2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228"/>
              <w:spacing w:after="0" w:line="202" w:lineRule="exact"/>
              <w:rPr>
                <w:sz w:val="20"/>
                <w:szCs w:val="20"/>
                <w:color w:val="auto"/>
              </w:rPr>
            </w:pPr>
            <w:r>
              <w:rPr>
                <w:rFonts w:ascii="Arial" w:cs="Arial" w:eastAsia="Arial" w:hAnsi="Arial"/>
                <w:sz w:val="18"/>
                <w:szCs w:val="18"/>
                <w:color w:val="auto"/>
              </w:rPr>
              <w:t>(9,979)</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228"/>
              <w:spacing w:after="0" w:line="202" w:lineRule="exact"/>
              <w:rPr>
                <w:sz w:val="20"/>
                <w:szCs w:val="20"/>
                <w:color w:val="auto"/>
              </w:rPr>
            </w:pPr>
            <w:r>
              <w:rPr>
                <w:rFonts w:ascii="Arial" w:cs="Arial" w:eastAsia="Arial" w:hAnsi="Arial"/>
                <w:sz w:val="18"/>
                <w:szCs w:val="18"/>
                <w:color w:val="auto"/>
              </w:rPr>
              <w:t>(4,424)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1080" w:type="dxa"/>
            <w:vAlign w:val="bottom"/>
            <w:shd w:val="clear" w:color="auto" w:fill="CCEEFF"/>
          </w:tcPr>
          <w:p>
            <w:pPr>
              <w:spacing w:after="0"/>
              <w:rPr>
                <w:sz w:val="17"/>
                <w:szCs w:val="17"/>
                <w:color w:val="auto"/>
              </w:rPr>
            </w:pPr>
          </w:p>
        </w:tc>
        <w:tc>
          <w:tcPr>
            <w:tcW w:w="15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27,374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388"/>
              <w:spacing w:after="0" w:line="202" w:lineRule="exact"/>
              <w:rPr>
                <w:sz w:val="20"/>
                <w:szCs w:val="20"/>
                <w:color w:val="auto"/>
              </w:rPr>
            </w:pPr>
            <w:r>
              <w:rPr>
                <w:rFonts w:ascii="Arial" w:cs="Arial" w:eastAsia="Arial" w:hAnsi="Arial"/>
                <w:sz w:val="18"/>
                <w:szCs w:val="18"/>
                <w:color w:val="auto"/>
              </w:rPr>
              <w:t>28,929</w:t>
            </w: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8"/>
              <w:spacing w:after="0" w:line="202" w:lineRule="exact"/>
              <w:rPr>
                <w:sz w:val="20"/>
                <w:szCs w:val="20"/>
                <w:color w:val="auto"/>
              </w:rPr>
            </w:pPr>
            <w:r>
              <w:rPr>
                <w:rFonts w:ascii="Arial" w:cs="Arial" w:eastAsia="Arial" w:hAnsi="Arial"/>
                <w:sz w:val="18"/>
                <w:szCs w:val="18"/>
                <w:color w:val="auto"/>
              </w:rPr>
              <w:t>75,218</w:t>
            </w:r>
          </w:p>
        </w:tc>
        <w:tc>
          <w:tcPr>
            <w:tcW w:w="2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88"/>
              <w:spacing w:after="0" w:line="202" w:lineRule="exact"/>
              <w:rPr>
                <w:sz w:val="20"/>
                <w:szCs w:val="20"/>
                <w:color w:val="auto"/>
              </w:rPr>
            </w:pPr>
            <w:r>
              <w:rPr>
                <w:rFonts w:ascii="Arial" w:cs="Arial" w:eastAsia="Arial" w:hAnsi="Arial"/>
                <w:sz w:val="18"/>
                <w:szCs w:val="18"/>
                <w:color w:val="auto"/>
              </w:rPr>
              <w:t>71,461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gridSpan w:val="2"/>
          </w:tcPr>
          <w:p>
            <w:pPr>
              <w:spacing w:after="0" w:line="202" w:lineRule="exact"/>
              <w:rPr>
                <w:sz w:val="20"/>
                <w:szCs w:val="20"/>
                <w:color w:val="auto"/>
              </w:rPr>
            </w:pPr>
            <w:r>
              <w:rPr>
                <w:rFonts w:ascii="Arial" w:cs="Arial" w:eastAsia="Arial" w:hAnsi="Arial"/>
                <w:sz w:val="18"/>
                <w:szCs w:val="18"/>
                <w:color w:val="auto"/>
              </w:rPr>
              <w:t>Income taxes</w:t>
            </w:r>
          </w:p>
        </w:tc>
        <w:tc>
          <w:tcPr>
            <w:tcW w:w="108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100" w:type="dxa"/>
            <w:vAlign w:val="bottom"/>
            <w:tcBorders>
              <w:bottom w:val="single" w:sz="8" w:color="auto"/>
            </w:tcBorders>
            <w:gridSpan w:val="3"/>
          </w:tcPr>
          <w:p>
            <w:pPr>
              <w:jc w:val="right"/>
              <w:ind w:right="60"/>
              <w:spacing w:after="0" w:line="202" w:lineRule="exact"/>
              <w:rPr>
                <w:sz w:val="20"/>
                <w:szCs w:val="20"/>
                <w:color w:val="auto"/>
              </w:rPr>
            </w:pPr>
            <w:r>
              <w:rPr>
                <w:rFonts w:ascii="Arial" w:cs="Arial" w:eastAsia="Arial" w:hAnsi="Arial"/>
                <w:sz w:val="18"/>
                <w:szCs w:val="18"/>
                <w:color w:val="auto"/>
              </w:rPr>
              <w:t>(7,665)</w:t>
            </w: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328"/>
              <w:spacing w:after="0" w:line="202" w:lineRule="exact"/>
              <w:rPr>
                <w:sz w:val="20"/>
                <w:szCs w:val="20"/>
                <w:color w:val="auto"/>
              </w:rPr>
            </w:pPr>
            <w:r>
              <w:rPr>
                <w:rFonts w:ascii="Arial" w:cs="Arial" w:eastAsia="Arial" w:hAnsi="Arial"/>
                <w:sz w:val="18"/>
                <w:szCs w:val="18"/>
                <w:color w:val="auto"/>
              </w:rPr>
              <w:t>(7,675)</w:t>
            </w:r>
          </w:p>
        </w:tc>
        <w:tc>
          <w:tcPr>
            <w:tcW w:w="2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228"/>
              <w:spacing w:after="0" w:line="202" w:lineRule="exact"/>
              <w:rPr>
                <w:sz w:val="20"/>
                <w:szCs w:val="20"/>
                <w:color w:val="auto"/>
              </w:rPr>
            </w:pPr>
            <w:r>
              <w:rPr>
                <w:rFonts w:ascii="Arial" w:cs="Arial" w:eastAsia="Arial" w:hAnsi="Arial"/>
                <w:sz w:val="18"/>
                <w:szCs w:val="18"/>
                <w:color w:val="auto"/>
              </w:rPr>
              <w:t>(21,061)</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228"/>
              <w:spacing w:after="0" w:line="202" w:lineRule="exact"/>
              <w:rPr>
                <w:sz w:val="20"/>
                <w:szCs w:val="20"/>
                <w:color w:val="auto"/>
              </w:rPr>
            </w:pPr>
            <w:r>
              <w:rPr>
                <w:rFonts w:ascii="Arial" w:cs="Arial" w:eastAsia="Arial" w:hAnsi="Arial"/>
                <w:sz w:val="18"/>
                <w:szCs w:val="18"/>
                <w:color w:val="auto"/>
              </w:rPr>
              <w:t>(20,009)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Net income</w:t>
            </w:r>
          </w:p>
        </w:tc>
        <w:tc>
          <w:tcPr>
            <w:tcW w:w="1080" w:type="dxa"/>
            <w:vAlign w:val="bottom"/>
            <w:shd w:val="clear" w:color="auto" w:fill="CCEEFF"/>
          </w:tcPr>
          <w:p>
            <w:pPr>
              <w:spacing w:after="0"/>
              <w:rPr>
                <w:sz w:val="17"/>
                <w:szCs w:val="17"/>
                <w:color w:val="auto"/>
              </w:rPr>
            </w:pPr>
          </w:p>
        </w:tc>
        <w:tc>
          <w:tcPr>
            <w:tcW w:w="15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$ 19,709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388"/>
              <w:spacing w:after="0" w:line="202" w:lineRule="exact"/>
              <w:rPr>
                <w:sz w:val="20"/>
                <w:szCs w:val="20"/>
                <w:color w:val="auto"/>
              </w:rPr>
            </w:pPr>
            <w:r>
              <w:rPr>
                <w:rFonts w:ascii="Arial" w:cs="Arial" w:eastAsia="Arial" w:hAnsi="Arial"/>
                <w:sz w:val="18"/>
                <w:szCs w:val="18"/>
                <w:color w:val="auto"/>
                <w:w w:val="99"/>
              </w:rPr>
              <w:t>$ 21,254</w:t>
            </w: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8"/>
              <w:spacing w:after="0" w:line="202" w:lineRule="exact"/>
              <w:rPr>
                <w:sz w:val="20"/>
                <w:szCs w:val="20"/>
                <w:color w:val="auto"/>
              </w:rPr>
            </w:pPr>
            <w:r>
              <w:rPr>
                <w:rFonts w:ascii="Arial" w:cs="Arial" w:eastAsia="Arial" w:hAnsi="Arial"/>
                <w:sz w:val="18"/>
                <w:szCs w:val="18"/>
                <w:color w:val="auto"/>
              </w:rPr>
              <w:t>$ 54,157</w:t>
            </w:r>
          </w:p>
        </w:tc>
        <w:tc>
          <w:tcPr>
            <w:tcW w:w="2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88"/>
              <w:spacing w:after="0" w:line="202" w:lineRule="exact"/>
              <w:rPr>
                <w:sz w:val="20"/>
                <w:szCs w:val="20"/>
                <w:color w:val="auto"/>
              </w:rPr>
            </w:pPr>
            <w:r>
              <w:rPr>
                <w:rFonts w:ascii="Arial" w:cs="Arial" w:eastAsia="Arial" w:hAnsi="Arial"/>
                <w:sz w:val="18"/>
                <w:szCs w:val="18"/>
                <w:color w:val="auto"/>
              </w:rPr>
              <w:t>$ 51,452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04"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Brady believes that certain statements in this news release are “forward-looking statements” within the meaning of the Private Securities Litigation Reform Act of 1995. All statements related to future, not past, events included in this news release,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news release,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retain significant contracts and customers; future competition; Brady’s ability to develop and successfully market new products; changes in the supply of, or price for, parts and components; increased price pressure from suppliers and customers; interruptions to sources of supply; environmental, health and safety compliance costs and liabilities; Brady’s ability to realize cost savings from operating initiatives; Brady’s ability to attract and retain key talent; difficulties associated with exports; risks associated with international operations; fluctuations in currency rates versus the US dollar; technology changes; potential write-offs of Brady’s substantial intangible assets; risks associated with obtaining governmental approvals and maintaining regulatory compliance for new and existing products; business interruptions due to implementing business systems;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II of Brady’s Annual Report on Form 10-K for the period ended July 31, 2006. These uncertainties may cause Brady’s actual future results to be materially different than those expressed in its forward-looking statements. Brady does not undertake to update its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499745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(Unaudited)</w:t>
            </w:r>
          </w:p>
        </w:tc>
        <w:tc>
          <w:tcPr>
            <w:tcW w:w="6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420" w:type="dxa"/>
            <w:vAlign w:val="bottom"/>
            <w:tcBorders>
              <w:bottom w:val="single" w:sz="8" w:color="auto"/>
            </w:tcBorders>
            <w:gridSpan w:val="7"/>
          </w:tcPr>
          <w:p>
            <w:pPr>
              <w:jc w:val="center"/>
              <w:ind w:right="48"/>
              <w:spacing w:after="0" w:line="155" w:lineRule="exact"/>
              <w:rPr>
                <w:sz w:val="20"/>
                <w:szCs w:val="20"/>
                <w:color w:val="auto"/>
              </w:rPr>
            </w:pPr>
            <w:r>
              <w:rPr>
                <w:rFonts w:ascii="Arial" w:cs="Arial" w:eastAsia="Arial" w:hAnsi="Arial"/>
                <w:sz w:val="14"/>
                <w:szCs w:val="14"/>
                <w:color w:val="auto"/>
              </w:rPr>
              <w:t>Three Months Ended January 31,</w:t>
            </w:r>
          </w:p>
        </w:tc>
        <w:tc>
          <w:tcPr>
            <w:tcW w:w="6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5"/>
          </w:tcPr>
          <w:p>
            <w:pPr>
              <w:jc w:val="right"/>
              <w:ind w:right="40"/>
              <w:spacing w:after="0" w:line="155" w:lineRule="exact"/>
              <w:rPr>
                <w:sz w:val="20"/>
                <w:szCs w:val="20"/>
                <w:color w:val="auto"/>
              </w:rPr>
            </w:pPr>
            <w:r>
              <w:rPr>
                <w:rFonts w:ascii="Arial" w:cs="Arial" w:eastAsia="Arial" w:hAnsi="Arial"/>
                <w:sz w:val="14"/>
                <w:szCs w:val="14"/>
                <w:color w:val="auto"/>
              </w:rPr>
              <w:t>Six Months Ended January 31,</w:t>
            </w:r>
          </w:p>
        </w:tc>
        <w:tc>
          <w:tcPr>
            <w:tcW w:w="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gridSpan w:val="3"/>
          </w:tcPr>
          <w:p>
            <w:pPr>
              <w:jc w:val="center"/>
              <w:ind w:right="400"/>
              <w:spacing w:after="0"/>
              <w:rPr>
                <w:sz w:val="20"/>
                <w:szCs w:val="20"/>
                <w:color w:val="auto"/>
              </w:rPr>
            </w:pPr>
            <w:r>
              <w:rPr>
                <w:rFonts w:ascii="Arial" w:cs="Arial" w:eastAsia="Arial" w:hAnsi="Arial"/>
                <w:sz w:val="14"/>
                <w:szCs w:val="14"/>
                <w:color w:val="auto"/>
              </w:rPr>
              <w:t>Percentage</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4"/>
                <w:szCs w:val="14"/>
                <w:color w:val="auto"/>
              </w:rPr>
              <w:t>Percentage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2"/>
              <w:spacing w:after="0" w:line="157" w:lineRule="exact"/>
              <w:rPr>
                <w:sz w:val="20"/>
                <w:szCs w:val="20"/>
                <w:color w:val="auto"/>
              </w:rPr>
            </w:pPr>
            <w:r>
              <w:rPr>
                <w:rFonts w:ascii="Arial" w:cs="Arial" w:eastAsia="Arial" w:hAnsi="Arial"/>
                <w:sz w:val="14"/>
                <w:szCs w:val="14"/>
                <w:color w:val="auto"/>
              </w:rPr>
              <w:t>2007</w:t>
            </w:r>
          </w:p>
        </w:tc>
        <w:tc>
          <w:tcPr>
            <w:tcW w:w="6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1"/>
              <w:spacing w:after="0" w:line="157" w:lineRule="exact"/>
              <w:rPr>
                <w:sz w:val="20"/>
                <w:szCs w:val="20"/>
                <w:color w:val="auto"/>
              </w:rPr>
            </w:pPr>
            <w:r>
              <w:rPr>
                <w:rFonts w:ascii="Arial" w:cs="Arial" w:eastAsia="Arial" w:hAnsi="Arial"/>
                <w:sz w:val="14"/>
                <w:szCs w:val="14"/>
                <w:color w:val="auto"/>
              </w:rPr>
              <w:t>2006</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Change</w:t>
            </w:r>
          </w:p>
        </w:tc>
        <w:tc>
          <w:tcPr>
            <w:tcW w:w="6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1"/>
              <w:spacing w:after="0" w:line="157" w:lineRule="exact"/>
              <w:rPr>
                <w:sz w:val="20"/>
                <w:szCs w:val="20"/>
                <w:color w:val="auto"/>
              </w:rPr>
            </w:pPr>
            <w:r>
              <w:rPr>
                <w:rFonts w:ascii="Arial" w:cs="Arial" w:eastAsia="Arial" w:hAnsi="Arial"/>
                <w:sz w:val="14"/>
                <w:szCs w:val="14"/>
                <w:color w:val="auto"/>
              </w:rPr>
              <w:t>2007</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1"/>
              <w:spacing w:after="0" w:line="157" w:lineRule="exact"/>
              <w:rPr>
                <w:sz w:val="20"/>
                <w:szCs w:val="20"/>
                <w:color w:val="auto"/>
              </w:rPr>
            </w:pPr>
            <w:r>
              <w:rPr>
                <w:rFonts w:ascii="Arial" w:cs="Arial" w:eastAsia="Arial" w:hAnsi="Arial"/>
                <w:sz w:val="14"/>
                <w:szCs w:val="14"/>
                <w:color w:val="auto"/>
              </w:rPr>
              <w:t>2006</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Change</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3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20"/>
              <w:spacing w:after="0" w:line="196" w:lineRule="exact"/>
              <w:rPr>
                <w:sz w:val="20"/>
                <w:szCs w:val="20"/>
                <w:color w:val="auto"/>
              </w:rPr>
            </w:pPr>
            <w:r>
              <w:rPr>
                <w:rFonts w:ascii="Arial" w:cs="Arial" w:eastAsia="Arial" w:hAnsi="Arial"/>
                <w:sz w:val="18"/>
                <w:szCs w:val="18"/>
                <w:color w:val="auto"/>
                <w:w w:val="98"/>
              </w:rPr>
              <w:t>321,275</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w w:val="98"/>
              </w:rPr>
              <w:t>230,974</w:t>
            </w:r>
          </w:p>
        </w:tc>
        <w:tc>
          <w:tcPr>
            <w:tcW w:w="1700" w:type="dxa"/>
            <w:vAlign w:val="bottom"/>
            <w:gridSpan w:val="3"/>
            <w:shd w:val="clear" w:color="auto" w:fill="CCEEFF"/>
          </w:tcPr>
          <w:p>
            <w:pPr>
              <w:jc w:val="right"/>
              <w:ind w:right="520"/>
              <w:spacing w:after="0" w:line="196" w:lineRule="exact"/>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88"/>
              <w:spacing w:after="0" w:line="196" w:lineRule="exact"/>
              <w:rPr>
                <w:sz w:val="20"/>
                <w:szCs w:val="20"/>
                <w:color w:val="auto"/>
              </w:rPr>
            </w:pPr>
            <w:r>
              <w:rPr>
                <w:rFonts w:ascii="Arial" w:cs="Arial" w:eastAsia="Arial" w:hAnsi="Arial"/>
                <w:sz w:val="18"/>
                <w:szCs w:val="18"/>
                <w:color w:val="auto"/>
                <w:w w:val="98"/>
              </w:rPr>
              <w:t>653,534</w:t>
            </w:r>
          </w:p>
        </w:tc>
        <w:tc>
          <w:tcPr>
            <w:tcW w:w="4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line="196" w:lineRule="exact"/>
              <w:rPr>
                <w:sz w:val="20"/>
                <w:szCs w:val="20"/>
                <w:color w:val="auto"/>
              </w:rPr>
            </w:pPr>
            <w:r>
              <w:rPr>
                <w:rFonts w:ascii="Arial" w:cs="Arial" w:eastAsia="Arial" w:hAnsi="Arial"/>
                <w:sz w:val="18"/>
                <w:szCs w:val="18"/>
                <w:color w:val="auto"/>
                <w:w w:val="98"/>
              </w:rPr>
              <w:t>463,609</w:t>
            </w:r>
          </w:p>
        </w:tc>
        <w:tc>
          <w:tcPr>
            <w:tcW w:w="9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Cost of products sold</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171,114</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w w:val="98"/>
              </w:rPr>
              <w:t>113,869</w:t>
            </w:r>
          </w:p>
        </w:tc>
        <w:tc>
          <w:tcPr>
            <w:tcW w:w="1700" w:type="dxa"/>
            <w:vAlign w:val="bottom"/>
            <w:gridSpan w:val="3"/>
          </w:tcPr>
          <w:p>
            <w:pPr>
              <w:jc w:val="right"/>
              <w:ind w:right="520"/>
              <w:spacing w:after="0" w:line="202" w:lineRule="exact"/>
              <w:rPr>
                <w:sz w:val="20"/>
                <w:szCs w:val="20"/>
                <w:color w:val="auto"/>
              </w:rPr>
            </w:pPr>
            <w:r>
              <w:rPr>
                <w:rFonts w:ascii="Arial" w:cs="Arial" w:eastAsia="Arial" w:hAnsi="Arial"/>
                <w:sz w:val="18"/>
                <w:szCs w:val="18"/>
                <w:color w:val="auto"/>
              </w:rPr>
              <w:t>50.3%</w:t>
            </w:r>
          </w:p>
        </w:tc>
        <w:tc>
          <w:tcPr>
            <w:tcW w:w="100" w:type="dxa"/>
            <w:vAlign w:val="bottom"/>
          </w:tcPr>
          <w:p>
            <w:pPr>
              <w:spacing w:after="0"/>
              <w:rPr>
                <w:sz w:val="17"/>
                <w:szCs w:val="17"/>
                <w:color w:val="auto"/>
              </w:rPr>
            </w:pPr>
          </w:p>
        </w:tc>
        <w:tc>
          <w:tcPr>
            <w:tcW w:w="1020" w:type="dxa"/>
            <w:vAlign w:val="bottom"/>
            <w:gridSpan w:val="2"/>
          </w:tcPr>
          <w:p>
            <w:pPr>
              <w:jc w:val="right"/>
              <w:ind w:right="288"/>
              <w:spacing w:after="0" w:line="202" w:lineRule="exact"/>
              <w:rPr>
                <w:sz w:val="20"/>
                <w:szCs w:val="20"/>
                <w:color w:val="auto"/>
              </w:rPr>
            </w:pPr>
            <w:r>
              <w:rPr>
                <w:rFonts w:ascii="Arial" w:cs="Arial" w:eastAsia="Arial" w:hAnsi="Arial"/>
                <w:sz w:val="18"/>
                <w:szCs w:val="18"/>
                <w:color w:val="auto"/>
                <w:w w:val="98"/>
              </w:rPr>
              <w:t>339,245</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w w:val="98"/>
              </w:rPr>
              <w:t>222,513</w:t>
            </w:r>
          </w:p>
        </w:tc>
        <w:tc>
          <w:tcPr>
            <w:tcW w:w="9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Gross margin</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150,161</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8"/>
              </w:rPr>
              <w:t>117,105</w:t>
            </w:r>
          </w:p>
        </w:tc>
        <w:tc>
          <w:tcPr>
            <w:tcW w:w="1700" w:type="dxa"/>
            <w:vAlign w:val="bottom"/>
            <w:gridSpan w:val="3"/>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8"/>
              <w:spacing w:after="0" w:line="202" w:lineRule="exact"/>
              <w:rPr>
                <w:sz w:val="20"/>
                <w:szCs w:val="20"/>
                <w:color w:val="auto"/>
              </w:rPr>
            </w:pPr>
            <w:r>
              <w:rPr>
                <w:rFonts w:ascii="Arial" w:cs="Arial" w:eastAsia="Arial" w:hAnsi="Arial"/>
                <w:sz w:val="18"/>
                <w:szCs w:val="18"/>
                <w:color w:val="auto"/>
                <w:w w:val="98"/>
              </w:rPr>
              <w:t>314,289</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w w:val="98"/>
              </w:rPr>
              <w:t>241,096</w:t>
            </w:r>
          </w:p>
        </w:tc>
        <w:tc>
          <w:tcPr>
            <w:tcW w:w="9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405"/>
        </w:trPr>
        <w:tc>
          <w:tcPr>
            <w:tcW w:w="32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9,082</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6,829</w:t>
            </w:r>
          </w:p>
        </w:tc>
        <w:tc>
          <w:tcPr>
            <w:tcW w:w="1700" w:type="dxa"/>
            <w:vAlign w:val="bottom"/>
            <w:gridSpan w:val="3"/>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8"/>
              <w:spacing w:after="0" w:line="202" w:lineRule="exact"/>
              <w:rPr>
                <w:sz w:val="20"/>
                <w:szCs w:val="20"/>
                <w:color w:val="auto"/>
              </w:rPr>
            </w:pPr>
            <w:r>
              <w:rPr>
                <w:rFonts w:ascii="Arial" w:cs="Arial" w:eastAsia="Arial" w:hAnsi="Arial"/>
                <w:sz w:val="18"/>
                <w:szCs w:val="18"/>
                <w:color w:val="auto"/>
              </w:rPr>
              <w:t>17,614</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13,363</w:t>
            </w:r>
          </w:p>
        </w:tc>
        <w:tc>
          <w:tcPr>
            <w:tcW w:w="9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108,355</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79,000</w:t>
            </w:r>
          </w:p>
        </w:tc>
        <w:tc>
          <w:tcPr>
            <w:tcW w:w="1700" w:type="dxa"/>
            <w:vAlign w:val="bottom"/>
            <w:gridSpan w:val="3"/>
          </w:tcPr>
          <w:p>
            <w:pPr>
              <w:jc w:val="right"/>
              <w:ind w:right="520"/>
              <w:spacing w:after="0" w:line="202" w:lineRule="exact"/>
              <w:rPr>
                <w:sz w:val="20"/>
                <w:szCs w:val="20"/>
                <w:color w:val="auto"/>
              </w:rPr>
            </w:pPr>
            <w:r>
              <w:rPr>
                <w:rFonts w:ascii="Arial" w:cs="Arial" w:eastAsia="Arial" w:hAnsi="Arial"/>
                <w:sz w:val="18"/>
                <w:szCs w:val="18"/>
                <w:color w:val="auto"/>
              </w:rPr>
              <w:t>37.2%</w:t>
            </w:r>
          </w:p>
        </w:tc>
        <w:tc>
          <w:tcPr>
            <w:tcW w:w="100" w:type="dxa"/>
            <w:vAlign w:val="bottom"/>
          </w:tcPr>
          <w:p>
            <w:pPr>
              <w:spacing w:after="0"/>
              <w:rPr>
                <w:sz w:val="17"/>
                <w:szCs w:val="17"/>
                <w:color w:val="auto"/>
              </w:rPr>
            </w:pPr>
          </w:p>
        </w:tc>
        <w:tc>
          <w:tcPr>
            <w:tcW w:w="1020" w:type="dxa"/>
            <w:vAlign w:val="bottom"/>
            <w:gridSpan w:val="2"/>
          </w:tcPr>
          <w:p>
            <w:pPr>
              <w:jc w:val="right"/>
              <w:ind w:right="288"/>
              <w:spacing w:after="0" w:line="202" w:lineRule="exact"/>
              <w:rPr>
                <w:sz w:val="20"/>
                <w:szCs w:val="20"/>
                <w:color w:val="auto"/>
              </w:rPr>
            </w:pPr>
            <w:r>
              <w:rPr>
                <w:rFonts w:ascii="Arial" w:cs="Arial" w:eastAsia="Arial" w:hAnsi="Arial"/>
                <w:sz w:val="18"/>
                <w:szCs w:val="18"/>
                <w:color w:val="auto"/>
                <w:w w:val="98"/>
              </w:rPr>
              <w:t>212,010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w w:val="98"/>
              </w:rPr>
              <w:t>152,328</w:t>
            </w:r>
          </w:p>
        </w:tc>
        <w:tc>
          <w:tcPr>
            <w:tcW w:w="9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117,437</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85,829</w:t>
            </w:r>
          </w:p>
        </w:tc>
        <w:tc>
          <w:tcPr>
            <w:tcW w:w="1700" w:type="dxa"/>
            <w:vAlign w:val="bottom"/>
            <w:gridSpan w:val="3"/>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8"/>
              <w:spacing w:after="0" w:line="202" w:lineRule="exact"/>
              <w:rPr>
                <w:sz w:val="20"/>
                <w:szCs w:val="20"/>
                <w:color w:val="auto"/>
              </w:rPr>
            </w:pPr>
            <w:r>
              <w:rPr>
                <w:rFonts w:ascii="Arial" w:cs="Arial" w:eastAsia="Arial" w:hAnsi="Arial"/>
                <w:sz w:val="18"/>
                <w:szCs w:val="18"/>
                <w:color w:val="auto"/>
                <w:w w:val="98"/>
              </w:rPr>
              <w:t>229,624</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w w:val="98"/>
              </w:rPr>
              <w:t>165,691</w:t>
            </w:r>
          </w:p>
        </w:tc>
        <w:tc>
          <w:tcPr>
            <w:tcW w:w="9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419"/>
        </w:trPr>
        <w:tc>
          <w:tcPr>
            <w:tcW w:w="32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32,724</w:t>
            </w:r>
          </w:p>
        </w:tc>
        <w:tc>
          <w:tcPr>
            <w:tcW w:w="1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31,276</w:t>
            </w:r>
          </w:p>
        </w:tc>
        <w:tc>
          <w:tcPr>
            <w:tcW w:w="1700" w:type="dxa"/>
            <w:vAlign w:val="bottom"/>
            <w:gridSpan w:val="3"/>
          </w:tcPr>
          <w:p>
            <w:pPr>
              <w:jc w:val="right"/>
              <w:ind w:right="52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1020" w:type="dxa"/>
            <w:vAlign w:val="bottom"/>
            <w:gridSpan w:val="2"/>
          </w:tcPr>
          <w:p>
            <w:pPr>
              <w:jc w:val="right"/>
              <w:ind w:right="288"/>
              <w:spacing w:after="0"/>
              <w:rPr>
                <w:sz w:val="20"/>
                <w:szCs w:val="20"/>
                <w:color w:val="auto"/>
              </w:rPr>
            </w:pPr>
            <w:r>
              <w:rPr>
                <w:rFonts w:ascii="Arial" w:cs="Arial" w:eastAsia="Arial" w:hAnsi="Arial"/>
                <w:sz w:val="18"/>
                <w:szCs w:val="18"/>
                <w:color w:val="auto"/>
              </w:rPr>
              <w:t>84,665</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75,405</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and (expense):</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ind w:left="200"/>
              <w:spacing w:after="0" w:line="201" w:lineRule="exact"/>
              <w:rPr>
                <w:sz w:val="20"/>
                <w:szCs w:val="20"/>
                <w:color w:val="auto"/>
              </w:rPr>
            </w:pPr>
            <w:r>
              <w:rPr>
                <w:rFonts w:ascii="Arial" w:cs="Arial" w:eastAsia="Arial" w:hAnsi="Arial"/>
                <w:sz w:val="18"/>
                <w:szCs w:val="18"/>
                <w:color w:val="auto"/>
              </w:rPr>
              <w:t>Investment and other income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ind w:left="200"/>
              <w:spacing w:after="0" w:line="203" w:lineRule="exact"/>
              <w:rPr>
                <w:sz w:val="20"/>
                <w:szCs w:val="20"/>
                <w:color w:val="auto"/>
              </w:rPr>
            </w:pPr>
            <w:r>
              <w:rPr>
                <w:rFonts w:ascii="Arial" w:cs="Arial" w:eastAsia="Arial" w:hAnsi="Arial"/>
                <w:sz w:val="18"/>
                <w:szCs w:val="18"/>
                <w:color w:val="auto"/>
              </w:rPr>
              <w:t>(expense)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560"/>
              <w:spacing w:after="0" w:line="203" w:lineRule="exact"/>
              <w:rPr>
                <w:sz w:val="20"/>
                <w:szCs w:val="20"/>
                <w:color w:val="auto"/>
              </w:rPr>
            </w:pPr>
            <w:r>
              <w:rPr>
                <w:rFonts w:ascii="Arial" w:cs="Arial" w:eastAsia="Arial" w:hAnsi="Arial"/>
                <w:sz w:val="18"/>
                <w:szCs w:val="18"/>
                <w:color w:val="auto"/>
              </w:rPr>
              <w:t>(106)</w:t>
            </w:r>
          </w:p>
        </w:tc>
        <w:tc>
          <w:tcPr>
            <w:tcW w:w="100" w:type="dxa"/>
            <w:vAlign w:val="bottom"/>
          </w:tcPr>
          <w:p>
            <w:pPr>
              <w:spacing w:after="0"/>
              <w:rPr>
                <w:sz w:val="17"/>
                <w:szCs w:val="17"/>
                <w:color w:val="auto"/>
              </w:rPr>
            </w:pPr>
          </w:p>
        </w:tc>
        <w:tc>
          <w:tcPr>
            <w:tcW w:w="1020" w:type="dxa"/>
            <w:vAlign w:val="bottom"/>
            <w:gridSpan w:val="2"/>
          </w:tcPr>
          <w:p>
            <w:pPr>
              <w:jc w:val="right"/>
              <w:ind w:right="360"/>
              <w:spacing w:after="0" w:line="203" w:lineRule="exact"/>
              <w:rPr>
                <w:sz w:val="20"/>
                <w:szCs w:val="20"/>
                <w:color w:val="auto"/>
              </w:rPr>
            </w:pPr>
            <w:r>
              <w:rPr>
                <w:rFonts w:ascii="Arial" w:cs="Arial" w:eastAsia="Arial" w:hAnsi="Arial"/>
                <w:sz w:val="18"/>
                <w:szCs w:val="18"/>
                <w:color w:val="auto"/>
              </w:rPr>
              <w:t>88</w:t>
            </w:r>
          </w:p>
        </w:tc>
        <w:tc>
          <w:tcPr>
            <w:tcW w:w="1700" w:type="dxa"/>
            <w:vAlign w:val="bottom"/>
            <w:gridSpan w:val="3"/>
          </w:tcPr>
          <w:p>
            <w:pPr>
              <w:jc w:val="right"/>
              <w:ind w:right="520"/>
              <w:spacing w:after="0" w:line="203" w:lineRule="exact"/>
              <w:rPr>
                <w:sz w:val="20"/>
                <w:szCs w:val="20"/>
                <w:color w:val="auto"/>
              </w:rPr>
            </w:pPr>
            <w:r>
              <w:rPr>
                <w:rFonts w:ascii="Arial" w:cs="Arial" w:eastAsia="Arial" w:hAnsi="Arial"/>
                <w:sz w:val="18"/>
                <w:szCs w:val="18"/>
                <w:color w:val="auto"/>
              </w:rPr>
              <w:t>-220.5%</w:t>
            </w:r>
          </w:p>
        </w:tc>
        <w:tc>
          <w:tcPr>
            <w:tcW w:w="100" w:type="dxa"/>
            <w:vAlign w:val="bottom"/>
          </w:tcPr>
          <w:p>
            <w:pPr>
              <w:spacing w:after="0"/>
              <w:rPr>
                <w:sz w:val="17"/>
                <w:szCs w:val="17"/>
                <w:color w:val="auto"/>
              </w:rPr>
            </w:pPr>
          </w:p>
        </w:tc>
        <w:tc>
          <w:tcPr>
            <w:tcW w:w="1020" w:type="dxa"/>
            <w:vAlign w:val="bottom"/>
            <w:gridSpan w:val="2"/>
          </w:tcPr>
          <w:p>
            <w:pPr>
              <w:jc w:val="right"/>
              <w:ind w:right="288"/>
              <w:spacing w:after="0" w:line="203" w:lineRule="exact"/>
              <w:rPr>
                <w:sz w:val="20"/>
                <w:szCs w:val="20"/>
                <w:color w:val="auto"/>
              </w:rPr>
            </w:pPr>
            <w:r>
              <w:rPr>
                <w:rFonts w:ascii="Arial" w:cs="Arial" w:eastAsia="Arial" w:hAnsi="Arial"/>
                <w:sz w:val="18"/>
                <w:szCs w:val="18"/>
                <w:color w:val="auto"/>
              </w:rPr>
              <w:t>532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480</w:t>
            </w:r>
          </w:p>
        </w:tc>
        <w:tc>
          <w:tcPr>
            <w:tcW w:w="600" w:type="dxa"/>
            <w:vAlign w:val="bottom"/>
          </w:tcPr>
          <w:p>
            <w:pPr>
              <w:spacing w:after="0"/>
              <w:rPr>
                <w:sz w:val="17"/>
                <w:szCs w:val="17"/>
                <w:color w:val="auto"/>
              </w:rPr>
            </w:pPr>
          </w:p>
        </w:tc>
        <w:tc>
          <w:tcPr>
            <w:tcW w:w="92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(5,244)</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(2,435)</w:t>
            </w:r>
          </w:p>
        </w:tc>
        <w:tc>
          <w:tcPr>
            <w:tcW w:w="1700" w:type="dxa"/>
            <w:vAlign w:val="bottom"/>
            <w:gridSpan w:val="3"/>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115.4%</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(9,979)</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(4,424)</w:t>
            </w:r>
          </w:p>
        </w:tc>
        <w:tc>
          <w:tcPr>
            <w:tcW w:w="9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0"/>
        </w:trPr>
        <w:tc>
          <w:tcPr>
            <w:tcW w:w="3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27,374</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28,929</w:t>
            </w:r>
          </w:p>
        </w:tc>
        <w:tc>
          <w:tcPr>
            <w:tcW w:w="1700" w:type="dxa"/>
            <w:vAlign w:val="bottom"/>
            <w:gridSpan w:val="3"/>
          </w:tcPr>
          <w:p>
            <w:pPr>
              <w:jc w:val="right"/>
              <w:ind w:right="52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4"/>
                <w:szCs w:val="24"/>
                <w:color w:val="auto"/>
              </w:rPr>
            </w:pPr>
          </w:p>
        </w:tc>
        <w:tc>
          <w:tcPr>
            <w:tcW w:w="1020" w:type="dxa"/>
            <w:vAlign w:val="bottom"/>
            <w:gridSpan w:val="2"/>
          </w:tcPr>
          <w:p>
            <w:pPr>
              <w:jc w:val="right"/>
              <w:ind w:right="288"/>
              <w:spacing w:after="0"/>
              <w:rPr>
                <w:sz w:val="20"/>
                <w:szCs w:val="20"/>
                <w:color w:val="auto"/>
              </w:rPr>
            </w:pPr>
            <w:r>
              <w:rPr>
                <w:rFonts w:ascii="Arial" w:cs="Arial" w:eastAsia="Arial" w:hAnsi="Arial"/>
                <w:sz w:val="18"/>
                <w:szCs w:val="18"/>
                <w:color w:val="auto"/>
              </w:rPr>
              <w:t>75,218</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71,461</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7,665</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7,675</w:t>
            </w:r>
          </w:p>
        </w:tc>
        <w:tc>
          <w:tcPr>
            <w:tcW w:w="1700" w:type="dxa"/>
            <w:vAlign w:val="bottom"/>
            <w:gridSpan w:val="3"/>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8"/>
              <w:spacing w:after="0" w:line="202" w:lineRule="exact"/>
              <w:rPr>
                <w:sz w:val="20"/>
                <w:szCs w:val="20"/>
                <w:color w:val="auto"/>
              </w:rPr>
            </w:pPr>
            <w:r>
              <w:rPr>
                <w:rFonts w:ascii="Arial" w:cs="Arial" w:eastAsia="Arial" w:hAnsi="Arial"/>
                <w:sz w:val="18"/>
                <w:szCs w:val="18"/>
                <w:color w:val="auto"/>
              </w:rPr>
              <w:t>21,061</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20,009</w:t>
            </w:r>
          </w:p>
        </w:tc>
        <w:tc>
          <w:tcPr>
            <w:tcW w:w="9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3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19,709</w:t>
            </w:r>
          </w:p>
        </w:tc>
        <w:tc>
          <w:tcPr>
            <w:tcW w:w="6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21,254</w:t>
            </w:r>
          </w:p>
        </w:tc>
        <w:tc>
          <w:tcPr>
            <w:tcW w:w="1700" w:type="dxa"/>
            <w:vAlign w:val="bottom"/>
            <w:gridSpan w:val="3"/>
          </w:tcPr>
          <w:p>
            <w:pPr>
              <w:jc w:val="right"/>
              <w:ind w:right="520"/>
              <w:spacing w:after="0"/>
              <w:rPr>
                <w:sz w:val="20"/>
                <w:szCs w:val="20"/>
                <w:color w:val="auto"/>
              </w:rPr>
            </w:pPr>
            <w:r>
              <w:rPr>
                <w:rFonts w:ascii="Arial" w:cs="Arial" w:eastAsia="Arial" w:hAnsi="Arial"/>
                <w:sz w:val="18"/>
                <w:szCs w:val="18"/>
                <w:color w:val="auto"/>
              </w:rPr>
              <w:t>-7.3%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88"/>
              <w:spacing w:after="0"/>
              <w:rPr>
                <w:sz w:val="20"/>
                <w:szCs w:val="20"/>
                <w:color w:val="auto"/>
              </w:rPr>
            </w:pPr>
            <w:r>
              <w:rPr>
                <w:rFonts w:ascii="Arial" w:cs="Arial" w:eastAsia="Arial" w:hAnsi="Arial"/>
                <w:sz w:val="18"/>
                <w:szCs w:val="18"/>
                <w:color w:val="auto"/>
              </w:rPr>
              <w:t>54,157</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51,452</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Per Class A Nonvoting Common</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Share:</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ind w:left="200"/>
              <w:spacing w:after="0" w:line="202" w:lineRule="exact"/>
              <w:rPr>
                <w:sz w:val="20"/>
                <w:szCs w:val="20"/>
                <w:color w:val="auto"/>
              </w:rPr>
            </w:pPr>
            <w:r>
              <w:rPr>
                <w:rFonts w:ascii="Arial" w:cs="Arial" w:eastAsia="Arial" w:hAnsi="Arial"/>
                <w:sz w:val="18"/>
                <w:szCs w:val="18"/>
                <w:color w:val="auto"/>
              </w:rPr>
              <w:t>Basic net income</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0.37</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0.43</w:t>
            </w:r>
          </w:p>
        </w:tc>
        <w:tc>
          <w:tcPr>
            <w:tcW w:w="1700" w:type="dxa"/>
            <w:vAlign w:val="bottom"/>
            <w:gridSpan w:val="3"/>
          </w:tcPr>
          <w:p>
            <w:pPr>
              <w:jc w:val="right"/>
              <w:ind w:right="520"/>
              <w:spacing w:after="0" w:line="202" w:lineRule="exact"/>
              <w:rPr>
                <w:sz w:val="20"/>
                <w:szCs w:val="20"/>
                <w:color w:val="auto"/>
              </w:rPr>
            </w:pPr>
            <w:r>
              <w:rPr>
                <w:rFonts w:ascii="Arial" w:cs="Arial" w:eastAsia="Arial" w:hAnsi="Arial"/>
                <w:sz w:val="18"/>
                <w:szCs w:val="18"/>
                <w:color w:val="auto"/>
              </w:rPr>
              <w:t>-14.0%</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88"/>
              <w:spacing w:after="0" w:line="202" w:lineRule="exact"/>
              <w:rPr>
                <w:sz w:val="20"/>
                <w:szCs w:val="20"/>
                <w:color w:val="auto"/>
              </w:rPr>
            </w:pPr>
            <w:r>
              <w:rPr>
                <w:rFonts w:ascii="Arial" w:cs="Arial" w:eastAsia="Arial" w:hAnsi="Arial"/>
                <w:sz w:val="18"/>
                <w:szCs w:val="18"/>
                <w:color w:val="auto"/>
              </w:rPr>
              <w:t>1.01</w:t>
            </w: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1.05</w:t>
            </w:r>
          </w:p>
        </w:tc>
        <w:tc>
          <w:tcPr>
            <w:tcW w:w="600" w:type="dxa"/>
            <w:vAlign w:val="bottom"/>
          </w:tcPr>
          <w:p>
            <w:pPr>
              <w:spacing w:after="0"/>
              <w:rPr>
                <w:sz w:val="17"/>
                <w:szCs w:val="17"/>
                <w:color w:val="auto"/>
              </w:rPr>
            </w:pPr>
          </w:p>
        </w:tc>
        <w:tc>
          <w:tcPr>
            <w:tcW w:w="9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Diluted net income</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0.43</w:t>
            </w:r>
          </w:p>
        </w:tc>
        <w:tc>
          <w:tcPr>
            <w:tcW w:w="1700" w:type="dxa"/>
            <w:vAlign w:val="bottom"/>
            <w:gridSpan w:val="3"/>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88"/>
              <w:spacing w:after="0" w:line="202" w:lineRule="exact"/>
              <w:rPr>
                <w:sz w:val="20"/>
                <w:szCs w:val="20"/>
                <w:color w:val="auto"/>
              </w:rPr>
            </w:pPr>
            <w:r>
              <w:rPr>
                <w:rFonts w:ascii="Arial" w:cs="Arial" w:eastAsia="Arial" w:hAnsi="Arial"/>
                <w:sz w:val="18"/>
                <w:szCs w:val="18"/>
                <w:color w:val="auto"/>
              </w:rPr>
              <w:t>0.99</w:t>
            </w: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w:t>
            </w:r>
          </w:p>
        </w:tc>
        <w:tc>
          <w:tcPr>
            <w:tcW w:w="6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2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0.14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0.13</w:t>
            </w:r>
          </w:p>
        </w:tc>
        <w:tc>
          <w:tcPr>
            <w:tcW w:w="1700" w:type="dxa"/>
            <w:vAlign w:val="bottom"/>
            <w:gridSpan w:val="3"/>
          </w:tcPr>
          <w:p>
            <w:pPr>
              <w:jc w:val="right"/>
              <w:ind w:right="520"/>
              <w:spacing w:after="0"/>
              <w:rPr>
                <w:sz w:val="20"/>
                <w:szCs w:val="20"/>
                <w:color w:val="auto"/>
              </w:rPr>
            </w:pPr>
            <w:r>
              <w:rPr>
                <w:rFonts w:ascii="Arial" w:cs="Arial" w:eastAsia="Arial" w:hAnsi="Arial"/>
                <w:sz w:val="18"/>
                <w:szCs w:val="18"/>
                <w:color w:val="auto"/>
              </w:rPr>
              <w:t>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88"/>
              <w:spacing w:after="0"/>
              <w:rPr>
                <w:sz w:val="20"/>
                <w:szCs w:val="20"/>
                <w:color w:val="auto"/>
              </w:rPr>
            </w:pPr>
            <w:r>
              <w:rPr>
                <w:rFonts w:ascii="Arial" w:cs="Arial" w:eastAsia="Arial" w:hAnsi="Arial"/>
                <w:sz w:val="18"/>
                <w:szCs w:val="18"/>
                <w:color w:val="auto"/>
              </w:rPr>
              <w:t>0.28</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0.26</w:t>
            </w:r>
          </w:p>
        </w:tc>
        <w:tc>
          <w:tcPr>
            <w:tcW w:w="6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3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Class B Voting Common Share:</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ind w:left="200"/>
              <w:spacing w:after="0" w:line="202" w:lineRule="exact"/>
              <w:rPr>
                <w:sz w:val="20"/>
                <w:szCs w:val="20"/>
                <w:color w:val="auto"/>
              </w:rPr>
            </w:pPr>
            <w:r>
              <w:rPr>
                <w:rFonts w:ascii="Arial" w:cs="Arial" w:eastAsia="Arial" w:hAnsi="Arial"/>
                <w:sz w:val="18"/>
                <w:szCs w:val="18"/>
                <w:color w:val="auto"/>
              </w:rPr>
              <w:t>Basic net income</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0.37</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0.43</w:t>
            </w:r>
          </w:p>
        </w:tc>
        <w:tc>
          <w:tcPr>
            <w:tcW w:w="1700" w:type="dxa"/>
            <w:vAlign w:val="bottom"/>
            <w:gridSpan w:val="3"/>
          </w:tcPr>
          <w:p>
            <w:pPr>
              <w:jc w:val="right"/>
              <w:ind w:right="520"/>
              <w:spacing w:after="0" w:line="202" w:lineRule="exact"/>
              <w:rPr>
                <w:sz w:val="20"/>
                <w:szCs w:val="20"/>
                <w:color w:val="auto"/>
              </w:rPr>
            </w:pPr>
            <w:r>
              <w:rPr>
                <w:rFonts w:ascii="Arial" w:cs="Arial" w:eastAsia="Arial" w:hAnsi="Arial"/>
                <w:sz w:val="18"/>
                <w:szCs w:val="18"/>
                <w:color w:val="auto"/>
              </w:rPr>
              <w:t>-14.0%</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88"/>
              <w:spacing w:after="0" w:line="202" w:lineRule="exact"/>
              <w:rPr>
                <w:sz w:val="20"/>
                <w:szCs w:val="20"/>
                <w:color w:val="auto"/>
              </w:rPr>
            </w:pPr>
            <w:r>
              <w:rPr>
                <w:rFonts w:ascii="Arial" w:cs="Arial" w:eastAsia="Arial" w:hAnsi="Arial"/>
                <w:sz w:val="18"/>
                <w:szCs w:val="18"/>
                <w:color w:val="auto"/>
              </w:rPr>
              <w:t>0.99</w:t>
            </w: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1.03</w:t>
            </w:r>
          </w:p>
        </w:tc>
        <w:tc>
          <w:tcPr>
            <w:tcW w:w="600" w:type="dxa"/>
            <w:vAlign w:val="bottom"/>
          </w:tcPr>
          <w:p>
            <w:pPr>
              <w:spacing w:after="0"/>
              <w:rPr>
                <w:sz w:val="17"/>
                <w:szCs w:val="17"/>
                <w:color w:val="auto"/>
              </w:rPr>
            </w:pPr>
          </w:p>
        </w:tc>
        <w:tc>
          <w:tcPr>
            <w:tcW w:w="9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Diluted net income</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0.43</w:t>
            </w:r>
          </w:p>
        </w:tc>
        <w:tc>
          <w:tcPr>
            <w:tcW w:w="1700" w:type="dxa"/>
            <w:vAlign w:val="bottom"/>
            <w:gridSpan w:val="3"/>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88"/>
              <w:spacing w:after="0" w:line="202" w:lineRule="exact"/>
              <w:rPr>
                <w:sz w:val="20"/>
                <w:szCs w:val="20"/>
                <w:color w:val="auto"/>
              </w:rPr>
            </w:pPr>
            <w:r>
              <w:rPr>
                <w:rFonts w:ascii="Arial" w:cs="Arial" w:eastAsia="Arial" w:hAnsi="Arial"/>
                <w:sz w:val="18"/>
                <w:szCs w:val="18"/>
                <w:color w:val="auto"/>
              </w:rPr>
              <w:t>0.97</w:t>
            </w: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w:t>
            </w:r>
          </w:p>
        </w:tc>
        <w:tc>
          <w:tcPr>
            <w:tcW w:w="6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2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0.14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0.13</w:t>
            </w:r>
          </w:p>
        </w:tc>
        <w:tc>
          <w:tcPr>
            <w:tcW w:w="1700" w:type="dxa"/>
            <w:vAlign w:val="bottom"/>
            <w:gridSpan w:val="3"/>
          </w:tcPr>
          <w:p>
            <w:pPr>
              <w:jc w:val="right"/>
              <w:ind w:right="520"/>
              <w:spacing w:after="0"/>
              <w:rPr>
                <w:sz w:val="20"/>
                <w:szCs w:val="20"/>
                <w:color w:val="auto"/>
              </w:rPr>
            </w:pPr>
            <w:r>
              <w:rPr>
                <w:rFonts w:ascii="Arial" w:cs="Arial" w:eastAsia="Arial" w:hAnsi="Arial"/>
                <w:sz w:val="18"/>
                <w:szCs w:val="18"/>
                <w:color w:val="auto"/>
              </w:rPr>
              <w:t>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88"/>
              <w:spacing w:after="0"/>
              <w:rPr>
                <w:sz w:val="20"/>
                <w:szCs w:val="20"/>
                <w:color w:val="auto"/>
              </w:rPr>
            </w:pPr>
            <w:r>
              <w:rPr>
                <w:rFonts w:ascii="Arial" w:cs="Arial" w:eastAsia="Arial" w:hAnsi="Arial"/>
                <w:sz w:val="18"/>
                <w:szCs w:val="18"/>
                <w:color w:val="auto"/>
              </w:rPr>
              <w:t>0.26</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0.24</w:t>
            </w:r>
          </w:p>
        </w:tc>
        <w:tc>
          <w:tcPr>
            <w:tcW w:w="6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3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 shares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outstanding (in Thousands):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ind w:left="200"/>
              <w:spacing w:after="0" w:line="202" w:lineRule="exact"/>
              <w:rPr>
                <w:sz w:val="20"/>
                <w:szCs w:val="20"/>
                <w:color w:val="auto"/>
              </w:rPr>
            </w:pPr>
            <w:r>
              <w:rPr>
                <w:rFonts w:ascii="Arial" w:cs="Arial" w:eastAsia="Arial" w:hAnsi="Arial"/>
                <w:sz w:val="18"/>
                <w:szCs w:val="18"/>
                <w:color w:val="auto"/>
              </w:rPr>
              <w:t>Basic</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53,894</w:t>
            </w:r>
          </w:p>
        </w:tc>
        <w:tc>
          <w:tcPr>
            <w:tcW w:w="100" w:type="dxa"/>
            <w:vAlign w:val="bottom"/>
          </w:tcPr>
          <w:p>
            <w:pPr>
              <w:spacing w:after="0"/>
              <w:rPr>
                <w:sz w:val="17"/>
                <w:szCs w:val="17"/>
                <w:color w:val="auto"/>
              </w:rPr>
            </w:pP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48,994</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88"/>
              <w:spacing w:after="0" w:line="202" w:lineRule="exact"/>
              <w:rPr>
                <w:sz w:val="20"/>
                <w:szCs w:val="20"/>
                <w:color w:val="auto"/>
              </w:rPr>
            </w:pPr>
            <w:r>
              <w:rPr>
                <w:rFonts w:ascii="Arial" w:cs="Arial" w:eastAsia="Arial" w:hAnsi="Arial"/>
                <w:sz w:val="18"/>
                <w:szCs w:val="18"/>
                <w:color w:val="auto"/>
              </w:rPr>
              <w:t>53,814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49,098</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54,789</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49,813</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8"/>
              <w:spacing w:after="0" w:line="202" w:lineRule="exact"/>
              <w:rPr>
                <w:sz w:val="20"/>
                <w:szCs w:val="20"/>
                <w:color w:val="auto"/>
              </w:rPr>
            </w:pPr>
            <w:r>
              <w:rPr>
                <w:rFonts w:ascii="Arial" w:cs="Arial" w:eastAsia="Arial" w:hAnsi="Arial"/>
                <w:sz w:val="18"/>
                <w:szCs w:val="18"/>
                <w:color w:val="auto"/>
              </w:rPr>
              <w:t>54,697</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49,891</w:t>
            </w: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8"/>
        </w:trPr>
        <w:tc>
          <w:tcPr>
            <w:tcW w:w="20" w:type="dxa"/>
            <w:vAlign w:val="bottom"/>
          </w:tcPr>
          <w:p>
            <w:pPr>
              <w:spacing w:after="0"/>
              <w:rPr>
                <w:sz w:val="24"/>
                <w:szCs w:val="24"/>
                <w:color w:val="auto"/>
              </w:rPr>
            </w:pPr>
          </w:p>
        </w:tc>
        <w:tc>
          <w:tcPr>
            <w:tcW w:w="32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0" w:name="page11"/>
    <w:bookmarkEnd w:id="10"/>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(Unaudited)</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January 31, 2007</w:t>
            </w:r>
          </w:p>
        </w:tc>
        <w:tc>
          <w:tcPr>
            <w:tcW w:w="9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July 31, 2006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shd w:val="clear" w:color="auto" w:fill="CCEEFF"/>
          </w:tcPr>
          <w:p>
            <w:pPr>
              <w:ind w:left="4280"/>
              <w:spacing w:after="0" w:line="196" w:lineRule="exact"/>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spacing w:after="0" w:line="202" w:lineRule="exact"/>
              <w:rPr>
                <w:sz w:val="20"/>
                <w:szCs w:val="20"/>
                <w:color w:val="auto"/>
              </w:rPr>
            </w:pPr>
            <w:r>
              <w:rPr>
                <w:rFonts w:ascii="Arial" w:cs="Arial" w:eastAsia="Arial" w:hAnsi="Arial"/>
                <w:sz w:val="18"/>
                <w:szCs w:val="18"/>
                <w:b w:val="1"/>
                <w:bCs w:val="1"/>
                <w:color w:val="auto"/>
              </w:rPr>
              <w:t>Current assets:</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Cash and cash equivalents</w:t>
            </w:r>
          </w:p>
        </w:tc>
        <w:tc>
          <w:tcPr>
            <w:tcW w:w="54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b w:val="1"/>
                <w:bCs w:val="1"/>
                <w:color w:val="auto"/>
              </w:rPr>
              <w:t>$</w:t>
            </w:r>
          </w:p>
        </w:tc>
        <w:tc>
          <w:tcPr>
            <w:tcW w:w="15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b w:val="1"/>
                <w:bCs w:val="1"/>
                <w:color w:val="auto"/>
              </w:rPr>
              <w:t>86,408</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113,008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ind w:left="400"/>
              <w:spacing w:after="0" w:line="202" w:lineRule="exact"/>
              <w:rPr>
                <w:sz w:val="20"/>
                <w:szCs w:val="20"/>
                <w:color w:val="auto"/>
              </w:rPr>
            </w:pPr>
            <w:r>
              <w:rPr>
                <w:rFonts w:ascii="Arial" w:cs="Arial" w:eastAsia="Arial" w:hAnsi="Arial"/>
                <w:sz w:val="18"/>
                <w:szCs w:val="18"/>
                <w:color w:val="auto"/>
              </w:rPr>
              <w:t>Short term investments</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right"/>
              <w:ind w:right="64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11,500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Accounts receivable, less allowance for losses ($8,340 and $6,390, respectively)</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218,594</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187,907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ind w:left="400"/>
              <w:spacing w:after="0" w:line="202" w:lineRule="exact"/>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Finished products</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b w:val="1"/>
                <w:bCs w:val="1"/>
                <w:color w:val="auto"/>
              </w:rPr>
              <w:t>76,245</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59,365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ind w:left="600"/>
              <w:spacing w:after="0" w:line="202" w:lineRule="exact"/>
              <w:rPr>
                <w:sz w:val="20"/>
                <w:szCs w:val="20"/>
                <w:color w:val="auto"/>
              </w:rPr>
            </w:pPr>
            <w:r>
              <w:rPr>
                <w:rFonts w:ascii="Arial" w:cs="Arial" w:eastAsia="Arial" w:hAnsi="Arial"/>
                <w:sz w:val="18"/>
                <w:szCs w:val="18"/>
                <w:color w:val="auto"/>
              </w:rPr>
              <w:t>Work-in-process</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right"/>
              <w:ind w:right="640"/>
              <w:spacing w:after="0" w:line="202" w:lineRule="exact"/>
              <w:rPr>
                <w:sz w:val="20"/>
                <w:szCs w:val="20"/>
                <w:color w:val="auto"/>
              </w:rPr>
            </w:pPr>
            <w:r>
              <w:rPr>
                <w:rFonts w:ascii="Arial" w:cs="Arial" w:eastAsia="Arial" w:hAnsi="Arial"/>
                <w:sz w:val="18"/>
                <w:szCs w:val="18"/>
                <w:b w:val="1"/>
                <w:bCs w:val="1"/>
                <w:color w:val="auto"/>
              </w:rPr>
              <w:t>18,292</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12,850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Raw materials and supplies</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b w:val="1"/>
                <w:bCs w:val="1"/>
                <w:color w:val="auto"/>
              </w:rPr>
              <w:t>39,823</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37,702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ind w:left="800"/>
              <w:spacing w:after="0"/>
              <w:rPr>
                <w:sz w:val="20"/>
                <w:szCs w:val="20"/>
                <w:color w:val="auto"/>
              </w:rPr>
            </w:pPr>
            <w:r>
              <w:rPr>
                <w:rFonts w:ascii="Arial" w:cs="Arial" w:eastAsia="Arial" w:hAnsi="Arial"/>
                <w:sz w:val="18"/>
                <w:szCs w:val="18"/>
                <w:color w:val="auto"/>
              </w:rPr>
              <w:t>Total inventories</w:t>
            </w: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134,360</w:t>
            </w: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109,917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43,389</w:t>
            </w:r>
          </w:p>
        </w:tc>
        <w:tc>
          <w:tcPr>
            <w:tcW w:w="6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36,825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280" w:type="dxa"/>
            <w:vAlign w:val="bottom"/>
          </w:tcPr>
          <w:p>
            <w:pPr>
              <w:ind w:left="600"/>
              <w:spacing w:after="0"/>
              <w:rPr>
                <w:sz w:val="20"/>
                <w:szCs w:val="20"/>
                <w:color w:val="auto"/>
              </w:rPr>
            </w:pPr>
            <w:r>
              <w:rPr>
                <w:rFonts w:ascii="Arial" w:cs="Arial" w:eastAsia="Arial" w:hAnsi="Arial"/>
                <w:sz w:val="18"/>
                <w:szCs w:val="18"/>
                <w:b w:val="1"/>
                <w:bCs w:val="1"/>
                <w:color w:val="auto"/>
              </w:rPr>
              <w:t>Total current assets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482,751</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459,157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assets:</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ind w:left="400"/>
              <w:spacing w:after="0" w:line="202" w:lineRule="exact"/>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655,238</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587,642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Other intangible assets, net</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145,544</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134,111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ind w:left="400"/>
              <w:spacing w:after="0" w:line="202" w:lineRule="exact"/>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right"/>
              <w:ind w:right="640"/>
              <w:spacing w:after="0" w:line="202" w:lineRule="exact"/>
              <w:rPr>
                <w:sz w:val="20"/>
                <w:szCs w:val="20"/>
                <w:color w:val="auto"/>
              </w:rPr>
            </w:pPr>
            <w:r>
              <w:rPr>
                <w:rFonts w:ascii="Arial" w:cs="Arial" w:eastAsia="Arial" w:hAnsi="Arial"/>
                <w:sz w:val="18"/>
                <w:szCs w:val="18"/>
                <w:b w:val="1"/>
                <w:bCs w:val="1"/>
                <w:color w:val="auto"/>
              </w:rPr>
              <w:t>33,954</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34,135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16,599</w:t>
            </w:r>
          </w:p>
        </w:tc>
        <w:tc>
          <w:tcPr>
            <w:tcW w:w="6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10,235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280" w:type="dxa"/>
            <w:vAlign w:val="bottom"/>
          </w:tcPr>
          <w:p>
            <w:pPr>
              <w:ind w:left="600"/>
              <w:spacing w:after="0"/>
              <w:rPr>
                <w:sz w:val="20"/>
                <w:szCs w:val="20"/>
                <w:color w:val="auto"/>
              </w:rPr>
            </w:pPr>
            <w:r>
              <w:rPr>
                <w:rFonts w:ascii="Arial" w:cs="Arial" w:eastAsia="Arial" w:hAnsi="Arial"/>
                <w:sz w:val="18"/>
                <w:szCs w:val="18"/>
                <w:b w:val="1"/>
                <w:bCs w:val="1"/>
                <w:color w:val="auto"/>
              </w:rPr>
              <w:t>Total other assets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851,335</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766,123</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Property, plant and equipment:</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ind w:left="400"/>
              <w:spacing w:after="0" w:line="202" w:lineRule="exact"/>
              <w:rPr>
                <w:sz w:val="20"/>
                <w:szCs w:val="20"/>
                <w:color w:val="auto"/>
              </w:rPr>
            </w:pPr>
            <w:r>
              <w:rPr>
                <w:rFonts w:ascii="Arial" w:cs="Arial" w:eastAsia="Arial" w:hAnsi="Arial"/>
                <w:sz w:val="18"/>
                <w:szCs w:val="18"/>
                <w:color w:val="auto"/>
              </w:rPr>
              <w:t>Cost: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Land</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b w:val="1"/>
                <w:bCs w:val="1"/>
                <w:color w:val="auto"/>
              </w:rPr>
              <w:t>6,582</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6,548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ind w:left="600"/>
              <w:spacing w:after="0" w:line="202" w:lineRule="exact"/>
              <w:rPr>
                <w:sz w:val="20"/>
                <w:szCs w:val="20"/>
                <w:color w:val="auto"/>
              </w:rPr>
            </w:pPr>
            <w:r>
              <w:rPr>
                <w:rFonts w:ascii="Arial" w:cs="Arial" w:eastAsia="Arial" w:hAnsi="Arial"/>
                <w:sz w:val="18"/>
                <w:szCs w:val="18"/>
                <w:color w:val="auto"/>
              </w:rPr>
              <w:t>Buildings and improvements</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right"/>
              <w:ind w:right="640"/>
              <w:spacing w:after="0" w:line="202" w:lineRule="exact"/>
              <w:rPr>
                <w:sz w:val="20"/>
                <w:szCs w:val="20"/>
                <w:color w:val="auto"/>
              </w:rPr>
            </w:pPr>
            <w:r>
              <w:rPr>
                <w:rFonts w:ascii="Arial" w:cs="Arial" w:eastAsia="Arial" w:hAnsi="Arial"/>
                <w:sz w:val="18"/>
                <w:szCs w:val="18"/>
                <w:b w:val="1"/>
                <w:bCs w:val="1"/>
                <w:color w:val="auto"/>
              </w:rPr>
              <w:t>81,878</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78,418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Machinery and equipment</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219,468</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198,426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ind w:left="600"/>
              <w:spacing w:after="0" w:line="202" w:lineRule="exact"/>
              <w:rPr>
                <w:sz w:val="20"/>
                <w:szCs w:val="20"/>
                <w:color w:val="auto"/>
              </w:rPr>
            </w:pPr>
            <w:r>
              <w:rPr>
                <w:rFonts w:ascii="Arial" w:cs="Arial" w:eastAsia="Arial" w:hAnsi="Arial"/>
                <w:sz w:val="18"/>
                <w:szCs w:val="18"/>
                <w:color w:val="auto"/>
              </w:rPr>
              <w:t>Construction in progress</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right"/>
              <w:ind w:right="640"/>
              <w:spacing w:after="0" w:line="202" w:lineRule="exact"/>
              <w:rPr>
                <w:sz w:val="20"/>
                <w:szCs w:val="20"/>
                <w:color w:val="auto"/>
              </w:rPr>
            </w:pPr>
            <w:r>
              <w:rPr>
                <w:rFonts w:ascii="Arial" w:cs="Arial" w:eastAsia="Arial" w:hAnsi="Arial"/>
                <w:sz w:val="18"/>
                <w:szCs w:val="18"/>
                <w:b w:val="1"/>
                <w:bCs w:val="1"/>
                <w:color w:val="auto"/>
              </w:rPr>
              <w:t>28,636</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12,098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336,564</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295,490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ind w:left="400"/>
              <w:spacing w:after="0" w:line="202" w:lineRule="exact"/>
              <w:rPr>
                <w:sz w:val="20"/>
                <w:szCs w:val="20"/>
                <w:color w:val="auto"/>
              </w:rPr>
            </w:pPr>
            <w:r>
              <w:rPr>
                <w:rFonts w:ascii="Arial" w:cs="Arial" w:eastAsia="Arial" w:hAnsi="Arial"/>
                <w:sz w:val="18"/>
                <w:szCs w:val="18"/>
                <w:color w:val="auto"/>
              </w:rPr>
              <w:t>Less accumulated depreciation</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171,144</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155,584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b w:val="1"/>
                <w:bCs w:val="1"/>
                <w:color w:val="auto"/>
              </w:rPr>
              <w:t>Net property, plant and equipment</w:t>
            </w:r>
          </w:p>
        </w:tc>
        <w:tc>
          <w:tcPr>
            <w:tcW w:w="3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165,420</w:t>
            </w:r>
          </w:p>
        </w:tc>
        <w:tc>
          <w:tcPr>
            <w:tcW w:w="6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139,906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gridSpan w:val="2"/>
          </w:tcPr>
          <w:p>
            <w:pPr>
              <w:ind w:left="320"/>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1,499,506</w:t>
            </w:r>
          </w:p>
        </w:tc>
        <w:tc>
          <w:tcPr>
            <w:tcW w:w="100" w:type="dxa"/>
            <w:vAlign w:val="bottom"/>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1,365,186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280" w:type="dxa"/>
            <w:vAlign w:val="bottom"/>
            <w:shd w:val="clear" w:color="auto" w:fill="CCEEFF"/>
          </w:tcPr>
          <w:p>
            <w:pPr>
              <w:ind w:left="2380"/>
              <w:spacing w:after="0" w:line="196" w:lineRule="exact"/>
              <w:rPr>
                <w:sz w:val="20"/>
                <w:szCs w:val="20"/>
                <w:color w:val="auto"/>
              </w:rPr>
            </w:pPr>
            <w:r>
              <w:rPr>
                <w:rFonts w:ascii="Arial" w:cs="Arial" w:eastAsia="Arial" w:hAnsi="Arial"/>
                <w:sz w:val="18"/>
                <w:szCs w:val="18"/>
                <w:b w:val="1"/>
                <w:bCs w:val="1"/>
                <w:color w:val="auto"/>
              </w:rPr>
              <w:t>LIABILITIES AND STOCKHOLDERS’ INVESTMENT</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Accounts payable</w:t>
            </w:r>
          </w:p>
        </w:tc>
        <w:tc>
          <w:tcPr>
            <w:tcW w:w="54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b w:val="1"/>
                <w:bCs w:val="1"/>
                <w:color w:val="auto"/>
              </w:rPr>
              <w:t>$</w:t>
            </w:r>
          </w:p>
        </w:tc>
        <w:tc>
          <w:tcPr>
            <w:tcW w:w="15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b w:val="1"/>
                <w:bCs w:val="1"/>
                <w:color w:val="auto"/>
              </w:rPr>
              <w:t>92,598</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78,585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ind w:left="400"/>
              <w:spacing w:after="0" w:line="202" w:lineRule="exact"/>
              <w:rPr>
                <w:sz w:val="20"/>
                <w:szCs w:val="20"/>
                <w:color w:val="auto"/>
              </w:rPr>
            </w:pPr>
            <w:r>
              <w:rPr>
                <w:rFonts w:ascii="Arial" w:cs="Arial" w:eastAsia="Arial" w:hAnsi="Arial"/>
                <w:sz w:val="18"/>
                <w:szCs w:val="18"/>
                <w:color w:val="auto"/>
              </w:rPr>
              <w:t>Wages and amounts withheld from employees</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right"/>
              <w:ind w:right="640"/>
              <w:spacing w:after="0" w:line="202" w:lineRule="exact"/>
              <w:rPr>
                <w:sz w:val="20"/>
                <w:szCs w:val="20"/>
                <w:color w:val="auto"/>
              </w:rPr>
            </w:pPr>
            <w:r>
              <w:rPr>
                <w:rFonts w:ascii="Arial" w:cs="Arial" w:eastAsia="Arial" w:hAnsi="Arial"/>
                <w:sz w:val="18"/>
                <w:szCs w:val="18"/>
                <w:b w:val="1"/>
                <w:bCs w:val="1"/>
                <w:color w:val="auto"/>
              </w:rPr>
              <w:t>49,555</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61,778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Taxes, other than income taxes</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b w:val="1"/>
                <w:bCs w:val="1"/>
                <w:color w:val="auto"/>
              </w:rPr>
              <w:t>6,768</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6,231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ind w:left="400"/>
              <w:spacing w:after="0" w:line="202" w:lineRule="exact"/>
              <w:rPr>
                <w:sz w:val="20"/>
                <w:szCs w:val="20"/>
                <w:color w:val="auto"/>
              </w:rPr>
            </w:pPr>
            <w:r>
              <w:rPr>
                <w:rFonts w:ascii="Arial" w:cs="Arial" w:eastAsia="Arial" w:hAnsi="Arial"/>
                <w:sz w:val="18"/>
                <w:szCs w:val="18"/>
                <w:color w:val="auto"/>
              </w:rPr>
              <w:t>Accrued income taxes</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right"/>
              <w:ind w:right="640"/>
              <w:spacing w:after="0" w:line="202" w:lineRule="exact"/>
              <w:rPr>
                <w:sz w:val="20"/>
                <w:szCs w:val="20"/>
                <w:color w:val="auto"/>
              </w:rPr>
            </w:pPr>
            <w:r>
              <w:rPr>
                <w:rFonts w:ascii="Arial" w:cs="Arial" w:eastAsia="Arial" w:hAnsi="Arial"/>
                <w:sz w:val="18"/>
                <w:szCs w:val="18"/>
                <w:b w:val="1"/>
                <w:bCs w:val="1"/>
                <w:color w:val="auto"/>
              </w:rPr>
              <w:t>22,627</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25,243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Other current liabilities</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b w:val="1"/>
                <w:bCs w:val="1"/>
                <w:color w:val="auto"/>
              </w:rPr>
              <w:t>43,357</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46,763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ind w:left="400"/>
              <w:spacing w:after="0" w:line="202" w:lineRule="exact"/>
              <w:rPr>
                <w:sz w:val="20"/>
                <w:szCs w:val="20"/>
                <w:color w:val="auto"/>
              </w:rPr>
            </w:pPr>
            <w:r>
              <w:rPr>
                <w:rFonts w:ascii="Arial" w:cs="Arial" w:eastAsia="Arial" w:hAnsi="Arial"/>
                <w:sz w:val="18"/>
                <w:szCs w:val="18"/>
                <w:color w:val="auto"/>
              </w:rPr>
              <w:t>Short-term borrowings and current maturities on long-term debt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right"/>
              <w:ind w:right="640"/>
              <w:spacing w:after="0" w:line="202" w:lineRule="exact"/>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b w:val="1"/>
                <w:bCs w:val="1"/>
                <w:color w:val="auto"/>
              </w:rPr>
              <w:t>Total current liabilities</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214,917</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218,620</w:t>
            </w:r>
          </w:p>
        </w:tc>
        <w:tc>
          <w:tcPr>
            <w:tcW w:w="0" w:type="dxa"/>
            <w:vAlign w:val="bottom"/>
          </w:tcPr>
          <w:p>
            <w:pPr>
              <w:spacing w:after="0"/>
              <w:rPr>
                <w:sz w:val="1"/>
                <w:szCs w:val="1"/>
                <w:color w:val="auto"/>
              </w:rPr>
            </w:pPr>
          </w:p>
        </w:tc>
      </w:tr>
      <w:tr>
        <w:trPr>
          <w:trHeight w:val="419"/>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Long-term obligations, less current maturities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420,817</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350,018</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liabilities</w:t>
            </w:r>
          </w:p>
        </w:tc>
        <w:tc>
          <w:tcPr>
            <w:tcW w:w="3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56,968</w:t>
            </w:r>
          </w:p>
        </w:tc>
        <w:tc>
          <w:tcPr>
            <w:tcW w:w="6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50,502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280" w:type="dxa"/>
            <w:vAlign w:val="bottom"/>
          </w:tcPr>
          <w:p>
            <w:pPr>
              <w:ind w:left="60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692,702</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619,140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Stockholders’ investment:</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80" w:type="dxa"/>
            <w:vAlign w:val="bottom"/>
          </w:tcPr>
          <w:p>
            <w:pPr>
              <w:ind w:left="400"/>
              <w:spacing w:after="0"/>
              <w:rPr>
                <w:sz w:val="20"/>
                <w:szCs w:val="20"/>
                <w:color w:val="auto"/>
              </w:rPr>
            </w:pPr>
            <w:r>
              <w:rPr>
                <w:rFonts w:ascii="Arial" w:cs="Arial" w:eastAsia="Arial" w:hAnsi="Arial"/>
                <w:sz w:val="18"/>
                <w:szCs w:val="18"/>
                <w:color w:val="auto"/>
              </w:rPr>
              <w:t>Common stock:</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Class A nonvoting common stock — Issued 50,481,743 and 50,481,743 shares, respectively</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505</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ind w:left="800"/>
              <w:spacing w:after="0" w:line="203" w:lineRule="exact"/>
              <w:rPr>
                <w:sz w:val="20"/>
                <w:szCs w:val="20"/>
                <w:color w:val="auto"/>
              </w:rPr>
            </w:pPr>
            <w:r>
              <w:rPr>
                <w:rFonts w:ascii="Arial" w:cs="Arial" w:eastAsia="Arial" w:hAnsi="Arial"/>
                <w:sz w:val="18"/>
                <w:szCs w:val="18"/>
                <w:color w:val="auto"/>
              </w:rPr>
              <w:t>and outstanding 50,403,641 and 50,188,842 shares, respectively</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8280" w:type="dxa"/>
            <w:vAlign w:val="bottom"/>
          </w:tcPr>
          <w:p>
            <w:pPr>
              <w:ind w:left="600"/>
              <w:spacing w:after="0"/>
              <w:rPr>
                <w:sz w:val="20"/>
                <w:szCs w:val="20"/>
                <w:color w:val="auto"/>
              </w:rPr>
            </w:pPr>
            <w:r>
              <w:rPr>
                <w:rFonts w:ascii="Arial" w:cs="Arial" w:eastAsia="Arial" w:hAnsi="Arial"/>
                <w:sz w:val="18"/>
                <w:szCs w:val="18"/>
                <w:color w:val="auto"/>
              </w:rPr>
              <w:t>Class B voting common stock — Issued and outstanding, 3,538,628 shares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259,282</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258,922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ind w:left="200"/>
              <w:spacing w:after="0" w:line="202" w:lineRule="exact"/>
              <w:rPr>
                <w:sz w:val="20"/>
                <w:szCs w:val="20"/>
                <w:color w:val="auto"/>
              </w:rPr>
            </w:pPr>
            <w:r>
              <w:rPr>
                <w:rFonts w:ascii="Arial" w:cs="Arial" w:eastAsia="Arial" w:hAnsi="Arial"/>
                <w:sz w:val="18"/>
                <w:szCs w:val="18"/>
                <w:color w:val="auto"/>
              </w:rPr>
              <w:t>Income retained in the business</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500,134</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460,991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Treasury stock - 78,102 and 292,901 shares, respectively of Class A nonvoting common stock, at</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gridSpan w:val="2"/>
            <w:vMerge w:val="restart"/>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(2,956)</w:t>
            </w:r>
          </w:p>
        </w:tc>
        <w:tc>
          <w:tcPr>
            <w:tcW w:w="1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(10,865)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cost</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ind w:left="200"/>
              <w:spacing w:after="0" w:line="202" w:lineRule="exact"/>
              <w:rPr>
                <w:sz w:val="20"/>
                <w:szCs w:val="20"/>
                <w:color w:val="auto"/>
              </w:rPr>
            </w:pPr>
            <w:r>
              <w:rPr>
                <w:rFonts w:ascii="Arial" w:cs="Arial" w:eastAsia="Arial" w:hAnsi="Arial"/>
                <w:sz w:val="18"/>
                <w:szCs w:val="18"/>
                <w:color w:val="auto"/>
              </w:rPr>
              <w:t>Accumulated other comprehensive income</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right"/>
              <w:ind w:right="640"/>
              <w:spacing w:after="0" w:line="202" w:lineRule="exact"/>
              <w:rPr>
                <w:sz w:val="20"/>
                <w:szCs w:val="20"/>
                <w:color w:val="auto"/>
              </w:rPr>
            </w:pPr>
            <w:r>
              <w:rPr>
                <w:rFonts w:ascii="Arial" w:cs="Arial" w:eastAsia="Arial" w:hAnsi="Arial"/>
                <w:sz w:val="18"/>
                <w:szCs w:val="18"/>
                <w:b w:val="1"/>
                <w:bCs w:val="1"/>
                <w:color w:val="auto"/>
              </w:rPr>
              <w:t>49,042</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35,696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762</w:t>
            </w:r>
          </w:p>
        </w:tc>
        <w:tc>
          <w:tcPr>
            <w:tcW w:w="6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8280" w:type="dxa"/>
            <w:vAlign w:val="bottom"/>
          </w:tcPr>
          <w:p>
            <w:pPr>
              <w:ind w:left="600"/>
              <w:spacing w:after="0"/>
              <w:rPr>
                <w:sz w:val="20"/>
                <w:szCs w:val="20"/>
                <w:color w:val="auto"/>
              </w:rPr>
            </w:pPr>
            <w:r>
              <w:rPr>
                <w:rFonts w:ascii="Arial" w:cs="Arial" w:eastAsia="Arial" w:hAnsi="Arial"/>
                <w:sz w:val="18"/>
                <w:szCs w:val="18"/>
                <w:b w:val="1"/>
                <w:bCs w:val="1"/>
                <w:color w:val="auto"/>
              </w:rPr>
              <w:t>Total stockholders’ investment</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806,804</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746,046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927" w:right="2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8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   1,499,506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w w:val="99"/>
              </w:rPr>
              <w:t>$</w:t>
            </w:r>
            <w:r>
              <w:rPr>
                <w:rFonts w:ascii="Arial" w:cs="Arial" w:eastAsia="Arial" w:hAnsi="Arial"/>
                <w:sz w:val="18"/>
                <w:szCs w:val="18"/>
                <w:b w:val="1"/>
                <w:bCs w:val="1"/>
                <w:color w:val="auto"/>
                <w:w w:val="99"/>
              </w:rPr>
              <w:t>1,365,186</w:t>
            </w:r>
          </w:p>
        </w:tc>
      </w:tr>
      <w:tr>
        <w:trPr>
          <w:trHeight w:val="20"/>
        </w:trPr>
        <w:tc>
          <w:tcPr>
            <w:tcW w:w="45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2"/>
        </w:trPr>
        <w:tc>
          <w:tcPr>
            <w:tcW w:w="4520" w:type="dxa"/>
            <w:vAlign w:val="bottom"/>
            <w:tcBorders>
              <w:bottom w:val="single" w:sz="8" w:color="808080"/>
            </w:tcBorders>
          </w:tcPr>
          <w:p>
            <w:pPr>
              <w:spacing w:after="0"/>
              <w:rPr>
                <w:sz w:val="24"/>
                <w:szCs w:val="24"/>
                <w:color w:val="auto"/>
              </w:rPr>
            </w:pPr>
          </w:p>
        </w:tc>
        <w:tc>
          <w:tcPr>
            <w:tcW w:w="41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center"/>
              <w:ind w:left="532"/>
              <w:spacing w:after="0"/>
              <w:rPr>
                <w:sz w:val="20"/>
                <w:szCs w:val="20"/>
                <w:color w:val="auto"/>
              </w:rPr>
            </w:pPr>
            <w:r>
              <w:rPr>
                <w:rFonts w:ascii="Arial" w:cs="Arial" w:eastAsia="Arial" w:hAnsi="Arial"/>
                <w:sz w:val="14"/>
                <w:szCs w:val="14"/>
                <w:color w:val="auto"/>
              </w:rPr>
              <w:t>(Unaudited)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7"/>
          </w:tcPr>
          <w:p>
            <w:pPr>
              <w:jc w:val="center"/>
              <w:ind w:right="20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5"/>
          </w:tcPr>
          <w:p>
            <w:pPr>
              <w:jc w:val="center"/>
              <w:ind w:left="532"/>
              <w:spacing w:after="0" w:line="144" w:lineRule="exact"/>
              <w:rPr>
                <w:sz w:val="20"/>
                <w:szCs w:val="20"/>
                <w:color w:val="auto"/>
              </w:rPr>
            </w:pPr>
            <w:r>
              <w:rPr>
                <w:rFonts w:ascii="Arial" w:cs="Arial" w:eastAsia="Arial" w:hAnsi="Arial"/>
                <w:sz w:val="14"/>
                <w:szCs w:val="14"/>
                <w:color w:val="auto"/>
              </w:rPr>
              <w:t>January 31</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9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54,157</w:t>
            </w:r>
          </w:p>
        </w:tc>
        <w:tc>
          <w:tcPr>
            <w:tcW w:w="340" w:type="dxa"/>
            <w:vAlign w:val="bottom"/>
          </w:tcPr>
          <w:p>
            <w:pPr>
              <w:spacing w:after="0"/>
              <w:rPr>
                <w:sz w:val="17"/>
                <w:szCs w:val="17"/>
                <w:color w:val="auto"/>
              </w:rPr>
            </w:pPr>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51,452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26,096</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14,554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(542)</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tcPr>
          <w:p>
            <w:pPr>
              <w:ind w:left="200"/>
              <w:spacing w:after="0" w:line="202" w:lineRule="exact"/>
              <w:rPr>
                <w:sz w:val="20"/>
                <w:szCs w:val="20"/>
                <w:color w:val="auto"/>
              </w:rPr>
            </w:pPr>
            <w:r>
              <w:rPr>
                <w:rFonts w:ascii="Arial" w:cs="Arial" w:eastAsia="Arial" w:hAnsi="Arial"/>
                <w:sz w:val="18"/>
                <w:szCs w:val="18"/>
                <w:color w:val="auto"/>
              </w:rPr>
              <w:t>Loss on disposal of property, plant &amp; equipment</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305</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Provision for losses on accounts receivable</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1,301</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tcPr>
          <w:p>
            <w:pPr>
              <w:ind w:left="200"/>
              <w:spacing w:after="0" w:line="202" w:lineRule="exact"/>
              <w:rPr>
                <w:sz w:val="20"/>
                <w:szCs w:val="20"/>
                <w:color w:val="auto"/>
              </w:rPr>
            </w:pPr>
            <w:r>
              <w:rPr>
                <w:rFonts w:ascii="Arial" w:cs="Arial" w:eastAsia="Arial" w:hAnsi="Arial"/>
                <w:sz w:val="18"/>
                <w:szCs w:val="18"/>
                <w:color w:val="auto"/>
              </w:rPr>
              <w:t>Non-cash portion of stock-based compensation expense</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3,669</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Changes in operating assets and liabilities (net of effects of business acquisitions):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tcPr>
          <w:p>
            <w:pPr>
              <w:ind w:left="400"/>
              <w:spacing w:after="0" w:line="202" w:lineRule="exact"/>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7"/>
                <w:szCs w:val="17"/>
                <w:color w:val="auto"/>
              </w:rPr>
            </w:pPr>
          </w:p>
        </w:tc>
        <w:tc>
          <w:tcPr>
            <w:tcW w:w="1080" w:type="dxa"/>
            <w:vAlign w:val="bottom"/>
            <w:gridSpan w:val="3"/>
          </w:tcPr>
          <w:p>
            <w:pPr>
              <w:jc w:val="right"/>
              <w:ind w:right="300"/>
              <w:spacing w:after="0" w:line="202" w:lineRule="exact"/>
              <w:rPr>
                <w:sz w:val="20"/>
                <w:szCs w:val="20"/>
                <w:color w:val="auto"/>
              </w:rPr>
            </w:pPr>
            <w:r>
              <w:rPr>
                <w:rFonts w:ascii="Arial" w:cs="Arial" w:eastAsia="Arial" w:hAnsi="Arial"/>
                <w:sz w:val="18"/>
                <w:szCs w:val="18"/>
                <w:b w:val="1"/>
                <w:bCs w:val="1"/>
                <w:color w:val="auto"/>
              </w:rPr>
              <w:t>(15,337)</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(11,250)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(14,787)</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(11,537)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tcPr>
          <w:p>
            <w:pPr>
              <w:ind w:left="400"/>
              <w:spacing w:after="0" w:line="202" w:lineRule="exact"/>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7"/>
                <w:szCs w:val="17"/>
                <w:color w:val="auto"/>
              </w:rPr>
            </w:pPr>
          </w:p>
        </w:tc>
        <w:tc>
          <w:tcPr>
            <w:tcW w:w="1080" w:type="dxa"/>
            <w:vAlign w:val="bottom"/>
            <w:gridSpan w:val="3"/>
          </w:tcPr>
          <w:p>
            <w:pPr>
              <w:jc w:val="right"/>
              <w:ind w:right="300"/>
              <w:spacing w:after="0" w:line="202" w:lineRule="exact"/>
              <w:rPr>
                <w:sz w:val="20"/>
                <w:szCs w:val="20"/>
                <w:color w:val="auto"/>
              </w:rPr>
            </w:pPr>
            <w:r>
              <w:rPr>
                <w:rFonts w:ascii="Arial" w:cs="Arial" w:eastAsia="Arial" w:hAnsi="Arial"/>
                <w:sz w:val="18"/>
                <w:szCs w:val="18"/>
                <w:b w:val="1"/>
                <w:bCs w:val="1"/>
                <w:color w:val="auto"/>
              </w:rPr>
              <w:t>(8,590)</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(2,959)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(8,316)</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(17,512)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tcPr>
          <w:p>
            <w:pPr>
              <w:ind w:left="400"/>
              <w:spacing w:after="0" w:line="202" w:lineRule="exact"/>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7"/>
                <w:szCs w:val="17"/>
                <w:color w:val="auto"/>
              </w:rPr>
            </w:pPr>
          </w:p>
        </w:tc>
        <w:tc>
          <w:tcPr>
            <w:tcW w:w="1080" w:type="dxa"/>
            <w:vAlign w:val="bottom"/>
            <w:gridSpan w:val="3"/>
          </w:tcPr>
          <w:p>
            <w:pPr>
              <w:jc w:val="right"/>
              <w:ind w:right="300"/>
              <w:spacing w:after="0" w:line="202" w:lineRule="exact"/>
              <w:rPr>
                <w:sz w:val="20"/>
                <w:szCs w:val="20"/>
                <w:color w:val="auto"/>
              </w:rPr>
            </w:pPr>
            <w:r>
              <w:rPr>
                <w:rFonts w:ascii="Arial" w:cs="Arial" w:eastAsia="Arial" w:hAnsi="Arial"/>
                <w:sz w:val="18"/>
                <w:szCs w:val="18"/>
                <w:b w:val="1"/>
                <w:bCs w:val="1"/>
                <w:color w:val="auto"/>
              </w:rPr>
              <w:t>(3,411)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(10,127)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2,514</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98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37,059</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20,798</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8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tcPr>
          <w:p>
            <w:pPr>
              <w:ind w:left="200"/>
              <w:spacing w:after="0" w:line="202" w:lineRule="exact"/>
              <w:rPr>
                <w:sz w:val="20"/>
                <w:szCs w:val="20"/>
                <w:color w:val="auto"/>
              </w:rPr>
            </w:pPr>
            <w:r>
              <w:rPr>
                <w:rFonts w:ascii="Arial" w:cs="Arial" w:eastAsia="Arial" w:hAnsi="Arial"/>
                <w:sz w:val="18"/>
                <w:szCs w:val="18"/>
                <w:color w:val="auto"/>
              </w:rPr>
              <w:t>Acquisition of businesses, net of cash acquired</w:t>
            </w:r>
          </w:p>
        </w:tc>
        <w:tc>
          <w:tcPr>
            <w:tcW w:w="100" w:type="dxa"/>
            <w:vAlign w:val="bottom"/>
          </w:tcPr>
          <w:p>
            <w:pPr>
              <w:spacing w:after="0"/>
              <w:rPr>
                <w:sz w:val="17"/>
                <w:szCs w:val="17"/>
                <w:color w:val="auto"/>
              </w:rPr>
            </w:pPr>
          </w:p>
        </w:tc>
        <w:tc>
          <w:tcPr>
            <w:tcW w:w="1080" w:type="dxa"/>
            <w:vAlign w:val="bottom"/>
            <w:gridSpan w:val="3"/>
          </w:tcPr>
          <w:p>
            <w:pPr>
              <w:jc w:val="right"/>
              <w:ind w:right="300"/>
              <w:spacing w:after="0" w:line="202" w:lineRule="exact"/>
              <w:rPr>
                <w:sz w:val="20"/>
                <w:szCs w:val="20"/>
                <w:color w:val="auto"/>
              </w:rPr>
            </w:pPr>
            <w:r>
              <w:rPr>
                <w:rFonts w:ascii="Arial" w:cs="Arial" w:eastAsia="Arial" w:hAnsi="Arial"/>
                <w:sz w:val="18"/>
                <w:szCs w:val="18"/>
                <w:b w:val="1"/>
                <w:bCs w:val="1"/>
                <w:color w:val="auto"/>
              </w:rPr>
              <w:t>(90,418)</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8"/>
              </w:rPr>
              <w:t>(100,256)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Payments of contingent consideration</w:t>
            </w:r>
          </w:p>
        </w:tc>
        <w:tc>
          <w:tcPr>
            <w:tcW w:w="10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(9,329)</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tcPr>
          <w:p>
            <w:pPr>
              <w:ind w:left="200"/>
              <w:spacing w:after="0" w:line="202" w:lineRule="exact"/>
              <w:rPr>
                <w:sz w:val="20"/>
                <w:szCs w:val="20"/>
                <w:color w:val="auto"/>
              </w:rPr>
            </w:pPr>
            <w:r>
              <w:rPr>
                <w:rFonts w:ascii="Arial" w:cs="Arial" w:eastAsia="Arial" w:hAnsi="Arial"/>
                <w:sz w:val="18"/>
                <w:szCs w:val="18"/>
                <w:color w:val="auto"/>
              </w:rPr>
              <w:t>Purchases of short-term investments</w:t>
            </w:r>
          </w:p>
        </w:tc>
        <w:tc>
          <w:tcPr>
            <w:tcW w:w="100" w:type="dxa"/>
            <w:vAlign w:val="bottom"/>
          </w:tcPr>
          <w:p>
            <w:pPr>
              <w:spacing w:after="0"/>
              <w:rPr>
                <w:sz w:val="17"/>
                <w:szCs w:val="17"/>
                <w:color w:val="auto"/>
              </w:rPr>
            </w:pPr>
          </w:p>
        </w:tc>
        <w:tc>
          <w:tcPr>
            <w:tcW w:w="1080" w:type="dxa"/>
            <w:vAlign w:val="bottom"/>
            <w:gridSpan w:val="3"/>
          </w:tcPr>
          <w:p>
            <w:pPr>
              <w:jc w:val="right"/>
              <w:ind w:right="360"/>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Sales of short-term investments</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11,500</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10,900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tcPr>
          <w:p>
            <w:pPr>
              <w:ind w:left="200"/>
              <w:spacing w:after="0" w:line="202" w:lineRule="exact"/>
              <w:rPr>
                <w:sz w:val="20"/>
                <w:szCs w:val="20"/>
                <w:color w:val="auto"/>
              </w:rPr>
            </w:pPr>
            <w:r>
              <w:rPr>
                <w:rFonts w:ascii="Arial" w:cs="Arial" w:eastAsia="Arial" w:hAnsi="Arial"/>
                <w:sz w:val="18"/>
                <w:szCs w:val="18"/>
                <w:color w:val="auto"/>
              </w:rPr>
              <w:t>Purchases of property, plant and equipment</w:t>
            </w:r>
          </w:p>
        </w:tc>
        <w:tc>
          <w:tcPr>
            <w:tcW w:w="100" w:type="dxa"/>
            <w:vAlign w:val="bottom"/>
          </w:tcPr>
          <w:p>
            <w:pPr>
              <w:spacing w:after="0"/>
              <w:rPr>
                <w:sz w:val="17"/>
                <w:szCs w:val="17"/>
                <w:color w:val="auto"/>
              </w:rPr>
            </w:pPr>
          </w:p>
        </w:tc>
        <w:tc>
          <w:tcPr>
            <w:tcW w:w="1080" w:type="dxa"/>
            <w:vAlign w:val="bottom"/>
            <w:gridSpan w:val="3"/>
          </w:tcPr>
          <w:p>
            <w:pPr>
              <w:jc w:val="right"/>
              <w:ind w:right="300"/>
              <w:spacing w:after="0" w:line="202" w:lineRule="exact"/>
              <w:rPr>
                <w:sz w:val="20"/>
                <w:szCs w:val="20"/>
                <w:color w:val="auto"/>
              </w:rPr>
            </w:pPr>
            <w:r>
              <w:rPr>
                <w:rFonts w:ascii="Arial" w:cs="Arial" w:eastAsia="Arial" w:hAnsi="Arial"/>
                <w:sz w:val="18"/>
                <w:szCs w:val="18"/>
                <w:b w:val="1"/>
                <w:bCs w:val="1"/>
                <w:color w:val="auto"/>
              </w:rPr>
              <w:t>(32,135)</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(17,341)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Proceeds from sale of property, plant and equipment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234</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1080" w:type="dxa"/>
            <w:vAlign w:val="bottom"/>
            <w:gridSpan w:val="3"/>
          </w:tcPr>
          <w:p>
            <w:pPr>
              <w:jc w:val="right"/>
              <w:ind w:right="300"/>
              <w:spacing w:after="0" w:line="202" w:lineRule="exact"/>
              <w:rPr>
                <w:sz w:val="20"/>
                <w:szCs w:val="20"/>
                <w:color w:val="auto"/>
              </w:rPr>
            </w:pPr>
            <w:r>
              <w:rPr>
                <w:rFonts w:ascii="Arial" w:cs="Arial" w:eastAsia="Arial" w:hAnsi="Arial"/>
                <w:sz w:val="18"/>
                <w:szCs w:val="18"/>
                <w:b w:val="1"/>
                <w:bCs w:val="1"/>
                <w:color w:val="auto"/>
              </w:rPr>
              <w:t>(5,831)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w w:val="98"/>
              </w:rPr>
              <w:t>(125,979)</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(112,142)</w:t>
            </w:r>
          </w:p>
        </w:tc>
        <w:tc>
          <w:tcPr>
            <w:tcW w:w="0" w:type="dxa"/>
            <w:vAlign w:val="bottom"/>
          </w:tcPr>
          <w:p>
            <w:pPr>
              <w:spacing w:after="0"/>
              <w:rPr>
                <w:sz w:val="1"/>
                <w:szCs w:val="1"/>
                <w:color w:val="auto"/>
              </w:rPr>
            </w:pPr>
          </w:p>
        </w:tc>
      </w:tr>
      <w:tr>
        <w:trPr>
          <w:trHeight w:val="405"/>
        </w:trPr>
        <w:tc>
          <w:tcPr>
            <w:tcW w:w="900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Payment of dividends</w:t>
            </w:r>
          </w:p>
        </w:tc>
        <w:tc>
          <w:tcPr>
            <w:tcW w:w="10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(15,014)</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(12,710)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tcPr>
          <w:p>
            <w:pPr>
              <w:ind w:left="200"/>
              <w:spacing w:after="0" w:line="202" w:lineRule="exact"/>
              <w:rPr>
                <w:sz w:val="20"/>
                <w:szCs w:val="20"/>
                <w:color w:val="auto"/>
              </w:rPr>
            </w:pPr>
            <w:r>
              <w:rPr>
                <w:rFonts w:ascii="Arial" w:cs="Arial" w:eastAsia="Arial" w:hAnsi="Arial"/>
                <w:sz w:val="18"/>
                <w:szCs w:val="18"/>
                <w:color w:val="auto"/>
              </w:rPr>
              <w:t>Proceeds from issuance of common stock</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3,837</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6,467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Principal payments on debt</w:t>
            </w:r>
          </w:p>
        </w:tc>
        <w:tc>
          <w:tcPr>
            <w:tcW w:w="10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(26,231)</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(190,459)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tcPr>
          <w:p>
            <w:pPr>
              <w:ind w:left="200"/>
              <w:spacing w:after="0" w:line="202" w:lineRule="exact"/>
              <w:rPr>
                <w:sz w:val="20"/>
                <w:szCs w:val="20"/>
                <w:color w:val="auto"/>
              </w:rPr>
            </w:pPr>
            <w:r>
              <w:rPr>
                <w:rFonts w:ascii="Arial" w:cs="Arial" w:eastAsia="Arial" w:hAnsi="Arial"/>
                <w:sz w:val="18"/>
                <w:szCs w:val="18"/>
                <w:color w:val="auto"/>
              </w:rPr>
              <w:t>Proceeds from issuance of debt</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97,020</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289,630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Purchase of treasury stock</w:t>
            </w:r>
          </w:p>
        </w:tc>
        <w:tc>
          <w:tcPr>
            <w:tcW w:w="10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(27,233)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80" w:type="dxa"/>
            <w:vAlign w:val="bottom"/>
          </w:tcPr>
          <w:p>
            <w:pPr>
              <w:ind w:left="200"/>
              <w:spacing w:after="0" w:line="202" w:lineRule="exact"/>
              <w:rPr>
                <w:sz w:val="20"/>
                <w:szCs w:val="20"/>
                <w:color w:val="auto"/>
              </w:rPr>
            </w:pPr>
            <w:r>
              <w:rPr>
                <w:rFonts w:ascii="Arial" w:cs="Arial" w:eastAsia="Arial" w:hAnsi="Arial"/>
                <w:sz w:val="18"/>
                <w:szCs w:val="18"/>
                <w:color w:val="auto"/>
              </w:rPr>
              <w:t>Income tax benefit from the exercise of stock options</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763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60,375</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69,049</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1,945</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8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(26,600)</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(22,228)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tcPr>
          <w:p>
            <w:pPr>
              <w:spacing w:after="0" w:line="202" w:lineRule="exact"/>
              <w:rPr>
                <w:sz w:val="20"/>
                <w:szCs w:val="20"/>
                <w:color w:val="auto"/>
              </w:rPr>
            </w:pPr>
            <w:r>
              <w:rPr>
                <w:rFonts w:ascii="Arial" w:cs="Arial" w:eastAsia="Arial" w:hAnsi="Arial"/>
                <w:sz w:val="18"/>
                <w:szCs w:val="18"/>
                <w:color w:val="auto"/>
              </w:rPr>
              <w:t>Cash and cash equivalents, beginning of period</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113,008</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72,970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86,408</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50,742</w:t>
            </w: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0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paid during the period for:</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tcPr>
          <w:p>
            <w:pPr>
              <w:ind w:left="200"/>
              <w:spacing w:after="0" w:line="202" w:lineRule="exact"/>
              <w:rPr>
                <w:sz w:val="20"/>
                <w:szCs w:val="20"/>
                <w:color w:val="auto"/>
              </w:rPr>
            </w:pPr>
            <w:r>
              <w:rPr>
                <w:rFonts w:ascii="Arial" w:cs="Arial" w:eastAsia="Arial" w:hAnsi="Arial"/>
                <w:sz w:val="18"/>
                <w:szCs w:val="18"/>
                <w:color w:val="auto"/>
              </w:rPr>
              <w:t>Interest, net of capitalized interest</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9,754</w:t>
            </w:r>
          </w:p>
        </w:tc>
        <w:tc>
          <w:tcPr>
            <w:tcW w:w="340" w:type="dxa"/>
            <w:vAlign w:val="bottom"/>
          </w:tcPr>
          <w:p>
            <w:pPr>
              <w:spacing w:after="0"/>
              <w:rPr>
                <w:sz w:val="17"/>
                <w:szCs w:val="17"/>
                <w:color w:val="auto"/>
              </w:rPr>
            </w:pPr>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taxes, net of refunds</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23,983</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24,510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tcPr>
          <w:p>
            <w:pPr>
              <w:spacing w:after="0" w:line="202" w:lineRule="exact"/>
              <w:rPr>
                <w:sz w:val="20"/>
                <w:szCs w:val="20"/>
                <w:color w:val="auto"/>
              </w:rPr>
            </w:pPr>
            <w:r>
              <w:rPr>
                <w:rFonts w:ascii="Arial" w:cs="Arial" w:eastAsia="Arial" w:hAnsi="Arial"/>
                <w:sz w:val="18"/>
                <w:szCs w:val="18"/>
                <w:color w:val="auto"/>
              </w:rPr>
              <w:t>Acquisitions: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Fair value of assets acquired, net of cash</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50,042</w:t>
            </w:r>
          </w:p>
        </w:tc>
        <w:tc>
          <w:tcPr>
            <w:tcW w:w="3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39,422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tcPr>
          <w:p>
            <w:pPr>
              <w:ind w:left="200"/>
              <w:spacing w:after="0" w:line="202" w:lineRule="exact"/>
              <w:rPr>
                <w:sz w:val="20"/>
                <w:szCs w:val="20"/>
                <w:color w:val="auto"/>
              </w:rPr>
            </w:pPr>
            <w:r>
              <w:rPr>
                <w:rFonts w:ascii="Arial" w:cs="Arial" w:eastAsia="Arial" w:hAnsi="Arial"/>
                <w:sz w:val="18"/>
                <w:szCs w:val="18"/>
                <w:color w:val="auto"/>
              </w:rPr>
              <w:t>Liabilities assumed</w:t>
            </w:r>
          </w:p>
        </w:tc>
        <w:tc>
          <w:tcPr>
            <w:tcW w:w="100" w:type="dxa"/>
            <w:vAlign w:val="bottom"/>
          </w:tcPr>
          <w:p>
            <w:pPr>
              <w:spacing w:after="0"/>
              <w:rPr>
                <w:sz w:val="17"/>
                <w:szCs w:val="17"/>
                <w:color w:val="auto"/>
              </w:rPr>
            </w:pPr>
          </w:p>
        </w:tc>
        <w:tc>
          <w:tcPr>
            <w:tcW w:w="1080" w:type="dxa"/>
            <w:vAlign w:val="bottom"/>
            <w:gridSpan w:val="3"/>
          </w:tcPr>
          <w:p>
            <w:pPr>
              <w:jc w:val="right"/>
              <w:ind w:right="300"/>
              <w:spacing w:after="0" w:line="202" w:lineRule="exact"/>
              <w:rPr>
                <w:sz w:val="20"/>
                <w:szCs w:val="20"/>
                <w:color w:val="auto"/>
              </w:rPr>
            </w:pPr>
            <w:r>
              <w:rPr>
                <w:rFonts w:ascii="Arial" w:cs="Arial" w:eastAsia="Arial" w:hAnsi="Arial"/>
                <w:sz w:val="18"/>
                <w:szCs w:val="18"/>
                <w:b w:val="1"/>
                <w:bCs w:val="1"/>
                <w:color w:val="auto"/>
              </w:rPr>
              <w:t>(15,617)</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(9,326)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55,993</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70,160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80" w:type="dxa"/>
            <w:vAlign w:val="bottom"/>
          </w:tcPr>
          <w:p>
            <w:pPr>
              <w:ind w:left="600"/>
              <w:spacing w:after="0"/>
              <w:rPr>
                <w:sz w:val="20"/>
                <w:szCs w:val="20"/>
                <w:color w:val="auto"/>
              </w:rPr>
            </w:pPr>
            <w:r>
              <w:rPr>
                <w:rFonts w:ascii="Arial" w:cs="Arial" w:eastAsia="Arial" w:hAnsi="Arial"/>
                <w:sz w:val="18"/>
                <w:szCs w:val="18"/>
                <w:color w:val="auto"/>
              </w:rPr>
              <w:t>Net cash paid for acquisitions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90,418</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100,256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20" w:type="dxa"/>
            <w:vAlign w:val="bottom"/>
          </w:tcPr>
          <w:p>
            <w:pPr>
              <w:spacing w:after="0"/>
              <w:rPr>
                <w:sz w:val="24"/>
                <w:szCs w:val="24"/>
                <w:color w:val="auto"/>
              </w:rPr>
            </w:pPr>
          </w:p>
        </w:tc>
        <w:tc>
          <w:tcPr>
            <w:tcW w:w="89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3" w:name="page14"/>
    <w:bookmarkEnd w:id="13"/>
    <w:p>
      <w:pPr>
        <w:ind w:right="5540"/>
        <w:spacing w:after="0" w:line="485" w:lineRule="auto"/>
        <w:rPr>
          <w:sz w:val="20"/>
          <w:szCs w:val="20"/>
          <w:color w:val="auto"/>
        </w:rPr>
      </w:pPr>
      <w:r>
        <w:rPr>
          <w:rFonts w:ascii="Arial" w:cs="Arial" w:eastAsia="Arial" w:hAnsi="Arial"/>
          <w:sz w:val="18"/>
          <w:szCs w:val="18"/>
          <w:b w:val="1"/>
          <w:bCs w:val="1"/>
          <w:color w:val="auto"/>
        </w:rPr>
        <w:t xml:space="preserve">RECONCILIATION OF GAAP MEASURES TO NON-GAAP MEASURES </w:t>
      </w:r>
      <w:r>
        <w:rPr>
          <w:rFonts w:ascii="Arial" w:cs="Arial" w:eastAsia="Arial" w:hAnsi="Arial"/>
          <w:sz w:val="18"/>
          <w:szCs w:val="18"/>
          <w:color w:val="auto"/>
        </w:rPr>
        <w:t>(in thousands)</w:t>
      </w:r>
    </w:p>
    <w:tbl>
      <w:tblPr>
        <w:tblLayout w:type="fixed"/>
        <w:tblInd w:w="0" w:type="dxa"/>
        <w:tblCellMar>
          <w:top w:w="0" w:type="dxa"/>
          <w:left w:w="0" w:type="dxa"/>
          <w:bottom w:w="0" w:type="dxa"/>
          <w:right w:w="0" w:type="dxa"/>
        </w:tblCellMar>
      </w:tblPr>
      <w:tr>
        <w:trPr>
          <w:trHeight w:val="159"/>
        </w:trPr>
        <w:tc>
          <w:tcPr>
            <w:tcW w:w="492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ind w:right="119"/>
              <w:spacing w:after="0" w:line="159" w:lineRule="exact"/>
              <w:rPr>
                <w:sz w:val="20"/>
                <w:szCs w:val="20"/>
                <w:color w:val="auto"/>
              </w:rPr>
            </w:pPr>
            <w:r>
              <w:rPr>
                <w:rFonts w:ascii="Arial" w:cs="Arial" w:eastAsia="Arial" w:hAnsi="Arial"/>
                <w:sz w:val="14"/>
                <w:szCs w:val="14"/>
                <w:color w:val="auto"/>
              </w:rPr>
              <w:t>Fiscal 2006</w:t>
            </w:r>
          </w:p>
        </w:tc>
        <w:tc>
          <w:tcPr>
            <w:tcW w:w="4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56"/>
        </w:trPr>
        <w:tc>
          <w:tcPr>
            <w:tcW w:w="4920" w:type="dxa"/>
            <w:vAlign w:val="bottom"/>
          </w:tcPr>
          <w:p>
            <w:pPr>
              <w:spacing w:after="0"/>
              <w:rPr>
                <w:sz w:val="13"/>
                <w:szCs w:val="13"/>
                <w:color w:val="auto"/>
              </w:rPr>
            </w:pPr>
          </w:p>
        </w:tc>
        <w:tc>
          <w:tcPr>
            <w:tcW w:w="124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color w:val="auto"/>
              </w:rPr>
              <w:t>Q1</w:t>
            </w:r>
          </w:p>
        </w:tc>
        <w:tc>
          <w:tcPr>
            <w:tcW w:w="460" w:type="dxa"/>
            <w:vAlign w:val="bottom"/>
          </w:tcPr>
          <w:p>
            <w:pPr>
              <w:spacing w:after="0"/>
              <w:rPr>
                <w:sz w:val="13"/>
                <w:szCs w:val="13"/>
                <w:color w:val="auto"/>
              </w:rPr>
            </w:pPr>
          </w:p>
        </w:tc>
        <w:tc>
          <w:tcPr>
            <w:tcW w:w="102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Q2</w:t>
            </w:r>
          </w:p>
        </w:tc>
        <w:tc>
          <w:tcPr>
            <w:tcW w:w="22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Borders>
              <w:bottom w:val="single" w:sz="8" w:color="auto"/>
            </w:tcBorders>
          </w:tcPr>
          <w:p>
            <w:pPr>
              <w:jc w:val="right"/>
              <w:ind w:right="39"/>
              <w:spacing w:after="0" w:line="155" w:lineRule="exact"/>
              <w:rPr>
                <w:sz w:val="20"/>
                <w:szCs w:val="20"/>
                <w:color w:val="auto"/>
              </w:rPr>
            </w:pPr>
            <w:r>
              <w:rPr>
                <w:rFonts w:ascii="Arial" w:cs="Arial" w:eastAsia="Arial" w:hAnsi="Arial"/>
                <w:sz w:val="14"/>
                <w:szCs w:val="14"/>
                <w:color w:val="auto"/>
              </w:rPr>
              <w:t>Q3</w:t>
            </w:r>
          </w:p>
        </w:tc>
        <w:tc>
          <w:tcPr>
            <w:tcW w:w="460" w:type="dxa"/>
            <w:vAlign w:val="bottom"/>
          </w:tcPr>
          <w:p>
            <w:pPr>
              <w:spacing w:after="0"/>
              <w:rPr>
                <w:sz w:val="13"/>
                <w:szCs w:val="13"/>
                <w:color w:val="auto"/>
              </w:rPr>
            </w:pPr>
          </w:p>
        </w:tc>
        <w:tc>
          <w:tcPr>
            <w:tcW w:w="420" w:type="dxa"/>
            <w:vAlign w:val="bottom"/>
            <w:tcBorders>
              <w:bottom w:val="single" w:sz="8" w:color="auto"/>
            </w:tcBorders>
          </w:tcPr>
          <w:p>
            <w:pPr>
              <w:jc w:val="right"/>
              <w:ind w:right="39"/>
              <w:spacing w:after="0" w:line="155" w:lineRule="exact"/>
              <w:rPr>
                <w:sz w:val="20"/>
                <w:szCs w:val="20"/>
                <w:color w:val="auto"/>
              </w:rPr>
            </w:pPr>
            <w:r>
              <w:rPr>
                <w:rFonts w:ascii="Arial" w:cs="Arial" w:eastAsia="Arial" w:hAnsi="Arial"/>
                <w:sz w:val="14"/>
                <w:szCs w:val="14"/>
                <w:color w:val="auto"/>
              </w:rPr>
              <w:t>Q4</w:t>
            </w:r>
          </w:p>
        </w:tc>
        <w:tc>
          <w:tcPr>
            <w:tcW w:w="4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color w:val="auto"/>
              </w:rPr>
              <w:t>Total</w:t>
            </w:r>
          </w:p>
        </w:tc>
      </w:tr>
      <w:tr>
        <w:trPr>
          <w:trHeight w:val="196"/>
        </w:trPr>
        <w:tc>
          <w:tcPr>
            <w:tcW w:w="4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EBITDA (1)</w:t>
            </w: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4920" w:type="dxa"/>
            <w:vAlign w:val="bottom"/>
          </w:tcPr>
          <w:p>
            <w:pPr>
              <w:ind w:left="220"/>
              <w:spacing w:after="0" w:line="202" w:lineRule="exact"/>
              <w:rPr>
                <w:sz w:val="20"/>
                <w:szCs w:val="20"/>
                <w:color w:val="auto"/>
              </w:rPr>
            </w:pPr>
            <w:r>
              <w:rPr>
                <w:rFonts w:ascii="Arial" w:cs="Arial" w:eastAsia="Arial" w:hAnsi="Arial"/>
                <w:sz w:val="18"/>
                <w:szCs w:val="18"/>
                <w:color w:val="auto"/>
              </w:rPr>
              <w:t>Net income</w:t>
            </w:r>
          </w:p>
        </w:tc>
        <w:tc>
          <w:tcPr>
            <w:tcW w:w="124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$30,198</w:t>
            </w:r>
          </w:p>
        </w:tc>
        <w:tc>
          <w:tcPr>
            <w:tcW w:w="148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$21,254</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51,452</w:t>
            </w:r>
          </w:p>
        </w:tc>
      </w:tr>
      <w:tr>
        <w:trPr>
          <w:trHeight w:val="203"/>
        </w:trPr>
        <w:tc>
          <w:tcPr>
            <w:tcW w:w="49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Interest expense</w:t>
            </w:r>
          </w:p>
        </w:tc>
        <w:tc>
          <w:tcPr>
            <w:tcW w:w="1240" w:type="dxa"/>
            <w:vAlign w:val="bottom"/>
            <w:shd w:val="clear" w:color="auto" w:fill="CCEEFF"/>
          </w:tcPr>
          <w:p>
            <w:pPr>
              <w:jc w:val="right"/>
              <w:ind w:right="293"/>
              <w:spacing w:after="0" w:line="202" w:lineRule="exact"/>
              <w:rPr>
                <w:sz w:val="20"/>
                <w:szCs w:val="20"/>
                <w:color w:val="auto"/>
              </w:rPr>
            </w:pPr>
            <w:r>
              <w:rPr>
                <w:rFonts w:ascii="Arial" w:cs="Arial" w:eastAsia="Arial" w:hAnsi="Arial"/>
                <w:sz w:val="18"/>
                <w:szCs w:val="18"/>
                <w:color w:val="auto"/>
              </w:rPr>
              <w:t>1,989</w:t>
            </w:r>
          </w:p>
        </w:tc>
        <w:tc>
          <w:tcPr>
            <w:tcW w:w="148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2,435</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93"/>
              <w:spacing w:after="0" w:line="202" w:lineRule="exact"/>
              <w:rPr>
                <w:sz w:val="20"/>
                <w:szCs w:val="20"/>
                <w:color w:val="auto"/>
              </w:rPr>
            </w:pPr>
            <w:r>
              <w:rPr>
                <w:rFonts w:ascii="Arial" w:cs="Arial" w:eastAsia="Arial" w:hAnsi="Arial"/>
                <w:sz w:val="18"/>
                <w:szCs w:val="18"/>
                <w:color w:val="auto"/>
              </w:rPr>
              <w:t>4,424</w:t>
            </w:r>
          </w:p>
        </w:tc>
      </w:tr>
      <w:tr>
        <w:trPr>
          <w:trHeight w:val="203"/>
        </w:trPr>
        <w:tc>
          <w:tcPr>
            <w:tcW w:w="4920" w:type="dxa"/>
            <w:vAlign w:val="bottom"/>
          </w:tcPr>
          <w:p>
            <w:pPr>
              <w:ind w:left="420"/>
              <w:spacing w:after="0" w:line="202" w:lineRule="exact"/>
              <w:rPr>
                <w:sz w:val="20"/>
                <w:szCs w:val="20"/>
                <w:color w:val="auto"/>
              </w:rPr>
            </w:pPr>
            <w:r>
              <w:rPr>
                <w:rFonts w:ascii="Arial" w:cs="Arial" w:eastAsia="Arial" w:hAnsi="Arial"/>
                <w:sz w:val="18"/>
                <w:szCs w:val="18"/>
                <w:color w:val="auto"/>
              </w:rPr>
              <w:t>Income taxes</w:t>
            </w:r>
          </w:p>
        </w:tc>
        <w:tc>
          <w:tcPr>
            <w:tcW w:w="124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12,334</w:t>
            </w:r>
          </w:p>
        </w:tc>
        <w:tc>
          <w:tcPr>
            <w:tcW w:w="148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7,675</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20,009</w:t>
            </w:r>
          </w:p>
        </w:tc>
      </w:tr>
      <w:tr>
        <w:trPr>
          <w:trHeight w:val="203"/>
        </w:trPr>
        <w:tc>
          <w:tcPr>
            <w:tcW w:w="49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Depreciation and amortization</w:t>
            </w:r>
          </w:p>
        </w:tc>
        <w:tc>
          <w:tcPr>
            <w:tcW w:w="1240" w:type="dxa"/>
            <w:vAlign w:val="bottom"/>
            <w:tcBorders>
              <w:bottom w:val="single" w:sz="8" w:color="auto"/>
            </w:tcBorders>
            <w:shd w:val="clear" w:color="auto" w:fill="CCEEFF"/>
          </w:tcPr>
          <w:p>
            <w:pPr>
              <w:jc w:val="right"/>
              <w:ind w:right="293"/>
              <w:spacing w:after="0" w:line="202" w:lineRule="exact"/>
              <w:rPr>
                <w:sz w:val="20"/>
                <w:szCs w:val="20"/>
                <w:color w:val="auto"/>
              </w:rPr>
            </w:pPr>
            <w:r>
              <w:rPr>
                <w:rFonts w:ascii="Arial" w:cs="Arial" w:eastAsia="Arial" w:hAnsi="Arial"/>
                <w:sz w:val="18"/>
                <w:szCs w:val="18"/>
                <w:color w:val="auto"/>
              </w:rPr>
              <w:t>7,360</w:t>
            </w:r>
          </w:p>
        </w:tc>
        <w:tc>
          <w:tcPr>
            <w:tcW w:w="1480" w:type="dxa"/>
            <w:vAlign w:val="bottom"/>
            <w:tcBorders>
              <w:bottom w:val="single" w:sz="8" w:color="auto"/>
            </w:tcBorders>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7,194</w:t>
            </w:r>
          </w:p>
        </w:tc>
        <w:tc>
          <w:tcPr>
            <w:tcW w:w="2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93"/>
              <w:spacing w:after="0" w:line="202" w:lineRule="exact"/>
              <w:rPr>
                <w:sz w:val="20"/>
                <w:szCs w:val="20"/>
                <w:color w:val="auto"/>
              </w:rPr>
            </w:pPr>
            <w:r>
              <w:rPr>
                <w:rFonts w:ascii="Arial" w:cs="Arial" w:eastAsia="Arial" w:hAnsi="Arial"/>
                <w:sz w:val="18"/>
                <w:szCs w:val="18"/>
                <w:color w:val="auto"/>
              </w:rPr>
              <w:t>14,554</w:t>
            </w:r>
          </w:p>
        </w:tc>
      </w:tr>
      <w:tr>
        <w:trPr>
          <w:trHeight w:val="426"/>
        </w:trPr>
        <w:tc>
          <w:tcPr>
            <w:tcW w:w="4920" w:type="dxa"/>
            <w:vAlign w:val="bottom"/>
          </w:tcPr>
          <w:p>
            <w:pPr>
              <w:ind w:left="220"/>
              <w:spacing w:after="0"/>
              <w:rPr>
                <w:sz w:val="20"/>
                <w:szCs w:val="20"/>
                <w:color w:val="auto"/>
              </w:rPr>
            </w:pPr>
            <w:r>
              <w:rPr>
                <w:rFonts w:ascii="Arial" w:cs="Arial" w:eastAsia="Arial" w:hAnsi="Arial"/>
                <w:sz w:val="18"/>
                <w:szCs w:val="18"/>
                <w:color w:val="auto"/>
              </w:rPr>
              <w:t>EBITDA (non-GAAP measure)</w:t>
            </w:r>
          </w:p>
        </w:tc>
        <w:tc>
          <w:tcPr>
            <w:tcW w:w="1240" w:type="dxa"/>
            <w:vAlign w:val="bottom"/>
          </w:tcPr>
          <w:p>
            <w:pPr>
              <w:jc w:val="right"/>
              <w:ind w:right="293"/>
              <w:spacing w:after="0"/>
              <w:rPr>
                <w:sz w:val="20"/>
                <w:szCs w:val="20"/>
                <w:color w:val="auto"/>
              </w:rPr>
            </w:pPr>
            <w:r>
              <w:rPr>
                <w:rFonts w:ascii="Arial" w:cs="Arial" w:eastAsia="Arial" w:hAnsi="Arial"/>
                <w:sz w:val="18"/>
                <w:szCs w:val="18"/>
                <w:color w:val="auto"/>
              </w:rPr>
              <w:t>$51,881</w:t>
            </w:r>
          </w:p>
        </w:tc>
        <w:tc>
          <w:tcPr>
            <w:tcW w:w="1480" w:type="dxa"/>
            <w:vAlign w:val="bottom"/>
            <w:gridSpan w:val="2"/>
          </w:tcPr>
          <w:p>
            <w:pPr>
              <w:jc w:val="right"/>
              <w:ind w:right="88"/>
              <w:spacing w:after="0"/>
              <w:rPr>
                <w:sz w:val="20"/>
                <w:szCs w:val="20"/>
                <w:color w:val="auto"/>
              </w:rPr>
            </w:pPr>
            <w:r>
              <w:rPr>
                <w:rFonts w:ascii="Arial" w:cs="Arial" w:eastAsia="Arial" w:hAnsi="Arial"/>
                <w:sz w:val="18"/>
                <w:szCs w:val="18"/>
                <w:color w:val="auto"/>
              </w:rPr>
              <w:t>$38,558</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jc w:val="right"/>
              <w:ind w:right="39"/>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24"/>
                <w:szCs w:val="24"/>
                <w:color w:val="auto"/>
              </w:rPr>
            </w:pPr>
          </w:p>
        </w:tc>
        <w:tc>
          <w:tcPr>
            <w:tcW w:w="420" w:type="dxa"/>
            <w:vAlign w:val="bottom"/>
          </w:tcPr>
          <w:p>
            <w:pPr>
              <w:jc w:val="right"/>
              <w:ind w:right="39"/>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93"/>
              <w:spacing w:after="0"/>
              <w:rPr>
                <w:sz w:val="20"/>
                <w:szCs w:val="20"/>
                <w:color w:val="auto"/>
              </w:rPr>
            </w:pPr>
            <w:r>
              <w:rPr>
                <w:rFonts w:ascii="Arial" w:cs="Arial" w:eastAsia="Arial" w:hAnsi="Arial"/>
                <w:sz w:val="18"/>
                <w:szCs w:val="18"/>
                <w:color w:val="auto"/>
              </w:rPr>
              <w:t>90,439</w:t>
            </w:r>
          </w:p>
        </w:tc>
      </w:tr>
      <w:tr>
        <w:trPr>
          <w:trHeight w:val="351"/>
        </w:trPr>
        <w:tc>
          <w:tcPr>
            <w:tcW w:w="49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color w:val="auto"/>
              </w:rPr>
              <w:t>Fiscal 2007</w:t>
            </w:r>
          </w:p>
        </w:tc>
        <w:tc>
          <w:tcPr>
            <w:tcW w:w="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56"/>
        </w:trPr>
        <w:tc>
          <w:tcPr>
            <w:tcW w:w="4920" w:type="dxa"/>
            <w:vAlign w:val="bottom"/>
          </w:tcPr>
          <w:p>
            <w:pPr>
              <w:spacing w:after="0"/>
              <w:rPr>
                <w:sz w:val="13"/>
                <w:szCs w:val="13"/>
                <w:color w:val="auto"/>
              </w:rPr>
            </w:pPr>
          </w:p>
        </w:tc>
        <w:tc>
          <w:tcPr>
            <w:tcW w:w="124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color w:val="auto"/>
              </w:rPr>
              <w:t>Q1</w:t>
            </w:r>
          </w:p>
        </w:tc>
        <w:tc>
          <w:tcPr>
            <w:tcW w:w="460" w:type="dxa"/>
            <w:vAlign w:val="bottom"/>
          </w:tcPr>
          <w:p>
            <w:pPr>
              <w:spacing w:after="0"/>
              <w:rPr>
                <w:sz w:val="13"/>
                <w:szCs w:val="13"/>
                <w:color w:val="auto"/>
              </w:rPr>
            </w:pPr>
          </w:p>
        </w:tc>
        <w:tc>
          <w:tcPr>
            <w:tcW w:w="102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Q2</w:t>
            </w:r>
          </w:p>
        </w:tc>
        <w:tc>
          <w:tcPr>
            <w:tcW w:w="22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Borders>
              <w:bottom w:val="single" w:sz="8" w:color="auto"/>
            </w:tcBorders>
          </w:tcPr>
          <w:p>
            <w:pPr>
              <w:jc w:val="right"/>
              <w:ind w:right="39"/>
              <w:spacing w:after="0" w:line="155" w:lineRule="exact"/>
              <w:rPr>
                <w:sz w:val="20"/>
                <w:szCs w:val="20"/>
                <w:color w:val="auto"/>
              </w:rPr>
            </w:pPr>
            <w:r>
              <w:rPr>
                <w:rFonts w:ascii="Arial" w:cs="Arial" w:eastAsia="Arial" w:hAnsi="Arial"/>
                <w:sz w:val="14"/>
                <w:szCs w:val="14"/>
                <w:color w:val="auto"/>
              </w:rPr>
              <w:t>Q3</w:t>
            </w:r>
          </w:p>
        </w:tc>
        <w:tc>
          <w:tcPr>
            <w:tcW w:w="460" w:type="dxa"/>
            <w:vAlign w:val="bottom"/>
          </w:tcPr>
          <w:p>
            <w:pPr>
              <w:spacing w:after="0"/>
              <w:rPr>
                <w:sz w:val="13"/>
                <w:szCs w:val="13"/>
                <w:color w:val="auto"/>
              </w:rPr>
            </w:pPr>
          </w:p>
        </w:tc>
        <w:tc>
          <w:tcPr>
            <w:tcW w:w="420" w:type="dxa"/>
            <w:vAlign w:val="bottom"/>
            <w:tcBorders>
              <w:bottom w:val="single" w:sz="8" w:color="auto"/>
            </w:tcBorders>
          </w:tcPr>
          <w:p>
            <w:pPr>
              <w:jc w:val="right"/>
              <w:ind w:right="39"/>
              <w:spacing w:after="0" w:line="155" w:lineRule="exact"/>
              <w:rPr>
                <w:sz w:val="20"/>
                <w:szCs w:val="20"/>
                <w:color w:val="auto"/>
              </w:rPr>
            </w:pPr>
            <w:r>
              <w:rPr>
                <w:rFonts w:ascii="Arial" w:cs="Arial" w:eastAsia="Arial" w:hAnsi="Arial"/>
                <w:sz w:val="14"/>
                <w:szCs w:val="14"/>
                <w:color w:val="auto"/>
              </w:rPr>
              <w:t>Q4</w:t>
            </w:r>
          </w:p>
        </w:tc>
        <w:tc>
          <w:tcPr>
            <w:tcW w:w="4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color w:val="auto"/>
              </w:rPr>
              <w:t>Total</w:t>
            </w:r>
          </w:p>
        </w:tc>
      </w:tr>
      <w:tr>
        <w:trPr>
          <w:trHeight w:val="196"/>
        </w:trPr>
        <w:tc>
          <w:tcPr>
            <w:tcW w:w="4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EBITDA (1)</w:t>
            </w: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4920" w:type="dxa"/>
            <w:vAlign w:val="bottom"/>
          </w:tcPr>
          <w:p>
            <w:pPr>
              <w:ind w:left="220"/>
              <w:spacing w:after="0" w:line="202" w:lineRule="exact"/>
              <w:rPr>
                <w:sz w:val="20"/>
                <w:szCs w:val="20"/>
                <w:color w:val="auto"/>
              </w:rPr>
            </w:pPr>
            <w:r>
              <w:rPr>
                <w:rFonts w:ascii="Arial" w:cs="Arial" w:eastAsia="Arial" w:hAnsi="Arial"/>
                <w:sz w:val="18"/>
                <w:szCs w:val="18"/>
                <w:color w:val="auto"/>
              </w:rPr>
              <w:t>Net income</w:t>
            </w:r>
          </w:p>
        </w:tc>
        <w:tc>
          <w:tcPr>
            <w:tcW w:w="124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$34,448</w:t>
            </w:r>
          </w:p>
        </w:tc>
        <w:tc>
          <w:tcPr>
            <w:tcW w:w="148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$19,709</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54,157</w:t>
            </w:r>
          </w:p>
        </w:tc>
      </w:tr>
      <w:tr>
        <w:trPr>
          <w:trHeight w:val="203"/>
        </w:trPr>
        <w:tc>
          <w:tcPr>
            <w:tcW w:w="49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Interest expense</w:t>
            </w:r>
          </w:p>
        </w:tc>
        <w:tc>
          <w:tcPr>
            <w:tcW w:w="1240" w:type="dxa"/>
            <w:vAlign w:val="bottom"/>
            <w:shd w:val="clear" w:color="auto" w:fill="CCEEFF"/>
          </w:tcPr>
          <w:p>
            <w:pPr>
              <w:jc w:val="right"/>
              <w:ind w:right="293"/>
              <w:spacing w:after="0" w:line="202" w:lineRule="exact"/>
              <w:rPr>
                <w:sz w:val="20"/>
                <w:szCs w:val="20"/>
                <w:color w:val="auto"/>
              </w:rPr>
            </w:pPr>
            <w:r>
              <w:rPr>
                <w:rFonts w:ascii="Arial" w:cs="Arial" w:eastAsia="Arial" w:hAnsi="Arial"/>
                <w:sz w:val="18"/>
                <w:szCs w:val="18"/>
                <w:color w:val="auto"/>
              </w:rPr>
              <w:t>4,735</w:t>
            </w:r>
          </w:p>
        </w:tc>
        <w:tc>
          <w:tcPr>
            <w:tcW w:w="148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5,244</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93"/>
              <w:spacing w:after="0" w:line="202" w:lineRule="exact"/>
              <w:rPr>
                <w:sz w:val="20"/>
                <w:szCs w:val="20"/>
                <w:color w:val="auto"/>
              </w:rPr>
            </w:pPr>
            <w:r>
              <w:rPr>
                <w:rFonts w:ascii="Arial" w:cs="Arial" w:eastAsia="Arial" w:hAnsi="Arial"/>
                <w:sz w:val="18"/>
                <w:szCs w:val="18"/>
                <w:color w:val="auto"/>
              </w:rPr>
              <w:t>9,979</w:t>
            </w:r>
          </w:p>
        </w:tc>
      </w:tr>
      <w:tr>
        <w:trPr>
          <w:trHeight w:val="203"/>
        </w:trPr>
        <w:tc>
          <w:tcPr>
            <w:tcW w:w="4920" w:type="dxa"/>
            <w:vAlign w:val="bottom"/>
          </w:tcPr>
          <w:p>
            <w:pPr>
              <w:ind w:left="420"/>
              <w:spacing w:after="0" w:line="202" w:lineRule="exact"/>
              <w:rPr>
                <w:sz w:val="20"/>
                <w:szCs w:val="20"/>
                <w:color w:val="auto"/>
              </w:rPr>
            </w:pPr>
            <w:r>
              <w:rPr>
                <w:rFonts w:ascii="Arial" w:cs="Arial" w:eastAsia="Arial" w:hAnsi="Arial"/>
                <w:sz w:val="18"/>
                <w:szCs w:val="18"/>
                <w:color w:val="auto"/>
              </w:rPr>
              <w:t>Income taxes</w:t>
            </w:r>
          </w:p>
        </w:tc>
        <w:tc>
          <w:tcPr>
            <w:tcW w:w="124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13,396</w:t>
            </w:r>
          </w:p>
        </w:tc>
        <w:tc>
          <w:tcPr>
            <w:tcW w:w="148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7,665</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21,061</w:t>
            </w:r>
          </w:p>
        </w:tc>
      </w:tr>
      <w:tr>
        <w:trPr>
          <w:trHeight w:val="203"/>
        </w:trPr>
        <w:tc>
          <w:tcPr>
            <w:tcW w:w="49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Depreciation and amortization</w:t>
            </w:r>
          </w:p>
        </w:tc>
        <w:tc>
          <w:tcPr>
            <w:tcW w:w="1240" w:type="dxa"/>
            <w:vAlign w:val="bottom"/>
            <w:tcBorders>
              <w:bottom w:val="single" w:sz="8" w:color="auto"/>
            </w:tcBorders>
            <w:shd w:val="clear" w:color="auto" w:fill="CCEEFF"/>
          </w:tcPr>
          <w:p>
            <w:pPr>
              <w:jc w:val="right"/>
              <w:ind w:right="293"/>
              <w:spacing w:after="0" w:line="202" w:lineRule="exact"/>
              <w:rPr>
                <w:sz w:val="20"/>
                <w:szCs w:val="20"/>
                <w:color w:val="auto"/>
              </w:rPr>
            </w:pPr>
            <w:r>
              <w:rPr>
                <w:rFonts w:ascii="Arial" w:cs="Arial" w:eastAsia="Arial" w:hAnsi="Arial"/>
                <w:sz w:val="18"/>
                <w:szCs w:val="18"/>
                <w:color w:val="auto"/>
              </w:rPr>
              <w:t>12,927</w:t>
            </w:r>
          </w:p>
        </w:tc>
        <w:tc>
          <w:tcPr>
            <w:tcW w:w="1480" w:type="dxa"/>
            <w:vAlign w:val="bottom"/>
            <w:tcBorders>
              <w:bottom w:val="single" w:sz="8" w:color="auto"/>
            </w:tcBorders>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13,169</w:t>
            </w:r>
          </w:p>
        </w:tc>
        <w:tc>
          <w:tcPr>
            <w:tcW w:w="2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93"/>
              <w:spacing w:after="0" w:line="202" w:lineRule="exact"/>
              <w:rPr>
                <w:sz w:val="20"/>
                <w:szCs w:val="20"/>
                <w:color w:val="auto"/>
              </w:rPr>
            </w:pPr>
            <w:r>
              <w:rPr>
                <w:rFonts w:ascii="Arial" w:cs="Arial" w:eastAsia="Arial" w:hAnsi="Arial"/>
                <w:sz w:val="18"/>
                <w:szCs w:val="18"/>
                <w:color w:val="auto"/>
              </w:rPr>
              <w:t>26,096</w:t>
            </w:r>
          </w:p>
        </w:tc>
      </w:tr>
      <w:tr>
        <w:trPr>
          <w:trHeight w:val="426"/>
        </w:trPr>
        <w:tc>
          <w:tcPr>
            <w:tcW w:w="4920" w:type="dxa"/>
            <w:vAlign w:val="bottom"/>
          </w:tcPr>
          <w:p>
            <w:pPr>
              <w:ind w:left="220"/>
              <w:spacing w:after="0"/>
              <w:rPr>
                <w:sz w:val="20"/>
                <w:szCs w:val="20"/>
                <w:color w:val="auto"/>
              </w:rPr>
            </w:pPr>
            <w:r>
              <w:rPr>
                <w:rFonts w:ascii="Arial" w:cs="Arial" w:eastAsia="Arial" w:hAnsi="Arial"/>
                <w:sz w:val="18"/>
                <w:szCs w:val="18"/>
                <w:color w:val="auto"/>
              </w:rPr>
              <w:t>EBITDA (non-GAAP measure)</w:t>
            </w:r>
          </w:p>
        </w:tc>
        <w:tc>
          <w:tcPr>
            <w:tcW w:w="1240" w:type="dxa"/>
            <w:vAlign w:val="bottom"/>
          </w:tcPr>
          <w:p>
            <w:pPr>
              <w:jc w:val="right"/>
              <w:ind w:right="293"/>
              <w:spacing w:after="0"/>
              <w:rPr>
                <w:sz w:val="20"/>
                <w:szCs w:val="20"/>
                <w:color w:val="auto"/>
              </w:rPr>
            </w:pPr>
            <w:r>
              <w:rPr>
                <w:rFonts w:ascii="Arial" w:cs="Arial" w:eastAsia="Arial" w:hAnsi="Arial"/>
                <w:sz w:val="18"/>
                <w:szCs w:val="18"/>
                <w:color w:val="auto"/>
              </w:rPr>
              <w:t>$65,506</w:t>
            </w:r>
          </w:p>
        </w:tc>
        <w:tc>
          <w:tcPr>
            <w:tcW w:w="1480" w:type="dxa"/>
            <w:vAlign w:val="bottom"/>
            <w:gridSpan w:val="2"/>
          </w:tcPr>
          <w:p>
            <w:pPr>
              <w:jc w:val="right"/>
              <w:ind w:right="88"/>
              <w:spacing w:after="0"/>
              <w:rPr>
                <w:sz w:val="20"/>
                <w:szCs w:val="20"/>
                <w:color w:val="auto"/>
              </w:rPr>
            </w:pPr>
            <w:r>
              <w:rPr>
                <w:rFonts w:ascii="Arial" w:cs="Arial" w:eastAsia="Arial" w:hAnsi="Arial"/>
                <w:sz w:val="18"/>
                <w:szCs w:val="18"/>
                <w:color w:val="auto"/>
              </w:rPr>
              <w:t>$45,787</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jc w:val="right"/>
              <w:ind w:right="39"/>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24"/>
                <w:szCs w:val="24"/>
                <w:color w:val="auto"/>
              </w:rPr>
            </w:pPr>
          </w:p>
        </w:tc>
        <w:tc>
          <w:tcPr>
            <w:tcW w:w="420" w:type="dxa"/>
            <w:vAlign w:val="bottom"/>
          </w:tcPr>
          <w:p>
            <w:pPr>
              <w:jc w:val="right"/>
              <w:ind w:right="39"/>
              <w:spacing w:after="0"/>
              <w:rPr>
                <w:sz w:val="20"/>
                <w:szCs w:val="20"/>
                <w:color w:val="auto"/>
              </w:rPr>
            </w:pPr>
            <w:r>
              <w:rPr>
                <w:rFonts w:ascii="Arial" w:cs="Arial" w:eastAsia="Arial" w:hAnsi="Arial"/>
                <w:sz w:val="18"/>
                <w:szCs w:val="18"/>
                <w:color w:val="auto"/>
                <w:w w:val="99"/>
              </w:rPr>
              <w:t>$—</w:t>
            </w:r>
          </w:p>
        </w:tc>
        <w:tc>
          <w:tcPr>
            <w:tcW w:w="1800" w:type="dxa"/>
            <w:vAlign w:val="bottom"/>
            <w:gridSpan w:val="3"/>
          </w:tcPr>
          <w:p>
            <w:pPr>
              <w:jc w:val="right"/>
              <w:ind w:right="293"/>
              <w:spacing w:after="0"/>
              <w:rPr>
                <w:sz w:val="20"/>
                <w:szCs w:val="20"/>
                <w:color w:val="auto"/>
              </w:rPr>
            </w:pPr>
            <w:r>
              <w:rPr>
                <w:rFonts w:ascii="Arial" w:cs="Arial" w:eastAsia="Arial" w:hAnsi="Arial"/>
                <w:sz w:val="18"/>
                <w:szCs w:val="18"/>
                <w:color w:val="auto"/>
              </w:rPr>
              <w:t>$111,293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3036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60" w:right="100" w:hanging="452"/>
        <w:spacing w:after="0" w:line="23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Brady is presenting EBITDA because it is used by many of our investors and lenders, and is presented as a convenience to them. EBITDA represents net income before interest expense, income taxes and depreciation and amortization. EBITDA is not a calculation based on generally accepted accounting principles (GAAP). The amounts included in the EBITDA calculation, however, are derived from amounts included in the Condensed Consolidated Statements of Income data. EBITDA should not be considered as an alternative to net income or operating income as an indicator of the company’s operating performance, or as an alternative to operating cash flows as a measure of liquidity. The EBITDA measure presented may not always be comparable to similarly titled measures reported by other companies due to differences in the components of the calculation.</w:t>
      </w:r>
    </w:p>
    <w:sectPr>
      <w:pgSz w:w="11900" w:h="16838" w:orient="portrait"/>
      <w:cols w:equalWidth="0" w:num="1">
        <w:col w:w="11420"/>
      </w:cols>
      <w:pgMar w:left="240" w:top="9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14"/>
    </w:lvl>
  </w:abstractNum>
  <w:abstractNum w:abstractNumId="1">
    <w:nsid w:val="74B0DC51"/>
    <w:multiLevelType w:val="hybridMultilevel"/>
    <w:lvl w:ilvl="0">
      <w:lvlJc w:val="left"/>
      <w:lvlText w:val="o"/>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2019-12-11T19:37:19Z</dcterms:created>
  <dcterms:modified xsi:type="dcterms:W3CDTF">2019-12-11T19:37:19Z</dcterms:modified>
</cp:coreProperties>
</file>