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1-14959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39-0971239</w:t>
      </w:r>
    </w:p>
    <w:p>
      <w:pPr>
        <w:spacing w:after="0" w:line="46" w:lineRule="exact"/>
        <w:rPr>
          <w:sz w:val="24"/>
          <w:szCs w:val="24"/>
          <w:color w:val="auto"/>
        </w:rPr>
      </w:pPr>
    </w:p>
    <w:p>
      <w:pPr>
        <w:sectPr>
          <w:pgSz w:w="11900" w:h="16838" w:orient="portrait"/>
          <w:cols w:equalWidth="0" w:num="3">
            <w:col w:w="4820" w:space="720"/>
            <w:col w:w="2920" w:space="720"/>
            <w:col w:w="2240"/>
          </w:cols>
          <w:pgMar w:left="240" w:top="314" w:right="2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4"/>
          <w:szCs w:val="14"/>
          <w:b w:val="1"/>
          <w:bCs w:val="1"/>
          <w:color w:val="auto"/>
        </w:rPr>
        <w:t>(IRS Employer</w:t>
      </w:r>
    </w:p>
    <w:p>
      <w:pPr>
        <w:jc w:val="center"/>
        <w:ind w:right="13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740" w:space="720"/>
            <w:col w:w="2880" w:space="720"/>
            <w:col w:w="2360"/>
          </w:cols>
          <w:pgMar w:left="240" w:top="31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 (414) 358-6600</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p>
      <w:pPr>
        <w:spacing w:after="0" w:line="37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February 1, 2012, Brady Corporation (the “Corporation”) and certain of its subsidiaries entered into an unsecured $300 million revolving credit agreement with a group of six banks that replaced and terminated the Corporation’s previous $200 million revolving credit agreement that had been entered into on October 5, 2006 and amended on March 18, 2008. No fees were paid by the Corporation for terminating the previous credit agreement prior to its expiration date.</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new credit agreement, which has a final maturity date of February 1, 2017, the Corporation has the option to select either a base interest rate (based upon the higher of the federal funds rate plus one-half of 1% or the prime rate of Bank of America plus a margin based on the Company’s consolidated leverage ratio) or a Eurocurrency interest rate (at the LIBOR rate plus a margin based on the Company’s consolidated leverage ratio). The new credit agreement is guaranteed by the Corporation’s domestic subsidiaries and contains various financial covenants, including a debt-to-EBITDA ratio of 3.25-to-1.0 and an interest coverage ratio of 3.0-to-1.0. A commitment fee is payable on the unused amount of the credit facility. The Corporation intends to use the flexibility provided by the new credit agreement to refinance existing debt, to fund future acquisitions, and for general corporate purposes.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foregoing description of the new credit agreement does not purport to be complete and is qualified in its entirety by reference to the full text of the agreement, a copy of which is filed as Exhibit 10.1 to this report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2.01 TERMINATION OF A MATERIAL DEFINITIVE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incorporated herein by reference.</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Item 2.03 CREATION OF A DIRECT FINANCIAL OBLIGATION OR AN OBLIGATION UNDER AN OFF-BALANCE SHEET ARRANGEMENT OF A REGISTRANT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incorporated herein by reference.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0400" w:type="dxa"/>
            <w:vAlign w:val="bottom"/>
          </w:tcPr>
          <w:p>
            <w:pPr>
              <w:spacing w:after="0"/>
              <w:rPr>
                <w:sz w:val="14"/>
                <w:szCs w:val="14"/>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02"/>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Revolving Credit Agreement, dated as of February 1, 2012, by and among Brady Corporation and certain of its subsidiaries and the lenders listed</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therein.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Press Release of Brady Corporation, dated February 1, 2012, relating to new credit agreement</w:t>
            </w:r>
          </w:p>
        </w:tc>
      </w:tr>
    </w:tbl>
    <w:p>
      <w:pPr>
        <w:sectPr>
          <w:pgSz w:w="11900" w:h="16838" w:orient="portrait"/>
          <w:cols w:equalWidth="0" w:num="1">
            <w:col w:w="11420"/>
          </w:cols>
          <w:pgMar w:left="240" w:top="2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 February 7, 2012</w:t>
      </w:r>
      <w:r>
        <w:rPr>
          <w:sz w:val="20"/>
          <w:szCs w:val="20"/>
          <w:color w:val="auto"/>
        </w:rPr>
        <w:tab/>
      </w:r>
      <w:r>
        <w:rPr>
          <w:rFonts w:ascii="Arial" w:cs="Arial" w:eastAsia="Arial" w:hAnsi="Arial"/>
          <w:sz w:val="15"/>
          <w:szCs w:val="15"/>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10795</wp:posOffset>
            </wp:positionV>
            <wp:extent cx="3807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Thomas J. Felmer</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&amp; Chief Financial Officer</w:t>
      </w:r>
    </w:p>
    <w:p>
      <w:pPr>
        <w:sectPr>
          <w:pgSz w:w="11900" w:h="16838" w:orient="portrait"/>
          <w:cols w:equalWidth="0" w:num="1">
            <w:col w:w="11420"/>
          </w:cols>
          <w:pgMar w:left="240" w:top="2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tcPr>
          <w:p>
            <w:pPr>
              <w:ind w:left="3640"/>
              <w:spacing w:after="0"/>
              <w:rPr>
                <w:sz w:val="20"/>
                <w:szCs w:val="20"/>
                <w:color w:val="auto"/>
              </w:rPr>
            </w:pPr>
            <w:r>
              <w:rPr>
                <w:rFonts w:ascii="Arial" w:cs="Arial" w:eastAsia="Arial" w:hAnsi="Arial"/>
                <w:sz w:val="18"/>
                <w:szCs w:val="18"/>
                <w:color w:val="auto"/>
              </w:rPr>
              <w:t>EXHIBIT INDEX</w:t>
            </w:r>
          </w:p>
        </w:tc>
      </w:tr>
      <w:tr>
        <w:trPr>
          <w:trHeight w:val="286"/>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24"/>
                <w:szCs w:val="24"/>
                <w:color w:val="auto"/>
              </w:rPr>
            </w:pPr>
          </w:p>
        </w:tc>
        <w:tc>
          <w:tcPr>
            <w:tcW w:w="10000" w:type="dxa"/>
            <w:vAlign w:val="bottom"/>
          </w:tcPr>
          <w:p>
            <w:pPr>
              <w:spacing w:after="0"/>
              <w:rPr>
                <w:sz w:val="24"/>
                <w:szCs w:val="24"/>
                <w:color w:val="auto"/>
              </w:rPr>
            </w:pPr>
          </w:p>
        </w:tc>
      </w:t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14"/>
                <w:szCs w:val="14"/>
                <w:color w:val="auto"/>
              </w:rPr>
            </w:pPr>
          </w:p>
        </w:tc>
        <w:tc>
          <w:tcPr>
            <w:tcW w:w="10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0"/>
              </w:rPr>
              <w:t>Revolving Credit Agreement, dated as of February 1, 2012, by and among Brady Corporation and certain of its subsidiaries and the lenders</w:t>
            </w: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listed therein.</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Press Release of Brady Corporation, dated February 1, 2012, relating to new credit agreement</w:t>
            </w: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February 1, 2012</w:t>
      </w:r>
    </w:p>
    <w:p>
      <w:pPr>
        <w:spacing w:after="0" w:line="14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44"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BRADY CORPORATION,</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CERTAIN SUBSIDIARIES OF BRADY CORPORATION IDENTIFIED HEREIN,</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Borrowers,</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CERTAIN SUBSIDIARIES OF THE BORROWERS IDENTIFIED HEREIN,</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the Guarantors,</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 Swing Line Lender and L/C Issuer,</w:t>
      </w:r>
    </w:p>
    <w:p>
      <w:pPr>
        <w:spacing w:after="0" w:line="13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THE OTHER LENDERS PARTY HERETO</w:t>
      </w:r>
    </w:p>
    <w:p>
      <w:pPr>
        <w:spacing w:after="0" w:line="14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BMO HARRIS BANK, N.A.,</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Co-Syndication Agents</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Arranged By:</w:t>
      </w:r>
    </w:p>
    <w:p>
      <w:pPr>
        <w:spacing w:after="0" w:line="14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MERRILL LYNCH, PIERCE, FENNER &amp; SMITH INCORPORATED,</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BMO HARRIS BANK, N.A.,</w:t>
      </w:r>
    </w:p>
    <w:p>
      <w:pPr>
        <w:spacing w:after="0" w:line="13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as Joint Lead Arrangers and Joint Book Managers</w:t>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8120" w:type="dxa"/>
            <w:vAlign w:val="bottom"/>
          </w:tcPr>
          <w:p>
            <w:pPr>
              <w:ind w:left="4060"/>
              <w:spacing w:after="0"/>
              <w:rPr>
                <w:sz w:val="20"/>
                <w:szCs w:val="20"/>
                <w:color w:val="auto"/>
              </w:rPr>
            </w:pPr>
            <w:r>
              <w:rPr>
                <w:rFonts w:ascii="Arial" w:cs="Arial" w:eastAsia="Arial" w:hAnsi="Arial"/>
                <w:sz w:val="18"/>
                <w:szCs w:val="18"/>
                <w:color w:val="auto"/>
              </w:rPr>
              <w:t>TABLE OF CONTENTS</w:t>
            </w:r>
          </w:p>
        </w:tc>
        <w:tc>
          <w:tcPr>
            <w:tcW w:w="2440" w:type="dxa"/>
            <w:vAlign w:val="bottom"/>
          </w:tcPr>
          <w:p>
            <w:pPr>
              <w:spacing w:after="0"/>
              <w:rPr>
                <w:sz w:val="19"/>
                <w:szCs w:val="19"/>
                <w:color w:val="auto"/>
              </w:rPr>
            </w:pPr>
          </w:p>
        </w:tc>
      </w:tr>
      <w:tr>
        <w:trPr>
          <w:trHeight w:val="358"/>
        </w:trPr>
        <w:tc>
          <w:tcPr>
            <w:tcW w:w="8880" w:type="dxa"/>
            <w:vAlign w:val="bottom"/>
            <w:gridSpan w:val="2"/>
          </w:tcPr>
          <w:p>
            <w:pPr>
              <w:spacing w:after="0"/>
              <w:rPr>
                <w:sz w:val="20"/>
                <w:szCs w:val="20"/>
                <w:color w:val="auto"/>
              </w:rPr>
            </w:pPr>
            <w:r>
              <w:rPr>
                <w:rFonts w:ascii="Arial" w:cs="Arial" w:eastAsia="Arial" w:hAnsi="Arial"/>
                <w:sz w:val="18"/>
                <w:szCs w:val="18"/>
                <w:color w:val="auto"/>
              </w:rPr>
              <w:t>ARTICLE I DEFINITIONS AND ACCOUNTING TERMS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1.01</w:t>
            </w:r>
          </w:p>
        </w:tc>
        <w:tc>
          <w:tcPr>
            <w:tcW w:w="8120" w:type="dxa"/>
            <w:vAlign w:val="bottom"/>
          </w:tcPr>
          <w:p>
            <w:pPr>
              <w:ind w:left="40"/>
              <w:spacing w:after="0"/>
              <w:rPr>
                <w:sz w:val="20"/>
                <w:szCs w:val="20"/>
                <w:color w:val="auto"/>
              </w:rPr>
            </w:pPr>
            <w:r>
              <w:rPr>
                <w:rFonts w:ascii="Arial" w:cs="Arial" w:eastAsia="Arial" w:hAnsi="Arial"/>
                <w:sz w:val="18"/>
                <w:szCs w:val="18"/>
                <w:color w:val="auto"/>
              </w:rPr>
              <w:t>Defined Terms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1.02</w:t>
            </w:r>
          </w:p>
        </w:tc>
        <w:tc>
          <w:tcPr>
            <w:tcW w:w="8120" w:type="dxa"/>
            <w:vAlign w:val="bottom"/>
          </w:tcPr>
          <w:p>
            <w:pPr>
              <w:ind w:left="40"/>
              <w:spacing w:after="0"/>
              <w:rPr>
                <w:sz w:val="20"/>
                <w:szCs w:val="20"/>
                <w:color w:val="auto"/>
              </w:rPr>
            </w:pPr>
            <w:r>
              <w:rPr>
                <w:rFonts w:ascii="Arial" w:cs="Arial" w:eastAsia="Arial" w:hAnsi="Arial"/>
                <w:sz w:val="18"/>
                <w:szCs w:val="18"/>
                <w:color w:val="auto"/>
              </w:rPr>
              <w:t>Other Interpretive Provisions</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1.03</w:t>
            </w:r>
          </w:p>
        </w:tc>
        <w:tc>
          <w:tcPr>
            <w:tcW w:w="8120" w:type="dxa"/>
            <w:vAlign w:val="bottom"/>
          </w:tcPr>
          <w:p>
            <w:pPr>
              <w:ind w:left="40"/>
              <w:spacing w:after="0"/>
              <w:rPr>
                <w:sz w:val="20"/>
                <w:szCs w:val="20"/>
                <w:color w:val="auto"/>
              </w:rPr>
            </w:pPr>
            <w:r>
              <w:rPr>
                <w:rFonts w:ascii="Arial" w:cs="Arial" w:eastAsia="Arial" w:hAnsi="Arial"/>
                <w:sz w:val="18"/>
                <w:szCs w:val="18"/>
                <w:color w:val="auto"/>
              </w:rPr>
              <w:t>Accounting Terms</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1.04</w:t>
            </w:r>
          </w:p>
        </w:tc>
        <w:tc>
          <w:tcPr>
            <w:tcW w:w="8120" w:type="dxa"/>
            <w:vAlign w:val="bottom"/>
          </w:tcPr>
          <w:p>
            <w:pPr>
              <w:ind w:left="40"/>
              <w:spacing w:after="0"/>
              <w:rPr>
                <w:sz w:val="20"/>
                <w:szCs w:val="20"/>
                <w:color w:val="auto"/>
              </w:rPr>
            </w:pPr>
            <w:r>
              <w:rPr>
                <w:rFonts w:ascii="Arial" w:cs="Arial" w:eastAsia="Arial" w:hAnsi="Arial"/>
                <w:sz w:val="18"/>
                <w:szCs w:val="18"/>
                <w:color w:val="auto"/>
              </w:rPr>
              <w:t>Rounding</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1.05</w:t>
            </w:r>
          </w:p>
        </w:tc>
        <w:tc>
          <w:tcPr>
            <w:tcW w:w="8120" w:type="dxa"/>
            <w:vAlign w:val="bottom"/>
          </w:tcPr>
          <w:p>
            <w:pPr>
              <w:ind w:left="40"/>
              <w:spacing w:after="0"/>
              <w:rPr>
                <w:sz w:val="20"/>
                <w:szCs w:val="20"/>
                <w:color w:val="auto"/>
              </w:rPr>
            </w:pPr>
            <w:r>
              <w:rPr>
                <w:rFonts w:ascii="Arial" w:cs="Arial" w:eastAsia="Arial" w:hAnsi="Arial"/>
                <w:sz w:val="18"/>
                <w:szCs w:val="18"/>
                <w:color w:val="auto"/>
              </w:rPr>
              <w:t>References to Agreements and Laws</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1.06</w:t>
            </w:r>
          </w:p>
        </w:tc>
        <w:tc>
          <w:tcPr>
            <w:tcW w:w="8120" w:type="dxa"/>
            <w:vAlign w:val="bottom"/>
          </w:tcPr>
          <w:p>
            <w:pPr>
              <w:ind w:left="40"/>
              <w:spacing w:after="0"/>
              <w:rPr>
                <w:sz w:val="20"/>
                <w:szCs w:val="20"/>
                <w:color w:val="auto"/>
              </w:rPr>
            </w:pPr>
            <w:r>
              <w:rPr>
                <w:rFonts w:ascii="Arial" w:cs="Arial" w:eastAsia="Arial" w:hAnsi="Arial"/>
                <w:sz w:val="18"/>
                <w:szCs w:val="18"/>
                <w:color w:val="auto"/>
              </w:rPr>
              <w:t>Exchange Rates; Currency Equivalents</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1.07</w:t>
            </w:r>
          </w:p>
        </w:tc>
        <w:tc>
          <w:tcPr>
            <w:tcW w:w="8120" w:type="dxa"/>
            <w:vAlign w:val="bottom"/>
          </w:tcPr>
          <w:p>
            <w:pPr>
              <w:ind w:left="40"/>
              <w:spacing w:after="0"/>
              <w:rPr>
                <w:sz w:val="20"/>
                <w:szCs w:val="20"/>
                <w:color w:val="auto"/>
              </w:rPr>
            </w:pPr>
            <w:r>
              <w:rPr>
                <w:rFonts w:ascii="Arial" w:cs="Arial" w:eastAsia="Arial" w:hAnsi="Arial"/>
                <w:sz w:val="18"/>
                <w:szCs w:val="18"/>
                <w:color w:val="auto"/>
              </w:rPr>
              <w:t>Additional Alternative Currencies</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1.08</w:t>
            </w:r>
          </w:p>
        </w:tc>
        <w:tc>
          <w:tcPr>
            <w:tcW w:w="8120" w:type="dxa"/>
            <w:vAlign w:val="bottom"/>
          </w:tcPr>
          <w:p>
            <w:pPr>
              <w:ind w:left="40"/>
              <w:spacing w:after="0"/>
              <w:rPr>
                <w:sz w:val="20"/>
                <w:szCs w:val="20"/>
                <w:color w:val="auto"/>
              </w:rPr>
            </w:pPr>
            <w:r>
              <w:rPr>
                <w:rFonts w:ascii="Arial" w:cs="Arial" w:eastAsia="Arial" w:hAnsi="Arial"/>
                <w:sz w:val="18"/>
                <w:szCs w:val="18"/>
                <w:color w:val="auto"/>
              </w:rPr>
              <w:t>Change of Currency</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1.09</w:t>
            </w:r>
          </w:p>
        </w:tc>
        <w:tc>
          <w:tcPr>
            <w:tcW w:w="8120" w:type="dxa"/>
            <w:vAlign w:val="bottom"/>
          </w:tcPr>
          <w:p>
            <w:pPr>
              <w:ind w:left="40"/>
              <w:spacing w:after="0"/>
              <w:rPr>
                <w:sz w:val="20"/>
                <w:szCs w:val="20"/>
                <w:color w:val="auto"/>
              </w:rPr>
            </w:pPr>
            <w:r>
              <w:rPr>
                <w:rFonts w:ascii="Arial" w:cs="Arial" w:eastAsia="Arial" w:hAnsi="Arial"/>
                <w:sz w:val="18"/>
                <w:szCs w:val="18"/>
                <w:color w:val="auto"/>
              </w:rPr>
              <w:t>Times of Day</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1.10</w:t>
            </w:r>
          </w:p>
        </w:tc>
        <w:tc>
          <w:tcPr>
            <w:tcW w:w="8120" w:type="dxa"/>
            <w:vAlign w:val="bottom"/>
          </w:tcPr>
          <w:p>
            <w:pPr>
              <w:ind w:left="40"/>
              <w:spacing w:after="0"/>
              <w:rPr>
                <w:sz w:val="20"/>
                <w:szCs w:val="20"/>
                <w:color w:val="auto"/>
              </w:rPr>
            </w:pPr>
            <w:r>
              <w:rPr>
                <w:rFonts w:ascii="Arial" w:cs="Arial" w:eastAsia="Arial" w:hAnsi="Arial"/>
                <w:sz w:val="18"/>
                <w:szCs w:val="18"/>
                <w:color w:val="auto"/>
              </w:rPr>
              <w:t>Letter of Credit Amounts</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ARTICLE II THE COMMITMENTS AND CREDIT EXTENSIONS</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2.01</w:t>
            </w:r>
          </w:p>
        </w:tc>
        <w:tc>
          <w:tcPr>
            <w:tcW w:w="8120" w:type="dxa"/>
            <w:vAlign w:val="bottom"/>
          </w:tcPr>
          <w:p>
            <w:pPr>
              <w:ind w:left="40"/>
              <w:spacing w:after="0"/>
              <w:rPr>
                <w:sz w:val="20"/>
                <w:szCs w:val="20"/>
                <w:color w:val="auto"/>
              </w:rPr>
            </w:pPr>
            <w:r>
              <w:rPr>
                <w:rFonts w:ascii="Arial" w:cs="Arial" w:eastAsia="Arial" w:hAnsi="Arial"/>
                <w:sz w:val="18"/>
                <w:szCs w:val="18"/>
                <w:color w:val="auto"/>
              </w:rPr>
              <w:t>Revolving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2.02</w:t>
            </w:r>
          </w:p>
        </w:tc>
        <w:tc>
          <w:tcPr>
            <w:tcW w:w="8120" w:type="dxa"/>
            <w:vAlign w:val="bottom"/>
          </w:tcPr>
          <w:p>
            <w:pPr>
              <w:ind w:left="40"/>
              <w:spacing w:after="0"/>
              <w:rPr>
                <w:sz w:val="20"/>
                <w:szCs w:val="20"/>
                <w:color w:val="auto"/>
              </w:rPr>
            </w:pPr>
            <w:r>
              <w:rPr>
                <w:rFonts w:ascii="Arial" w:cs="Arial" w:eastAsia="Arial" w:hAnsi="Arial"/>
                <w:sz w:val="18"/>
                <w:szCs w:val="18"/>
                <w:color w:val="auto"/>
              </w:rPr>
              <w:t>Borrowings, Conversions and Continuations of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2.03</w:t>
            </w:r>
          </w:p>
        </w:tc>
        <w:tc>
          <w:tcPr>
            <w:tcW w:w="812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2.04</w:t>
            </w:r>
          </w:p>
        </w:tc>
        <w:tc>
          <w:tcPr>
            <w:tcW w:w="8120" w:type="dxa"/>
            <w:vAlign w:val="bottom"/>
          </w:tcPr>
          <w:p>
            <w:pPr>
              <w:ind w:left="40"/>
              <w:spacing w:after="0"/>
              <w:rPr>
                <w:sz w:val="20"/>
                <w:szCs w:val="20"/>
                <w:color w:val="auto"/>
              </w:rPr>
            </w:pPr>
            <w:r>
              <w:rPr>
                <w:rFonts w:ascii="Arial" w:cs="Arial" w:eastAsia="Arial" w:hAnsi="Arial"/>
                <w:sz w:val="18"/>
                <w:szCs w:val="18"/>
                <w:color w:val="auto"/>
              </w:rPr>
              <w:t>Swing Line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2.05</w:t>
            </w:r>
          </w:p>
        </w:tc>
        <w:tc>
          <w:tcPr>
            <w:tcW w:w="8120" w:type="dxa"/>
            <w:vAlign w:val="bottom"/>
          </w:tcPr>
          <w:p>
            <w:pPr>
              <w:ind w:left="40"/>
              <w:spacing w:after="0"/>
              <w:rPr>
                <w:sz w:val="20"/>
                <w:szCs w:val="20"/>
                <w:color w:val="auto"/>
              </w:rPr>
            </w:pPr>
            <w:r>
              <w:rPr>
                <w:rFonts w:ascii="Arial" w:cs="Arial" w:eastAsia="Arial" w:hAnsi="Arial"/>
                <w:sz w:val="18"/>
                <w:szCs w:val="18"/>
                <w:color w:val="auto"/>
              </w:rPr>
              <w:t>Prepayments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2.06</w:t>
            </w:r>
          </w:p>
        </w:tc>
        <w:tc>
          <w:tcPr>
            <w:tcW w:w="8120" w:type="dxa"/>
            <w:vAlign w:val="bottom"/>
          </w:tcPr>
          <w:p>
            <w:pPr>
              <w:ind w:left="40"/>
              <w:spacing w:after="0"/>
              <w:rPr>
                <w:sz w:val="20"/>
                <w:szCs w:val="20"/>
                <w:color w:val="auto"/>
              </w:rPr>
            </w:pPr>
            <w:r>
              <w:rPr>
                <w:rFonts w:ascii="Arial" w:cs="Arial" w:eastAsia="Arial" w:hAnsi="Arial"/>
                <w:sz w:val="18"/>
                <w:szCs w:val="18"/>
                <w:color w:val="auto"/>
              </w:rPr>
              <w:t>Termination or Reduction of Aggregate Revolving Commitments</w:t>
            </w:r>
          </w:p>
        </w:tc>
        <w:tc>
          <w:tcPr>
            <w:tcW w:w="2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2.07</w:t>
            </w:r>
          </w:p>
        </w:tc>
        <w:tc>
          <w:tcPr>
            <w:tcW w:w="8120" w:type="dxa"/>
            <w:vAlign w:val="bottom"/>
          </w:tcPr>
          <w:p>
            <w:pPr>
              <w:ind w:left="40"/>
              <w:spacing w:after="0"/>
              <w:rPr>
                <w:sz w:val="20"/>
                <w:szCs w:val="20"/>
                <w:color w:val="auto"/>
              </w:rPr>
            </w:pPr>
            <w:r>
              <w:rPr>
                <w:rFonts w:ascii="Arial" w:cs="Arial" w:eastAsia="Arial" w:hAnsi="Arial"/>
                <w:sz w:val="18"/>
                <w:szCs w:val="18"/>
                <w:color w:val="auto"/>
              </w:rPr>
              <w:t>Repayment of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2.08</w:t>
            </w:r>
          </w:p>
        </w:tc>
        <w:tc>
          <w:tcPr>
            <w:tcW w:w="8120" w:type="dxa"/>
            <w:vAlign w:val="bottom"/>
          </w:tcPr>
          <w:p>
            <w:pPr>
              <w:ind w:left="40"/>
              <w:spacing w:after="0"/>
              <w:rPr>
                <w:sz w:val="20"/>
                <w:szCs w:val="20"/>
                <w:color w:val="auto"/>
              </w:rPr>
            </w:pPr>
            <w:r>
              <w:rPr>
                <w:rFonts w:ascii="Arial" w:cs="Arial" w:eastAsia="Arial" w:hAnsi="Arial"/>
                <w:sz w:val="18"/>
                <w:szCs w:val="18"/>
                <w:color w:val="auto"/>
              </w:rPr>
              <w:t>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2.09</w:t>
            </w:r>
          </w:p>
        </w:tc>
        <w:tc>
          <w:tcPr>
            <w:tcW w:w="8120" w:type="dxa"/>
            <w:vAlign w:val="bottom"/>
          </w:tcPr>
          <w:p>
            <w:pPr>
              <w:ind w:left="40"/>
              <w:spacing w:after="0"/>
              <w:rPr>
                <w:sz w:val="20"/>
                <w:szCs w:val="20"/>
                <w:color w:val="auto"/>
              </w:rPr>
            </w:pPr>
            <w:r>
              <w:rPr>
                <w:rFonts w:ascii="Arial" w:cs="Arial" w:eastAsia="Arial" w:hAnsi="Arial"/>
                <w:sz w:val="18"/>
                <w:szCs w:val="18"/>
                <w:color w:val="auto"/>
              </w:rPr>
              <w:t>Fees</w:t>
            </w:r>
          </w:p>
        </w:tc>
        <w:tc>
          <w:tcPr>
            <w:tcW w:w="2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2.10</w:t>
            </w:r>
          </w:p>
        </w:tc>
        <w:tc>
          <w:tcPr>
            <w:tcW w:w="8120" w:type="dxa"/>
            <w:vAlign w:val="bottom"/>
          </w:tcPr>
          <w:p>
            <w:pPr>
              <w:ind w:left="40"/>
              <w:spacing w:after="0"/>
              <w:rPr>
                <w:sz w:val="20"/>
                <w:szCs w:val="20"/>
                <w:color w:val="auto"/>
              </w:rPr>
            </w:pPr>
            <w:r>
              <w:rPr>
                <w:rFonts w:ascii="Arial" w:cs="Arial" w:eastAsia="Arial" w:hAnsi="Arial"/>
                <w:sz w:val="18"/>
                <w:szCs w:val="18"/>
                <w:color w:val="auto"/>
              </w:rPr>
              <w:t>Computation of Interest and Fees; Retroactive Adjustment of Applicable Rate</w:t>
            </w:r>
          </w:p>
        </w:tc>
        <w:tc>
          <w:tcPr>
            <w:tcW w:w="2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2.11 Evidence of Debt</w:t>
            </w:r>
          </w:p>
        </w:tc>
        <w:tc>
          <w:tcPr>
            <w:tcW w:w="2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2.12</w:t>
            </w:r>
          </w:p>
        </w:tc>
        <w:tc>
          <w:tcPr>
            <w:tcW w:w="8120" w:type="dxa"/>
            <w:vAlign w:val="bottom"/>
          </w:tcPr>
          <w:p>
            <w:pPr>
              <w:ind w:left="40"/>
              <w:spacing w:after="0"/>
              <w:rPr>
                <w:sz w:val="20"/>
                <w:szCs w:val="20"/>
                <w:color w:val="auto"/>
              </w:rPr>
            </w:pPr>
            <w:r>
              <w:rPr>
                <w:rFonts w:ascii="Arial" w:cs="Arial" w:eastAsia="Arial" w:hAnsi="Arial"/>
                <w:sz w:val="18"/>
                <w:szCs w:val="18"/>
                <w:color w:val="auto"/>
              </w:rPr>
              <w:t>Payments Generally</w:t>
            </w:r>
          </w:p>
        </w:tc>
        <w:tc>
          <w:tcPr>
            <w:tcW w:w="2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2.13</w:t>
            </w:r>
          </w:p>
        </w:tc>
        <w:tc>
          <w:tcPr>
            <w:tcW w:w="8120" w:type="dxa"/>
            <w:vAlign w:val="bottom"/>
          </w:tcPr>
          <w:p>
            <w:pPr>
              <w:ind w:left="40"/>
              <w:spacing w:after="0"/>
              <w:rPr>
                <w:sz w:val="20"/>
                <w:szCs w:val="20"/>
                <w:color w:val="auto"/>
              </w:rPr>
            </w:pPr>
            <w:r>
              <w:rPr>
                <w:rFonts w:ascii="Arial" w:cs="Arial" w:eastAsia="Arial" w:hAnsi="Arial"/>
                <w:sz w:val="18"/>
                <w:szCs w:val="18"/>
                <w:color w:val="auto"/>
              </w:rPr>
              <w:t>Sharing of 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2.14</w:t>
            </w:r>
          </w:p>
        </w:tc>
        <w:tc>
          <w:tcPr>
            <w:tcW w:w="8120" w:type="dxa"/>
            <w:vAlign w:val="bottom"/>
          </w:tcPr>
          <w:p>
            <w:pPr>
              <w:ind w:left="40"/>
              <w:spacing w:after="0"/>
              <w:rPr>
                <w:sz w:val="20"/>
                <w:szCs w:val="20"/>
                <w:color w:val="auto"/>
              </w:rPr>
            </w:pPr>
            <w:r>
              <w:rPr>
                <w:rFonts w:ascii="Arial" w:cs="Arial" w:eastAsia="Arial" w:hAnsi="Arial"/>
                <w:sz w:val="18"/>
                <w:szCs w:val="18"/>
                <w:color w:val="auto"/>
              </w:rPr>
              <w:t>Designated Borrowers</w:t>
            </w:r>
          </w:p>
        </w:tc>
        <w:tc>
          <w:tcPr>
            <w:tcW w:w="2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2.15</w:t>
            </w:r>
          </w:p>
        </w:tc>
        <w:tc>
          <w:tcPr>
            <w:tcW w:w="8120" w:type="dxa"/>
            <w:vAlign w:val="bottom"/>
          </w:tcPr>
          <w:p>
            <w:pPr>
              <w:ind w:left="40"/>
              <w:spacing w:after="0"/>
              <w:rPr>
                <w:sz w:val="20"/>
                <w:szCs w:val="20"/>
                <w:color w:val="auto"/>
              </w:rPr>
            </w:pPr>
            <w:r>
              <w:rPr>
                <w:rFonts w:ascii="Arial" w:cs="Arial" w:eastAsia="Arial" w:hAnsi="Arial"/>
                <w:sz w:val="18"/>
                <w:szCs w:val="18"/>
                <w:color w:val="auto"/>
              </w:rPr>
              <w:t>Cash Collateral</w:t>
            </w:r>
          </w:p>
        </w:tc>
        <w:tc>
          <w:tcPr>
            <w:tcW w:w="2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2.16</w:t>
            </w:r>
          </w:p>
        </w:tc>
        <w:tc>
          <w:tcPr>
            <w:tcW w:w="8120" w:type="dxa"/>
            <w:vAlign w:val="bottom"/>
          </w:tcPr>
          <w:p>
            <w:pPr>
              <w:ind w:left="40"/>
              <w:spacing w:after="0"/>
              <w:rPr>
                <w:sz w:val="20"/>
                <w:szCs w:val="20"/>
                <w:color w:val="auto"/>
              </w:rPr>
            </w:pPr>
            <w:r>
              <w:rPr>
                <w:rFonts w:ascii="Arial" w:cs="Arial" w:eastAsia="Arial" w:hAnsi="Arial"/>
                <w:sz w:val="18"/>
                <w:szCs w:val="18"/>
                <w:color w:val="auto"/>
              </w:rPr>
              <w:t>Defaulting Lenders</w:t>
            </w:r>
          </w:p>
        </w:tc>
        <w:tc>
          <w:tcPr>
            <w:tcW w:w="2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ARTICLE III TAXES, YIELD PROTECTION AND ILLEGALITY</w:t>
            </w:r>
          </w:p>
        </w:tc>
        <w:tc>
          <w:tcPr>
            <w:tcW w:w="2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3.01</w:t>
            </w:r>
          </w:p>
        </w:tc>
        <w:tc>
          <w:tcPr>
            <w:tcW w:w="8120" w:type="dxa"/>
            <w:vAlign w:val="bottom"/>
          </w:tcPr>
          <w:p>
            <w:pPr>
              <w:ind w:left="40"/>
              <w:spacing w:after="0"/>
              <w:rPr>
                <w:sz w:val="20"/>
                <w:szCs w:val="20"/>
                <w:color w:val="auto"/>
              </w:rPr>
            </w:pPr>
            <w:r>
              <w:rPr>
                <w:rFonts w:ascii="Arial" w:cs="Arial" w:eastAsia="Arial" w:hAnsi="Arial"/>
                <w:sz w:val="18"/>
                <w:szCs w:val="18"/>
                <w:color w:val="auto"/>
              </w:rPr>
              <w:t>Taxes</w:t>
            </w:r>
          </w:p>
        </w:tc>
        <w:tc>
          <w:tcPr>
            <w:tcW w:w="2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3.02</w:t>
            </w:r>
          </w:p>
        </w:tc>
        <w:tc>
          <w:tcPr>
            <w:tcW w:w="8120" w:type="dxa"/>
            <w:vAlign w:val="bottom"/>
          </w:tcPr>
          <w:p>
            <w:pPr>
              <w:ind w:left="40"/>
              <w:spacing w:after="0"/>
              <w:rPr>
                <w:sz w:val="20"/>
                <w:szCs w:val="20"/>
                <w:color w:val="auto"/>
              </w:rPr>
            </w:pPr>
            <w:r>
              <w:rPr>
                <w:rFonts w:ascii="Arial" w:cs="Arial" w:eastAsia="Arial" w:hAnsi="Arial"/>
                <w:sz w:val="18"/>
                <w:szCs w:val="18"/>
                <w:color w:val="auto"/>
              </w:rPr>
              <w:t>Illegality</w:t>
            </w:r>
          </w:p>
        </w:tc>
        <w:tc>
          <w:tcPr>
            <w:tcW w:w="2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3.03</w:t>
            </w:r>
          </w:p>
        </w:tc>
        <w:tc>
          <w:tcPr>
            <w:tcW w:w="8120" w:type="dxa"/>
            <w:vAlign w:val="bottom"/>
          </w:tcPr>
          <w:p>
            <w:pPr>
              <w:ind w:left="40"/>
              <w:spacing w:after="0"/>
              <w:rPr>
                <w:sz w:val="20"/>
                <w:szCs w:val="20"/>
                <w:color w:val="auto"/>
              </w:rPr>
            </w:pPr>
            <w:r>
              <w:rPr>
                <w:rFonts w:ascii="Arial" w:cs="Arial" w:eastAsia="Arial" w:hAnsi="Arial"/>
                <w:sz w:val="18"/>
                <w:szCs w:val="18"/>
                <w:color w:val="auto"/>
              </w:rPr>
              <w:t>Inability to Determine Rates</w:t>
            </w:r>
          </w:p>
        </w:tc>
        <w:tc>
          <w:tcPr>
            <w:tcW w:w="2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3.04</w:t>
            </w:r>
          </w:p>
        </w:tc>
        <w:tc>
          <w:tcPr>
            <w:tcW w:w="8120" w:type="dxa"/>
            <w:vAlign w:val="bottom"/>
          </w:tcPr>
          <w:p>
            <w:pPr>
              <w:ind w:left="40"/>
              <w:spacing w:after="0"/>
              <w:rPr>
                <w:sz w:val="20"/>
                <w:szCs w:val="20"/>
                <w:color w:val="auto"/>
              </w:rPr>
            </w:pPr>
            <w:r>
              <w:rPr>
                <w:rFonts w:ascii="Arial" w:cs="Arial" w:eastAsia="Arial" w:hAnsi="Arial"/>
                <w:sz w:val="18"/>
                <w:szCs w:val="18"/>
                <w:color w:val="auto"/>
              </w:rPr>
              <w:t>Increased Cost and Reduced Return; Capital Adequacy</w:t>
            </w:r>
          </w:p>
        </w:tc>
        <w:tc>
          <w:tcPr>
            <w:tcW w:w="2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3.05</w:t>
            </w:r>
          </w:p>
        </w:tc>
        <w:tc>
          <w:tcPr>
            <w:tcW w:w="8120" w:type="dxa"/>
            <w:vAlign w:val="bottom"/>
          </w:tcPr>
          <w:p>
            <w:pPr>
              <w:ind w:left="40"/>
              <w:spacing w:after="0"/>
              <w:rPr>
                <w:sz w:val="20"/>
                <w:szCs w:val="20"/>
                <w:color w:val="auto"/>
              </w:rPr>
            </w:pPr>
            <w:r>
              <w:rPr>
                <w:rFonts w:ascii="Arial" w:cs="Arial" w:eastAsia="Arial" w:hAnsi="Arial"/>
                <w:sz w:val="18"/>
                <w:szCs w:val="18"/>
                <w:color w:val="auto"/>
              </w:rPr>
              <w:t>Compensation for Losses</w:t>
            </w:r>
          </w:p>
        </w:tc>
        <w:tc>
          <w:tcPr>
            <w:tcW w:w="2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3.06</w:t>
            </w:r>
          </w:p>
        </w:tc>
        <w:tc>
          <w:tcPr>
            <w:tcW w:w="8120" w:type="dxa"/>
            <w:vAlign w:val="bottom"/>
          </w:tcPr>
          <w:p>
            <w:pPr>
              <w:ind w:left="40"/>
              <w:spacing w:after="0"/>
              <w:rPr>
                <w:sz w:val="20"/>
                <w:szCs w:val="20"/>
                <w:color w:val="auto"/>
              </w:rPr>
            </w:pPr>
            <w:r>
              <w:rPr>
                <w:rFonts w:ascii="Arial" w:cs="Arial" w:eastAsia="Arial" w:hAnsi="Arial"/>
                <w:sz w:val="18"/>
                <w:szCs w:val="18"/>
                <w:color w:val="auto"/>
              </w:rPr>
              <w:t>Matters Applicable to all Requests for Compensation</w:t>
            </w:r>
          </w:p>
        </w:tc>
        <w:tc>
          <w:tcPr>
            <w:tcW w:w="2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3.07</w:t>
            </w:r>
          </w:p>
        </w:tc>
        <w:tc>
          <w:tcPr>
            <w:tcW w:w="8120" w:type="dxa"/>
            <w:vAlign w:val="bottom"/>
          </w:tcPr>
          <w:p>
            <w:pPr>
              <w:ind w:left="40"/>
              <w:spacing w:after="0"/>
              <w:rPr>
                <w:sz w:val="20"/>
                <w:szCs w:val="20"/>
                <w:color w:val="auto"/>
              </w:rPr>
            </w:pPr>
            <w:r>
              <w:rPr>
                <w:rFonts w:ascii="Arial" w:cs="Arial" w:eastAsia="Arial" w:hAnsi="Arial"/>
                <w:sz w:val="18"/>
                <w:szCs w:val="18"/>
                <w:color w:val="auto"/>
              </w:rPr>
              <w:t>Survival</w:t>
            </w:r>
          </w:p>
        </w:tc>
        <w:tc>
          <w:tcPr>
            <w:tcW w:w="2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ARTICLE IV GUARANTY</w:t>
            </w:r>
          </w:p>
        </w:tc>
        <w:tc>
          <w:tcPr>
            <w:tcW w:w="2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4.01</w:t>
            </w:r>
          </w:p>
        </w:tc>
        <w:tc>
          <w:tcPr>
            <w:tcW w:w="8120" w:type="dxa"/>
            <w:vAlign w:val="bottom"/>
          </w:tcPr>
          <w:p>
            <w:pPr>
              <w:ind w:left="40"/>
              <w:spacing w:after="0"/>
              <w:rPr>
                <w:sz w:val="20"/>
                <w:szCs w:val="20"/>
                <w:color w:val="auto"/>
              </w:rPr>
            </w:pPr>
            <w:r>
              <w:rPr>
                <w:rFonts w:ascii="Arial" w:cs="Arial" w:eastAsia="Arial" w:hAnsi="Arial"/>
                <w:sz w:val="18"/>
                <w:szCs w:val="18"/>
                <w:color w:val="auto"/>
              </w:rPr>
              <w:t>The Guaranty</w:t>
            </w:r>
          </w:p>
        </w:tc>
        <w:tc>
          <w:tcPr>
            <w:tcW w:w="2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4.02</w:t>
            </w:r>
          </w:p>
        </w:tc>
        <w:tc>
          <w:tcPr>
            <w:tcW w:w="8120" w:type="dxa"/>
            <w:vAlign w:val="bottom"/>
          </w:tcPr>
          <w:p>
            <w:pPr>
              <w:ind w:left="40"/>
              <w:spacing w:after="0"/>
              <w:rPr>
                <w:sz w:val="20"/>
                <w:szCs w:val="20"/>
                <w:color w:val="auto"/>
              </w:rPr>
            </w:pPr>
            <w:r>
              <w:rPr>
                <w:rFonts w:ascii="Arial" w:cs="Arial" w:eastAsia="Arial" w:hAnsi="Arial"/>
                <w:sz w:val="18"/>
                <w:szCs w:val="18"/>
                <w:color w:val="auto"/>
              </w:rPr>
              <w:t>Obligations Unconditional</w:t>
            </w:r>
          </w:p>
        </w:tc>
        <w:tc>
          <w:tcPr>
            <w:tcW w:w="2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4.03</w:t>
            </w:r>
          </w:p>
        </w:tc>
        <w:tc>
          <w:tcPr>
            <w:tcW w:w="8120" w:type="dxa"/>
            <w:vAlign w:val="bottom"/>
          </w:tcPr>
          <w:p>
            <w:pPr>
              <w:ind w:left="40"/>
              <w:spacing w:after="0"/>
              <w:rPr>
                <w:sz w:val="20"/>
                <w:szCs w:val="20"/>
                <w:color w:val="auto"/>
              </w:rPr>
            </w:pPr>
            <w:r>
              <w:rPr>
                <w:rFonts w:ascii="Arial" w:cs="Arial" w:eastAsia="Arial" w:hAnsi="Arial"/>
                <w:sz w:val="18"/>
                <w:szCs w:val="18"/>
                <w:color w:val="auto"/>
              </w:rPr>
              <w:t>Reinstatement</w:t>
            </w:r>
          </w:p>
        </w:tc>
        <w:tc>
          <w:tcPr>
            <w:tcW w:w="2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4.04</w:t>
            </w:r>
          </w:p>
        </w:tc>
        <w:tc>
          <w:tcPr>
            <w:tcW w:w="8120" w:type="dxa"/>
            <w:vAlign w:val="bottom"/>
          </w:tcPr>
          <w:p>
            <w:pPr>
              <w:ind w:left="40"/>
              <w:spacing w:after="0"/>
              <w:rPr>
                <w:sz w:val="20"/>
                <w:szCs w:val="20"/>
                <w:color w:val="auto"/>
              </w:rPr>
            </w:pPr>
            <w:r>
              <w:rPr>
                <w:rFonts w:ascii="Arial" w:cs="Arial" w:eastAsia="Arial" w:hAnsi="Arial"/>
                <w:sz w:val="18"/>
                <w:szCs w:val="18"/>
                <w:color w:val="auto"/>
              </w:rPr>
              <w:t>Certain Additional Waivers</w:t>
            </w:r>
          </w:p>
        </w:tc>
        <w:tc>
          <w:tcPr>
            <w:tcW w:w="2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4.05</w:t>
            </w:r>
          </w:p>
        </w:tc>
        <w:tc>
          <w:tcPr>
            <w:tcW w:w="8120" w:type="dxa"/>
            <w:vAlign w:val="bottom"/>
          </w:tcPr>
          <w:p>
            <w:pPr>
              <w:ind w:left="40"/>
              <w:spacing w:after="0"/>
              <w:rPr>
                <w:sz w:val="20"/>
                <w:szCs w:val="20"/>
                <w:color w:val="auto"/>
              </w:rPr>
            </w:pPr>
            <w:r>
              <w:rPr>
                <w:rFonts w:ascii="Arial" w:cs="Arial" w:eastAsia="Arial" w:hAnsi="Arial"/>
                <w:sz w:val="18"/>
                <w:szCs w:val="18"/>
                <w:color w:val="auto"/>
              </w:rPr>
              <w:t>Remedies</w:t>
            </w:r>
          </w:p>
        </w:tc>
        <w:tc>
          <w:tcPr>
            <w:tcW w:w="2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760" w:type="dxa"/>
            <w:vAlign w:val="bottom"/>
          </w:tcPr>
          <w:p>
            <w:pPr>
              <w:ind w:left="440"/>
              <w:spacing w:after="0"/>
              <w:rPr>
                <w:sz w:val="20"/>
                <w:szCs w:val="20"/>
                <w:color w:val="auto"/>
              </w:rPr>
            </w:pPr>
            <w:r>
              <w:rPr>
                <w:rFonts w:ascii="Arial" w:cs="Arial" w:eastAsia="Arial" w:hAnsi="Arial"/>
                <w:sz w:val="18"/>
                <w:szCs w:val="18"/>
                <w:color w:val="auto"/>
                <w:w w:val="85"/>
              </w:rPr>
              <w:t>4.06</w:t>
            </w:r>
          </w:p>
        </w:tc>
        <w:tc>
          <w:tcPr>
            <w:tcW w:w="8120" w:type="dxa"/>
            <w:vAlign w:val="bottom"/>
          </w:tcPr>
          <w:p>
            <w:pPr>
              <w:ind w:left="40"/>
              <w:spacing w:after="0"/>
              <w:rPr>
                <w:sz w:val="20"/>
                <w:szCs w:val="20"/>
                <w:color w:val="auto"/>
              </w:rPr>
            </w:pPr>
            <w:r>
              <w:rPr>
                <w:rFonts w:ascii="Arial" w:cs="Arial" w:eastAsia="Arial" w:hAnsi="Arial"/>
                <w:sz w:val="18"/>
                <w:szCs w:val="18"/>
                <w:color w:val="auto"/>
              </w:rPr>
              <w:t>Rights of Contribution</w:t>
            </w:r>
          </w:p>
        </w:tc>
        <w:tc>
          <w:tcPr>
            <w:tcW w:w="244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4.07</w:t>
            </w:r>
          </w:p>
        </w:tc>
        <w:tc>
          <w:tcPr>
            <w:tcW w:w="7400" w:type="dxa"/>
            <w:vAlign w:val="bottom"/>
          </w:tcPr>
          <w:p>
            <w:pPr>
              <w:ind w:left="40"/>
              <w:spacing w:after="0"/>
              <w:rPr>
                <w:sz w:val="20"/>
                <w:szCs w:val="20"/>
                <w:color w:val="auto"/>
              </w:rPr>
            </w:pPr>
            <w:r>
              <w:rPr>
                <w:rFonts w:ascii="Arial" w:cs="Arial" w:eastAsia="Arial" w:hAnsi="Arial"/>
                <w:sz w:val="18"/>
                <w:szCs w:val="18"/>
                <w:color w:val="auto"/>
              </w:rPr>
              <w:t>Guarantee of Payment; Continuing Guarantee</w:t>
            </w:r>
          </w:p>
        </w:tc>
        <w:tc>
          <w:tcPr>
            <w:tcW w:w="3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ARTICLE V CONDITIONS PRECEDENT TO CREDIT EXTENSIONS</w:t>
            </w:r>
          </w:p>
        </w:tc>
        <w:tc>
          <w:tcPr>
            <w:tcW w:w="3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5.01</w:t>
            </w:r>
          </w:p>
        </w:tc>
        <w:tc>
          <w:tcPr>
            <w:tcW w:w="7400" w:type="dxa"/>
            <w:vAlign w:val="bottom"/>
          </w:tcPr>
          <w:p>
            <w:pPr>
              <w:ind w:left="40"/>
              <w:spacing w:after="0"/>
              <w:rPr>
                <w:sz w:val="20"/>
                <w:szCs w:val="20"/>
                <w:color w:val="auto"/>
              </w:rPr>
            </w:pPr>
            <w:r>
              <w:rPr>
                <w:rFonts w:ascii="Arial" w:cs="Arial" w:eastAsia="Arial" w:hAnsi="Arial"/>
                <w:sz w:val="18"/>
                <w:szCs w:val="18"/>
                <w:color w:val="auto"/>
              </w:rPr>
              <w:t>Conditions of Initial Credit Extension</w:t>
            </w:r>
          </w:p>
        </w:tc>
        <w:tc>
          <w:tcPr>
            <w:tcW w:w="3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5.02</w:t>
            </w:r>
          </w:p>
        </w:tc>
        <w:tc>
          <w:tcPr>
            <w:tcW w:w="7400" w:type="dxa"/>
            <w:vAlign w:val="bottom"/>
          </w:tcPr>
          <w:p>
            <w:pPr>
              <w:ind w:left="40"/>
              <w:spacing w:after="0"/>
              <w:rPr>
                <w:sz w:val="20"/>
                <w:szCs w:val="20"/>
                <w:color w:val="auto"/>
              </w:rPr>
            </w:pPr>
            <w:r>
              <w:rPr>
                <w:rFonts w:ascii="Arial" w:cs="Arial" w:eastAsia="Arial" w:hAnsi="Arial"/>
                <w:sz w:val="18"/>
                <w:szCs w:val="18"/>
                <w:color w:val="auto"/>
              </w:rPr>
              <w:t>Conditions to all Credit Extensions</w:t>
            </w:r>
          </w:p>
        </w:tc>
        <w:tc>
          <w:tcPr>
            <w:tcW w:w="3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w:t>
            </w:r>
          </w:p>
        </w:tc>
        <w:tc>
          <w:tcPr>
            <w:tcW w:w="3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6.01</w:t>
            </w:r>
          </w:p>
        </w:tc>
        <w:tc>
          <w:tcPr>
            <w:tcW w:w="7400" w:type="dxa"/>
            <w:vAlign w:val="bottom"/>
          </w:tcPr>
          <w:p>
            <w:pPr>
              <w:ind w:left="40"/>
              <w:spacing w:after="0"/>
              <w:rPr>
                <w:sz w:val="20"/>
                <w:szCs w:val="20"/>
                <w:color w:val="auto"/>
              </w:rPr>
            </w:pPr>
            <w:r>
              <w:rPr>
                <w:rFonts w:ascii="Arial" w:cs="Arial" w:eastAsia="Arial" w:hAnsi="Arial"/>
                <w:sz w:val="18"/>
                <w:szCs w:val="18"/>
                <w:color w:val="auto"/>
              </w:rPr>
              <w:t>Organization, etc.</w:t>
            </w:r>
          </w:p>
        </w:tc>
        <w:tc>
          <w:tcPr>
            <w:tcW w:w="3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6.02</w:t>
            </w:r>
          </w:p>
        </w:tc>
        <w:tc>
          <w:tcPr>
            <w:tcW w:w="7400" w:type="dxa"/>
            <w:vAlign w:val="bottom"/>
          </w:tcPr>
          <w:p>
            <w:pPr>
              <w:ind w:left="40"/>
              <w:spacing w:after="0"/>
              <w:rPr>
                <w:sz w:val="20"/>
                <w:szCs w:val="20"/>
                <w:color w:val="auto"/>
              </w:rPr>
            </w:pPr>
            <w:r>
              <w:rPr>
                <w:rFonts w:ascii="Arial" w:cs="Arial" w:eastAsia="Arial" w:hAnsi="Arial"/>
                <w:sz w:val="18"/>
                <w:szCs w:val="18"/>
                <w:color w:val="auto"/>
              </w:rPr>
              <w:t>Authorization; No Conflict</w:t>
            </w:r>
          </w:p>
        </w:tc>
        <w:tc>
          <w:tcPr>
            <w:tcW w:w="3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6.03</w:t>
            </w:r>
          </w:p>
        </w:tc>
        <w:tc>
          <w:tcPr>
            <w:tcW w:w="7400" w:type="dxa"/>
            <w:vAlign w:val="bottom"/>
          </w:tcPr>
          <w:p>
            <w:pPr>
              <w:ind w:left="40"/>
              <w:spacing w:after="0"/>
              <w:rPr>
                <w:sz w:val="20"/>
                <w:szCs w:val="20"/>
                <w:color w:val="auto"/>
              </w:rPr>
            </w:pPr>
            <w:r>
              <w:rPr>
                <w:rFonts w:ascii="Arial" w:cs="Arial" w:eastAsia="Arial" w:hAnsi="Arial"/>
                <w:sz w:val="18"/>
                <w:szCs w:val="18"/>
                <w:color w:val="auto"/>
              </w:rPr>
              <w:t>Validity and Binding Nature</w:t>
            </w:r>
          </w:p>
        </w:tc>
        <w:tc>
          <w:tcPr>
            <w:tcW w:w="3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6.04</w:t>
            </w:r>
          </w:p>
        </w:tc>
        <w:tc>
          <w:tcPr>
            <w:tcW w:w="7400" w:type="dxa"/>
            <w:vAlign w:val="bottom"/>
          </w:tcPr>
          <w:p>
            <w:pPr>
              <w:ind w:left="40"/>
              <w:spacing w:after="0"/>
              <w:rPr>
                <w:sz w:val="20"/>
                <w:szCs w:val="20"/>
                <w:color w:val="auto"/>
              </w:rPr>
            </w:pPr>
            <w:r>
              <w:rPr>
                <w:rFonts w:ascii="Arial" w:cs="Arial" w:eastAsia="Arial" w:hAnsi="Arial"/>
                <w:sz w:val="18"/>
                <w:szCs w:val="18"/>
                <w:color w:val="auto"/>
              </w:rPr>
              <w:t>Financial Condition</w:t>
            </w:r>
          </w:p>
        </w:tc>
        <w:tc>
          <w:tcPr>
            <w:tcW w:w="3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6.05</w:t>
            </w:r>
          </w:p>
        </w:tc>
        <w:tc>
          <w:tcPr>
            <w:tcW w:w="7400" w:type="dxa"/>
            <w:vAlign w:val="bottom"/>
          </w:tcPr>
          <w:p>
            <w:pPr>
              <w:ind w:left="40"/>
              <w:spacing w:after="0"/>
              <w:rPr>
                <w:sz w:val="20"/>
                <w:szCs w:val="20"/>
                <w:color w:val="auto"/>
              </w:rPr>
            </w:pPr>
            <w:r>
              <w:rPr>
                <w:rFonts w:ascii="Arial" w:cs="Arial" w:eastAsia="Arial" w:hAnsi="Arial"/>
                <w:sz w:val="18"/>
                <w:szCs w:val="18"/>
                <w:color w:val="auto"/>
              </w:rPr>
              <w:t>No Material Adverse Change</w:t>
            </w:r>
          </w:p>
        </w:tc>
        <w:tc>
          <w:tcPr>
            <w:tcW w:w="3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6.06</w:t>
            </w:r>
          </w:p>
        </w:tc>
        <w:tc>
          <w:tcPr>
            <w:tcW w:w="740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3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6.07</w:t>
            </w:r>
          </w:p>
        </w:tc>
        <w:tc>
          <w:tcPr>
            <w:tcW w:w="7400" w:type="dxa"/>
            <w:vAlign w:val="bottom"/>
          </w:tcPr>
          <w:p>
            <w:pPr>
              <w:ind w:left="40"/>
              <w:spacing w:after="0"/>
              <w:rPr>
                <w:sz w:val="20"/>
                <w:szCs w:val="20"/>
                <w:color w:val="auto"/>
              </w:rPr>
            </w:pPr>
            <w:r>
              <w:rPr>
                <w:rFonts w:ascii="Arial" w:cs="Arial" w:eastAsia="Arial" w:hAnsi="Arial"/>
                <w:sz w:val="18"/>
                <w:szCs w:val="18"/>
                <w:color w:val="auto"/>
              </w:rPr>
              <w:t>Ownership of Properties</w:t>
            </w:r>
          </w:p>
        </w:tc>
        <w:tc>
          <w:tcPr>
            <w:tcW w:w="3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6.08</w:t>
            </w:r>
          </w:p>
        </w:tc>
        <w:tc>
          <w:tcPr>
            <w:tcW w:w="740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3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6.09</w:t>
            </w:r>
          </w:p>
        </w:tc>
        <w:tc>
          <w:tcPr>
            <w:tcW w:w="7400" w:type="dxa"/>
            <w:vAlign w:val="bottom"/>
          </w:tcPr>
          <w:p>
            <w:pPr>
              <w:ind w:left="40"/>
              <w:spacing w:after="0"/>
              <w:rPr>
                <w:sz w:val="20"/>
                <w:szCs w:val="20"/>
                <w:color w:val="auto"/>
              </w:rPr>
            </w:pPr>
            <w:r>
              <w:rPr>
                <w:rFonts w:ascii="Arial" w:cs="Arial" w:eastAsia="Arial" w:hAnsi="Arial"/>
                <w:sz w:val="18"/>
                <w:szCs w:val="18"/>
                <w:color w:val="auto"/>
              </w:rPr>
              <w:t>Pension Plans and Plan Assets</w:t>
            </w:r>
          </w:p>
        </w:tc>
        <w:tc>
          <w:tcPr>
            <w:tcW w:w="3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6.10</w:t>
            </w:r>
          </w:p>
        </w:tc>
        <w:tc>
          <w:tcPr>
            <w:tcW w:w="7400" w:type="dxa"/>
            <w:vAlign w:val="bottom"/>
          </w:tcPr>
          <w:p>
            <w:pPr>
              <w:ind w:left="40"/>
              <w:spacing w:after="0"/>
              <w:rPr>
                <w:sz w:val="20"/>
                <w:szCs w:val="20"/>
                <w:color w:val="auto"/>
              </w:rPr>
            </w:pPr>
            <w:r>
              <w:rPr>
                <w:rFonts w:ascii="Arial" w:cs="Arial" w:eastAsia="Arial" w:hAnsi="Arial"/>
                <w:sz w:val="18"/>
                <w:szCs w:val="18"/>
                <w:color w:val="auto"/>
              </w:rPr>
              <w:t>Investment Company Act</w:t>
            </w:r>
          </w:p>
        </w:tc>
        <w:tc>
          <w:tcPr>
            <w:tcW w:w="3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6.11 Regulation U</w:t>
            </w:r>
          </w:p>
        </w:tc>
        <w:tc>
          <w:tcPr>
            <w:tcW w:w="3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6.12</w:t>
            </w:r>
          </w:p>
        </w:tc>
        <w:tc>
          <w:tcPr>
            <w:tcW w:w="7400" w:type="dxa"/>
            <w:vAlign w:val="bottom"/>
          </w:tcPr>
          <w:p>
            <w:pPr>
              <w:ind w:left="40"/>
              <w:spacing w:after="0"/>
              <w:rPr>
                <w:sz w:val="20"/>
                <w:szCs w:val="20"/>
                <w:color w:val="auto"/>
              </w:rPr>
            </w:pPr>
            <w:r>
              <w:rPr>
                <w:rFonts w:ascii="Arial" w:cs="Arial" w:eastAsia="Arial" w:hAnsi="Arial"/>
                <w:sz w:val="18"/>
                <w:szCs w:val="18"/>
                <w:color w:val="auto"/>
              </w:rPr>
              <w:t>Taxes</w:t>
            </w:r>
          </w:p>
        </w:tc>
        <w:tc>
          <w:tcPr>
            <w:tcW w:w="3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6.13</w:t>
            </w:r>
          </w:p>
        </w:tc>
        <w:tc>
          <w:tcPr>
            <w:tcW w:w="7400" w:type="dxa"/>
            <w:vAlign w:val="bottom"/>
          </w:tcPr>
          <w:p>
            <w:pPr>
              <w:ind w:left="40"/>
              <w:spacing w:after="0"/>
              <w:rPr>
                <w:sz w:val="20"/>
                <w:szCs w:val="20"/>
                <w:color w:val="auto"/>
              </w:rPr>
            </w:pPr>
            <w:r>
              <w:rPr>
                <w:rFonts w:ascii="Arial" w:cs="Arial" w:eastAsia="Arial" w:hAnsi="Arial"/>
                <w:sz w:val="18"/>
                <w:szCs w:val="18"/>
                <w:color w:val="auto"/>
              </w:rPr>
              <w:t>Environmental Matters</w:t>
            </w:r>
          </w:p>
        </w:tc>
        <w:tc>
          <w:tcPr>
            <w:tcW w:w="3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6.14</w:t>
            </w:r>
          </w:p>
        </w:tc>
        <w:tc>
          <w:tcPr>
            <w:tcW w:w="7400" w:type="dxa"/>
            <w:vAlign w:val="bottom"/>
          </w:tcPr>
          <w:p>
            <w:pPr>
              <w:ind w:left="40"/>
              <w:spacing w:after="0"/>
              <w:rPr>
                <w:sz w:val="20"/>
                <w:szCs w:val="20"/>
                <w:color w:val="auto"/>
              </w:rPr>
            </w:pPr>
            <w:r>
              <w:rPr>
                <w:rFonts w:ascii="Arial" w:cs="Arial" w:eastAsia="Arial" w:hAnsi="Arial"/>
                <w:sz w:val="18"/>
                <w:szCs w:val="18"/>
                <w:color w:val="auto"/>
              </w:rPr>
              <w:t>Information</w:t>
            </w:r>
          </w:p>
        </w:tc>
        <w:tc>
          <w:tcPr>
            <w:tcW w:w="3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6.15</w:t>
            </w:r>
          </w:p>
        </w:tc>
        <w:tc>
          <w:tcPr>
            <w:tcW w:w="7400" w:type="dxa"/>
            <w:vAlign w:val="bottom"/>
          </w:tcPr>
          <w:p>
            <w:pPr>
              <w:ind w:left="40"/>
              <w:spacing w:after="0"/>
              <w:rPr>
                <w:sz w:val="20"/>
                <w:szCs w:val="20"/>
                <w:color w:val="auto"/>
              </w:rPr>
            </w:pPr>
            <w:r>
              <w:rPr>
                <w:rFonts w:ascii="Arial" w:cs="Arial" w:eastAsia="Arial" w:hAnsi="Arial"/>
                <w:sz w:val="18"/>
                <w:szCs w:val="18"/>
                <w:color w:val="auto"/>
              </w:rPr>
              <w:t>No Default</w:t>
            </w:r>
          </w:p>
        </w:tc>
        <w:tc>
          <w:tcPr>
            <w:tcW w:w="3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6.16</w:t>
            </w:r>
          </w:p>
        </w:tc>
        <w:tc>
          <w:tcPr>
            <w:tcW w:w="7400" w:type="dxa"/>
            <w:vAlign w:val="bottom"/>
          </w:tcPr>
          <w:p>
            <w:pPr>
              <w:ind w:left="40"/>
              <w:spacing w:after="0"/>
              <w:rPr>
                <w:sz w:val="20"/>
                <w:szCs w:val="20"/>
                <w:color w:val="auto"/>
              </w:rPr>
            </w:pPr>
            <w:r>
              <w:rPr>
                <w:rFonts w:ascii="Arial" w:cs="Arial" w:eastAsia="Arial" w:hAnsi="Arial"/>
                <w:sz w:val="18"/>
                <w:szCs w:val="18"/>
                <w:color w:val="auto"/>
              </w:rPr>
              <w:t>Designated Borrower Joinder Agreement</w:t>
            </w:r>
          </w:p>
        </w:tc>
        <w:tc>
          <w:tcPr>
            <w:tcW w:w="3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ARTICLE VII COVENANTS</w:t>
            </w:r>
          </w:p>
        </w:tc>
        <w:tc>
          <w:tcPr>
            <w:tcW w:w="31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7.01</w:t>
            </w:r>
          </w:p>
        </w:tc>
        <w:tc>
          <w:tcPr>
            <w:tcW w:w="7400" w:type="dxa"/>
            <w:vAlign w:val="bottom"/>
          </w:tcPr>
          <w:p>
            <w:pPr>
              <w:ind w:left="40"/>
              <w:spacing w:after="0"/>
              <w:rPr>
                <w:sz w:val="20"/>
                <w:szCs w:val="20"/>
                <w:color w:val="auto"/>
              </w:rPr>
            </w:pPr>
            <w:r>
              <w:rPr>
                <w:rFonts w:ascii="Arial" w:cs="Arial" w:eastAsia="Arial" w:hAnsi="Arial"/>
                <w:sz w:val="18"/>
                <w:szCs w:val="18"/>
                <w:color w:val="auto"/>
              </w:rPr>
              <w:t>Reports, Certificates and Other Information</w:t>
            </w:r>
          </w:p>
        </w:tc>
        <w:tc>
          <w:tcPr>
            <w:tcW w:w="31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7.02</w:t>
            </w:r>
          </w:p>
        </w:tc>
        <w:tc>
          <w:tcPr>
            <w:tcW w:w="7400" w:type="dxa"/>
            <w:vAlign w:val="bottom"/>
          </w:tcPr>
          <w:p>
            <w:pPr>
              <w:ind w:left="40"/>
              <w:spacing w:after="0"/>
              <w:rPr>
                <w:sz w:val="20"/>
                <w:szCs w:val="20"/>
                <w:color w:val="auto"/>
              </w:rPr>
            </w:pPr>
            <w:r>
              <w:rPr>
                <w:rFonts w:ascii="Arial" w:cs="Arial" w:eastAsia="Arial" w:hAnsi="Arial"/>
                <w:sz w:val="18"/>
                <w:szCs w:val="18"/>
                <w:color w:val="auto"/>
              </w:rPr>
              <w:t>Books, Records and Inspections</w:t>
            </w:r>
          </w:p>
        </w:tc>
        <w:tc>
          <w:tcPr>
            <w:tcW w:w="3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7.03</w:t>
            </w:r>
          </w:p>
        </w:tc>
        <w:tc>
          <w:tcPr>
            <w:tcW w:w="740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7.04</w:t>
            </w:r>
          </w:p>
        </w:tc>
        <w:tc>
          <w:tcPr>
            <w:tcW w:w="7400" w:type="dxa"/>
            <w:vAlign w:val="bottom"/>
          </w:tcPr>
          <w:p>
            <w:pPr>
              <w:ind w:left="40"/>
              <w:spacing w:after="0"/>
              <w:rPr>
                <w:sz w:val="20"/>
                <w:szCs w:val="20"/>
                <w:color w:val="auto"/>
              </w:rPr>
            </w:pPr>
            <w:r>
              <w:rPr>
                <w:rFonts w:ascii="Arial" w:cs="Arial" w:eastAsia="Arial" w:hAnsi="Arial"/>
                <w:sz w:val="18"/>
                <w:szCs w:val="18"/>
                <w:color w:val="auto"/>
              </w:rPr>
              <w:t>Compliance with Laws; Payment of Taxes</w:t>
            </w:r>
          </w:p>
        </w:tc>
        <w:tc>
          <w:tcPr>
            <w:tcW w:w="3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7.05</w:t>
            </w:r>
          </w:p>
        </w:tc>
        <w:tc>
          <w:tcPr>
            <w:tcW w:w="7400" w:type="dxa"/>
            <w:vAlign w:val="bottom"/>
          </w:tcPr>
          <w:p>
            <w:pPr>
              <w:ind w:left="40"/>
              <w:spacing w:after="0"/>
              <w:rPr>
                <w:sz w:val="20"/>
                <w:szCs w:val="20"/>
                <w:color w:val="auto"/>
              </w:rPr>
            </w:pPr>
            <w:r>
              <w:rPr>
                <w:rFonts w:ascii="Arial" w:cs="Arial" w:eastAsia="Arial" w:hAnsi="Arial"/>
                <w:sz w:val="18"/>
                <w:szCs w:val="18"/>
                <w:color w:val="auto"/>
              </w:rPr>
              <w:t>Maintenance of Existence, etc.</w:t>
            </w:r>
          </w:p>
        </w:tc>
        <w:tc>
          <w:tcPr>
            <w:tcW w:w="3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7.06</w:t>
            </w:r>
          </w:p>
        </w:tc>
        <w:tc>
          <w:tcPr>
            <w:tcW w:w="7400" w:type="dxa"/>
            <w:vAlign w:val="bottom"/>
          </w:tcPr>
          <w:p>
            <w:pPr>
              <w:ind w:left="40"/>
              <w:spacing w:after="0"/>
              <w:rPr>
                <w:sz w:val="20"/>
                <w:szCs w:val="20"/>
                <w:color w:val="auto"/>
              </w:rPr>
            </w:pPr>
            <w:r>
              <w:rPr>
                <w:rFonts w:ascii="Arial" w:cs="Arial" w:eastAsia="Arial" w:hAnsi="Arial"/>
                <w:sz w:val="18"/>
                <w:szCs w:val="18"/>
                <w:color w:val="auto"/>
              </w:rPr>
              <w:t>Financial Covenants</w:t>
            </w:r>
          </w:p>
        </w:tc>
        <w:tc>
          <w:tcPr>
            <w:tcW w:w="3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7.07</w:t>
            </w:r>
          </w:p>
        </w:tc>
        <w:tc>
          <w:tcPr>
            <w:tcW w:w="7400" w:type="dxa"/>
            <w:vAlign w:val="bottom"/>
          </w:tcPr>
          <w:p>
            <w:pPr>
              <w:ind w:left="40"/>
              <w:spacing w:after="0"/>
              <w:rPr>
                <w:sz w:val="20"/>
                <w:szCs w:val="20"/>
                <w:color w:val="auto"/>
              </w:rPr>
            </w:pPr>
            <w:r>
              <w:rPr>
                <w:rFonts w:ascii="Arial" w:cs="Arial" w:eastAsia="Arial" w:hAnsi="Arial"/>
                <w:sz w:val="18"/>
                <w:szCs w:val="18"/>
                <w:color w:val="auto"/>
              </w:rPr>
              <w:t>Limitations on Debt</w:t>
            </w:r>
          </w:p>
        </w:tc>
        <w:tc>
          <w:tcPr>
            <w:tcW w:w="3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7.08</w:t>
            </w:r>
          </w:p>
        </w:tc>
        <w:tc>
          <w:tcPr>
            <w:tcW w:w="7400" w:type="dxa"/>
            <w:vAlign w:val="bottom"/>
          </w:tcPr>
          <w:p>
            <w:pPr>
              <w:ind w:left="40"/>
              <w:spacing w:after="0"/>
              <w:rPr>
                <w:sz w:val="20"/>
                <w:szCs w:val="20"/>
                <w:color w:val="auto"/>
              </w:rPr>
            </w:pPr>
            <w:r>
              <w:rPr>
                <w:rFonts w:ascii="Arial" w:cs="Arial" w:eastAsia="Arial" w:hAnsi="Arial"/>
                <w:sz w:val="18"/>
                <w:szCs w:val="18"/>
                <w:color w:val="auto"/>
              </w:rPr>
              <w:t>Liens</w:t>
            </w:r>
          </w:p>
        </w:tc>
        <w:tc>
          <w:tcPr>
            <w:tcW w:w="3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7.09</w:t>
            </w:r>
          </w:p>
        </w:tc>
        <w:tc>
          <w:tcPr>
            <w:tcW w:w="7400" w:type="dxa"/>
            <w:vAlign w:val="bottom"/>
          </w:tcPr>
          <w:p>
            <w:pPr>
              <w:ind w:left="40"/>
              <w:spacing w:after="0"/>
              <w:rPr>
                <w:sz w:val="20"/>
                <w:szCs w:val="20"/>
                <w:color w:val="auto"/>
              </w:rPr>
            </w:pPr>
            <w:r>
              <w:rPr>
                <w:rFonts w:ascii="Arial" w:cs="Arial" w:eastAsia="Arial" w:hAnsi="Arial"/>
                <w:sz w:val="18"/>
                <w:szCs w:val="18"/>
                <w:color w:val="auto"/>
              </w:rPr>
              <w:t>Fundamental Changes, Consolidations, Sales</w:t>
            </w:r>
          </w:p>
        </w:tc>
        <w:tc>
          <w:tcPr>
            <w:tcW w:w="3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7.10</w:t>
            </w:r>
          </w:p>
        </w:tc>
        <w:tc>
          <w:tcPr>
            <w:tcW w:w="740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3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7.11 Further Assurances</w:t>
            </w:r>
          </w:p>
        </w:tc>
        <w:tc>
          <w:tcPr>
            <w:tcW w:w="3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7.12</w:t>
            </w:r>
          </w:p>
        </w:tc>
        <w:tc>
          <w:tcPr>
            <w:tcW w:w="7400" w:type="dxa"/>
            <w:vAlign w:val="bottom"/>
          </w:tcPr>
          <w:p>
            <w:pPr>
              <w:ind w:left="40"/>
              <w:spacing w:after="0"/>
              <w:rPr>
                <w:sz w:val="20"/>
                <w:szCs w:val="20"/>
                <w:color w:val="auto"/>
              </w:rPr>
            </w:pPr>
            <w:r>
              <w:rPr>
                <w:rFonts w:ascii="Arial" w:cs="Arial" w:eastAsia="Arial" w:hAnsi="Arial"/>
                <w:sz w:val="18"/>
                <w:szCs w:val="18"/>
                <w:color w:val="auto"/>
              </w:rPr>
              <w:t>Transactions with Affiliates</w:t>
            </w:r>
          </w:p>
        </w:tc>
        <w:tc>
          <w:tcPr>
            <w:tcW w:w="3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7.13</w:t>
            </w:r>
          </w:p>
        </w:tc>
        <w:tc>
          <w:tcPr>
            <w:tcW w:w="7400" w:type="dxa"/>
            <w:vAlign w:val="bottom"/>
          </w:tcPr>
          <w:p>
            <w:pPr>
              <w:ind w:left="40"/>
              <w:spacing w:after="0"/>
              <w:rPr>
                <w:sz w:val="20"/>
                <w:szCs w:val="20"/>
                <w:color w:val="auto"/>
              </w:rPr>
            </w:pPr>
            <w:r>
              <w:rPr>
                <w:rFonts w:ascii="Arial" w:cs="Arial" w:eastAsia="Arial" w:hAnsi="Arial"/>
                <w:sz w:val="18"/>
                <w:szCs w:val="18"/>
                <w:color w:val="auto"/>
              </w:rPr>
              <w:t>Employee Benefit Plans</w:t>
            </w:r>
          </w:p>
        </w:tc>
        <w:tc>
          <w:tcPr>
            <w:tcW w:w="3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7.14</w:t>
            </w:r>
          </w:p>
        </w:tc>
        <w:tc>
          <w:tcPr>
            <w:tcW w:w="7400" w:type="dxa"/>
            <w:vAlign w:val="bottom"/>
          </w:tcPr>
          <w:p>
            <w:pPr>
              <w:ind w:left="40"/>
              <w:spacing w:after="0"/>
              <w:rPr>
                <w:sz w:val="20"/>
                <w:szCs w:val="20"/>
                <w:color w:val="auto"/>
              </w:rPr>
            </w:pPr>
            <w:r>
              <w:rPr>
                <w:rFonts w:ascii="Arial" w:cs="Arial" w:eastAsia="Arial" w:hAnsi="Arial"/>
                <w:sz w:val="18"/>
                <w:szCs w:val="18"/>
                <w:color w:val="auto"/>
              </w:rPr>
              <w:t>Environmental Laws</w:t>
            </w:r>
          </w:p>
        </w:tc>
        <w:tc>
          <w:tcPr>
            <w:tcW w:w="3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7.15</w:t>
            </w:r>
          </w:p>
        </w:tc>
        <w:tc>
          <w:tcPr>
            <w:tcW w:w="7400" w:type="dxa"/>
            <w:vAlign w:val="bottom"/>
          </w:tcPr>
          <w:p>
            <w:pPr>
              <w:ind w:left="40"/>
              <w:spacing w:after="0"/>
              <w:rPr>
                <w:sz w:val="20"/>
                <w:szCs w:val="20"/>
                <w:color w:val="auto"/>
              </w:rPr>
            </w:pPr>
            <w:r>
              <w:rPr>
                <w:rFonts w:ascii="Arial" w:cs="Arial" w:eastAsia="Arial" w:hAnsi="Arial"/>
                <w:sz w:val="18"/>
                <w:szCs w:val="18"/>
                <w:color w:val="auto"/>
              </w:rPr>
              <w:t>Business Activities</w:t>
            </w:r>
          </w:p>
        </w:tc>
        <w:tc>
          <w:tcPr>
            <w:tcW w:w="3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7.16</w:t>
            </w:r>
          </w:p>
        </w:tc>
        <w:tc>
          <w:tcPr>
            <w:tcW w:w="7400" w:type="dxa"/>
            <w:vAlign w:val="bottom"/>
          </w:tcPr>
          <w:p>
            <w:pPr>
              <w:ind w:left="40"/>
              <w:spacing w:after="0"/>
              <w:rPr>
                <w:sz w:val="20"/>
                <w:szCs w:val="20"/>
                <w:color w:val="auto"/>
              </w:rPr>
            </w:pPr>
            <w:r>
              <w:rPr>
                <w:rFonts w:ascii="Arial" w:cs="Arial" w:eastAsia="Arial" w:hAnsi="Arial"/>
                <w:sz w:val="18"/>
                <w:szCs w:val="18"/>
                <w:color w:val="auto"/>
              </w:rPr>
              <w:t>Non-Guarantor Domestic Subsidiaries</w:t>
            </w:r>
          </w:p>
        </w:tc>
        <w:tc>
          <w:tcPr>
            <w:tcW w:w="3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7.17</w:t>
            </w:r>
          </w:p>
        </w:tc>
        <w:tc>
          <w:tcPr>
            <w:tcW w:w="74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7.18</w:t>
            </w:r>
          </w:p>
        </w:tc>
        <w:tc>
          <w:tcPr>
            <w:tcW w:w="7400" w:type="dxa"/>
            <w:vAlign w:val="bottom"/>
          </w:tcPr>
          <w:p>
            <w:pPr>
              <w:ind w:left="40"/>
              <w:spacing w:after="0"/>
              <w:rPr>
                <w:sz w:val="20"/>
                <w:szCs w:val="20"/>
                <w:color w:val="auto"/>
              </w:rPr>
            </w:pPr>
            <w:r>
              <w:rPr>
                <w:rFonts w:ascii="Arial" w:cs="Arial" w:eastAsia="Arial" w:hAnsi="Arial"/>
                <w:sz w:val="18"/>
                <w:szCs w:val="18"/>
                <w:color w:val="auto"/>
              </w:rPr>
              <w:t>Burdensome Agreements</w:t>
            </w:r>
          </w:p>
        </w:tc>
        <w:tc>
          <w:tcPr>
            <w:tcW w:w="3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7.19</w:t>
            </w:r>
          </w:p>
        </w:tc>
        <w:tc>
          <w:tcPr>
            <w:tcW w:w="7400" w:type="dxa"/>
            <w:vAlign w:val="bottom"/>
          </w:tcPr>
          <w:p>
            <w:pPr>
              <w:ind w:left="40"/>
              <w:spacing w:after="0"/>
              <w:rPr>
                <w:sz w:val="20"/>
                <w:szCs w:val="20"/>
                <w:color w:val="auto"/>
              </w:rPr>
            </w:pPr>
            <w:r>
              <w:rPr>
                <w:rFonts w:ascii="Arial" w:cs="Arial" w:eastAsia="Arial" w:hAnsi="Arial"/>
                <w:sz w:val="18"/>
                <w:szCs w:val="18"/>
                <w:color w:val="auto"/>
              </w:rPr>
              <w:t>Organization Documents</w:t>
            </w:r>
          </w:p>
        </w:tc>
        <w:tc>
          <w:tcPr>
            <w:tcW w:w="3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ARTICLE VIII [RESERVED]</w:t>
            </w:r>
          </w:p>
        </w:tc>
        <w:tc>
          <w:tcPr>
            <w:tcW w:w="3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ARTICLE IX EVENTS OF DEFAULT AND REMEDIES</w:t>
            </w:r>
          </w:p>
        </w:tc>
        <w:tc>
          <w:tcPr>
            <w:tcW w:w="3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9.01</w:t>
            </w:r>
          </w:p>
        </w:tc>
        <w:tc>
          <w:tcPr>
            <w:tcW w:w="740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3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w w:val="85"/>
              </w:rPr>
              <w:t>9.02</w:t>
            </w:r>
          </w:p>
        </w:tc>
        <w:tc>
          <w:tcPr>
            <w:tcW w:w="7400" w:type="dxa"/>
            <w:vAlign w:val="bottom"/>
          </w:tcPr>
          <w:p>
            <w:pPr>
              <w:ind w:left="40"/>
              <w:spacing w:after="0"/>
              <w:rPr>
                <w:sz w:val="20"/>
                <w:szCs w:val="20"/>
                <w:color w:val="auto"/>
              </w:rPr>
            </w:pPr>
            <w:r>
              <w:rPr>
                <w:rFonts w:ascii="Arial" w:cs="Arial" w:eastAsia="Arial" w:hAnsi="Arial"/>
                <w:sz w:val="18"/>
                <w:szCs w:val="18"/>
                <w:color w:val="auto"/>
              </w:rPr>
              <w:t>Remedies Upon Event of Default</w:t>
            </w:r>
          </w:p>
        </w:tc>
        <w:tc>
          <w:tcPr>
            <w:tcW w:w="31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760" w:type="dxa"/>
            <w:vAlign w:val="bottom"/>
          </w:tcPr>
          <w:p>
            <w:pPr>
              <w:ind w:left="440"/>
              <w:spacing w:after="0"/>
              <w:rPr>
                <w:sz w:val="20"/>
                <w:szCs w:val="20"/>
                <w:color w:val="auto"/>
              </w:rPr>
            </w:pPr>
            <w:r>
              <w:rPr>
                <w:rFonts w:ascii="Arial" w:cs="Arial" w:eastAsia="Arial" w:hAnsi="Arial"/>
                <w:sz w:val="18"/>
                <w:szCs w:val="18"/>
                <w:color w:val="auto"/>
                <w:w w:val="85"/>
              </w:rPr>
              <w:t>9.03</w:t>
            </w:r>
          </w:p>
        </w:tc>
        <w:tc>
          <w:tcPr>
            <w:tcW w:w="7400" w:type="dxa"/>
            <w:vAlign w:val="bottom"/>
          </w:tcPr>
          <w:p>
            <w:pPr>
              <w:ind w:left="40"/>
              <w:spacing w:after="0"/>
              <w:rPr>
                <w:sz w:val="20"/>
                <w:szCs w:val="20"/>
                <w:color w:val="auto"/>
              </w:rPr>
            </w:pPr>
            <w:r>
              <w:rPr>
                <w:rFonts w:ascii="Arial" w:cs="Arial" w:eastAsia="Arial" w:hAnsi="Arial"/>
                <w:sz w:val="18"/>
                <w:szCs w:val="18"/>
                <w:color w:val="auto"/>
              </w:rPr>
              <w:t>Application of Funds</w:t>
            </w:r>
          </w:p>
        </w:tc>
        <w:tc>
          <w:tcPr>
            <w:tcW w:w="316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84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ARTICLE X ADMINISTRATIVE AGENT</w:t>
            </w:r>
          </w:p>
        </w:tc>
        <w:tc>
          <w:tcPr>
            <w:tcW w:w="29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10.01 Appointment and Authority</w:t>
            </w:r>
          </w:p>
        </w:tc>
        <w:tc>
          <w:tcPr>
            <w:tcW w:w="29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10.02 Rights as a Lender</w:t>
            </w:r>
          </w:p>
        </w:tc>
        <w:tc>
          <w:tcPr>
            <w:tcW w:w="29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10.03 Exculpatory Provisions</w:t>
            </w:r>
          </w:p>
        </w:tc>
        <w:tc>
          <w:tcPr>
            <w:tcW w:w="29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10.04 Reliance by Administrative Agent</w:t>
            </w:r>
          </w:p>
        </w:tc>
        <w:tc>
          <w:tcPr>
            <w:tcW w:w="29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10.05 Delegation of Duties</w:t>
            </w:r>
          </w:p>
        </w:tc>
        <w:tc>
          <w:tcPr>
            <w:tcW w:w="29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10.06 Resignation of Administrative Agent</w:t>
            </w:r>
          </w:p>
        </w:tc>
        <w:tc>
          <w:tcPr>
            <w:tcW w:w="2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10.07 Non-Reliance on Administrative Agent and Other Lenders</w:t>
            </w:r>
          </w:p>
        </w:tc>
        <w:tc>
          <w:tcPr>
            <w:tcW w:w="2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10.08 No Other Duties; Etc.</w:t>
            </w:r>
          </w:p>
        </w:tc>
        <w:tc>
          <w:tcPr>
            <w:tcW w:w="2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10.09 Administrative Agent May File Proofs of Claim</w:t>
            </w:r>
          </w:p>
        </w:tc>
        <w:tc>
          <w:tcPr>
            <w:tcW w:w="2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10.10 Guaranty Matters</w:t>
            </w:r>
          </w:p>
        </w:tc>
        <w:tc>
          <w:tcPr>
            <w:tcW w:w="29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9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11.01</w:t>
            </w:r>
          </w:p>
        </w:tc>
        <w:tc>
          <w:tcPr>
            <w:tcW w:w="7480" w:type="dxa"/>
            <w:vAlign w:val="bottom"/>
          </w:tcPr>
          <w:p>
            <w:pPr>
              <w:ind w:left="20"/>
              <w:spacing w:after="0"/>
              <w:rPr>
                <w:sz w:val="20"/>
                <w:szCs w:val="20"/>
                <w:color w:val="auto"/>
              </w:rPr>
            </w:pPr>
            <w:r>
              <w:rPr>
                <w:rFonts w:ascii="Arial" w:cs="Arial" w:eastAsia="Arial" w:hAnsi="Arial"/>
                <w:sz w:val="18"/>
                <w:szCs w:val="18"/>
                <w:color w:val="auto"/>
              </w:rPr>
              <w:t>Amendments, Etc.</w:t>
            </w:r>
          </w:p>
        </w:tc>
        <w:tc>
          <w:tcPr>
            <w:tcW w:w="29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11.02</w:t>
            </w:r>
          </w:p>
        </w:tc>
        <w:tc>
          <w:tcPr>
            <w:tcW w:w="7480" w:type="dxa"/>
            <w:vAlign w:val="bottom"/>
          </w:tcPr>
          <w:p>
            <w:pPr>
              <w:ind w:left="20"/>
              <w:spacing w:after="0"/>
              <w:rPr>
                <w:sz w:val="20"/>
                <w:szCs w:val="20"/>
                <w:color w:val="auto"/>
              </w:rPr>
            </w:pPr>
            <w:r>
              <w:rPr>
                <w:rFonts w:ascii="Arial" w:cs="Arial" w:eastAsia="Arial" w:hAnsi="Arial"/>
                <w:sz w:val="18"/>
                <w:szCs w:val="18"/>
                <w:color w:val="auto"/>
              </w:rPr>
              <w:t>Notices; Effectiveness; Electronic Communications</w:t>
            </w:r>
          </w:p>
        </w:tc>
        <w:tc>
          <w:tcPr>
            <w:tcW w:w="29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11.03</w:t>
            </w:r>
          </w:p>
        </w:tc>
        <w:tc>
          <w:tcPr>
            <w:tcW w:w="7480" w:type="dxa"/>
            <w:vAlign w:val="bottom"/>
          </w:tcPr>
          <w:p>
            <w:pPr>
              <w:ind w:left="20"/>
              <w:spacing w:after="0"/>
              <w:rPr>
                <w:sz w:val="20"/>
                <w:szCs w:val="20"/>
                <w:color w:val="auto"/>
              </w:rPr>
            </w:pPr>
            <w:r>
              <w:rPr>
                <w:rFonts w:ascii="Arial" w:cs="Arial" w:eastAsia="Arial" w:hAnsi="Arial"/>
                <w:sz w:val="18"/>
                <w:szCs w:val="18"/>
                <w:color w:val="auto"/>
              </w:rPr>
              <w:t>No Waiver; Cumulative Remedies; Enforcement</w:t>
            </w:r>
          </w:p>
        </w:tc>
        <w:tc>
          <w:tcPr>
            <w:tcW w:w="29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11.04</w:t>
            </w:r>
          </w:p>
        </w:tc>
        <w:tc>
          <w:tcPr>
            <w:tcW w:w="7480" w:type="dxa"/>
            <w:vAlign w:val="bottom"/>
          </w:tcPr>
          <w:p>
            <w:pPr>
              <w:ind w:left="20"/>
              <w:spacing w:after="0"/>
              <w:rPr>
                <w:sz w:val="20"/>
                <w:szCs w:val="20"/>
                <w:color w:val="auto"/>
              </w:rPr>
            </w:pPr>
            <w:r>
              <w:rPr>
                <w:rFonts w:ascii="Arial" w:cs="Arial" w:eastAsia="Arial" w:hAnsi="Arial"/>
                <w:sz w:val="18"/>
                <w:szCs w:val="18"/>
                <w:color w:val="auto"/>
              </w:rPr>
              <w:t>Expenses; Indemnity; Damage Waiver</w:t>
            </w:r>
          </w:p>
        </w:tc>
        <w:tc>
          <w:tcPr>
            <w:tcW w:w="29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11.05</w:t>
            </w:r>
          </w:p>
        </w:tc>
        <w:tc>
          <w:tcPr>
            <w:tcW w:w="7480" w:type="dxa"/>
            <w:vAlign w:val="bottom"/>
          </w:tcPr>
          <w:p>
            <w:pPr>
              <w:ind w:left="20"/>
              <w:spacing w:after="0"/>
              <w:rPr>
                <w:sz w:val="20"/>
                <w:szCs w:val="20"/>
                <w:color w:val="auto"/>
              </w:rPr>
            </w:pPr>
            <w:r>
              <w:rPr>
                <w:rFonts w:ascii="Arial" w:cs="Arial" w:eastAsia="Arial" w:hAnsi="Arial"/>
                <w:sz w:val="18"/>
                <w:szCs w:val="18"/>
                <w:color w:val="auto"/>
              </w:rPr>
              <w:t>Payments Set Aside</w:t>
            </w:r>
          </w:p>
        </w:tc>
        <w:tc>
          <w:tcPr>
            <w:tcW w:w="2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11.06</w:t>
            </w:r>
          </w:p>
        </w:tc>
        <w:tc>
          <w:tcPr>
            <w:tcW w:w="7480" w:type="dxa"/>
            <w:vAlign w:val="bottom"/>
          </w:tcPr>
          <w:p>
            <w:pPr>
              <w:ind w:left="20"/>
              <w:spacing w:after="0"/>
              <w:rPr>
                <w:sz w:val="20"/>
                <w:szCs w:val="20"/>
                <w:color w:val="auto"/>
              </w:rPr>
            </w:pPr>
            <w:r>
              <w:rPr>
                <w:rFonts w:ascii="Arial" w:cs="Arial" w:eastAsia="Arial" w:hAnsi="Arial"/>
                <w:sz w:val="18"/>
                <w:szCs w:val="18"/>
                <w:color w:val="auto"/>
              </w:rPr>
              <w:t>Successors and Assigns</w:t>
            </w:r>
          </w:p>
        </w:tc>
        <w:tc>
          <w:tcPr>
            <w:tcW w:w="29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11.07</w:t>
            </w:r>
          </w:p>
        </w:tc>
        <w:tc>
          <w:tcPr>
            <w:tcW w:w="7480" w:type="dxa"/>
            <w:vAlign w:val="bottom"/>
          </w:tcPr>
          <w:p>
            <w:pPr>
              <w:ind w:left="20"/>
              <w:spacing w:after="0"/>
              <w:rPr>
                <w:sz w:val="20"/>
                <w:szCs w:val="20"/>
                <w:color w:val="auto"/>
              </w:rPr>
            </w:pPr>
            <w:r>
              <w:rPr>
                <w:rFonts w:ascii="Arial" w:cs="Arial" w:eastAsia="Arial" w:hAnsi="Arial"/>
                <w:sz w:val="18"/>
                <w:szCs w:val="18"/>
                <w:color w:val="auto"/>
              </w:rPr>
              <w:t>Confidentiality</w:t>
            </w:r>
          </w:p>
        </w:tc>
        <w:tc>
          <w:tcPr>
            <w:tcW w:w="2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11.08</w:t>
            </w:r>
          </w:p>
        </w:tc>
        <w:tc>
          <w:tcPr>
            <w:tcW w:w="7480" w:type="dxa"/>
            <w:vAlign w:val="bottom"/>
          </w:tcPr>
          <w:p>
            <w:pPr>
              <w:ind w:left="20"/>
              <w:spacing w:after="0"/>
              <w:rPr>
                <w:sz w:val="20"/>
                <w:szCs w:val="20"/>
                <w:color w:val="auto"/>
              </w:rPr>
            </w:pPr>
            <w:r>
              <w:rPr>
                <w:rFonts w:ascii="Arial" w:cs="Arial" w:eastAsia="Arial" w:hAnsi="Arial"/>
                <w:sz w:val="18"/>
                <w:szCs w:val="18"/>
                <w:color w:val="auto"/>
              </w:rPr>
              <w:t>Set-off</w:t>
            </w:r>
          </w:p>
        </w:tc>
        <w:tc>
          <w:tcPr>
            <w:tcW w:w="2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11.09</w:t>
            </w:r>
          </w:p>
        </w:tc>
        <w:tc>
          <w:tcPr>
            <w:tcW w:w="7480" w:type="dxa"/>
            <w:vAlign w:val="bottom"/>
          </w:tcPr>
          <w:p>
            <w:pPr>
              <w:ind w:left="20"/>
              <w:spacing w:after="0"/>
              <w:rPr>
                <w:sz w:val="20"/>
                <w:szCs w:val="20"/>
                <w:color w:val="auto"/>
              </w:rPr>
            </w:pPr>
            <w:r>
              <w:rPr>
                <w:rFonts w:ascii="Arial" w:cs="Arial" w:eastAsia="Arial" w:hAnsi="Arial"/>
                <w:sz w:val="18"/>
                <w:szCs w:val="18"/>
                <w:color w:val="auto"/>
              </w:rPr>
              <w:t>Interest Rate Limitation</w:t>
            </w:r>
          </w:p>
        </w:tc>
        <w:tc>
          <w:tcPr>
            <w:tcW w:w="2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11.10</w:t>
            </w:r>
          </w:p>
        </w:tc>
        <w:tc>
          <w:tcPr>
            <w:tcW w:w="748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2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11.11 Integration; Effectiveness</w:t>
            </w:r>
          </w:p>
        </w:tc>
        <w:tc>
          <w:tcPr>
            <w:tcW w:w="2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11.12</w:t>
            </w:r>
          </w:p>
        </w:tc>
        <w:tc>
          <w:tcPr>
            <w:tcW w:w="7480" w:type="dxa"/>
            <w:vAlign w:val="bottom"/>
          </w:tcPr>
          <w:p>
            <w:pPr>
              <w:ind w:left="20"/>
              <w:spacing w:after="0"/>
              <w:rPr>
                <w:sz w:val="20"/>
                <w:szCs w:val="20"/>
                <w:color w:val="auto"/>
              </w:rPr>
            </w:pPr>
            <w:r>
              <w:rPr>
                <w:rFonts w:ascii="Arial" w:cs="Arial" w:eastAsia="Arial" w:hAnsi="Arial"/>
                <w:sz w:val="18"/>
                <w:szCs w:val="18"/>
                <w:color w:val="auto"/>
              </w:rPr>
              <w:t>Survival of Representations and Warranties</w:t>
            </w:r>
          </w:p>
        </w:tc>
        <w:tc>
          <w:tcPr>
            <w:tcW w:w="2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11.13</w:t>
            </w:r>
          </w:p>
        </w:tc>
        <w:tc>
          <w:tcPr>
            <w:tcW w:w="748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2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11.14</w:t>
            </w:r>
          </w:p>
        </w:tc>
        <w:tc>
          <w:tcPr>
            <w:tcW w:w="7480" w:type="dxa"/>
            <w:vAlign w:val="bottom"/>
          </w:tcPr>
          <w:p>
            <w:pPr>
              <w:ind w:left="20"/>
              <w:spacing w:after="0"/>
              <w:rPr>
                <w:sz w:val="20"/>
                <w:szCs w:val="20"/>
                <w:color w:val="auto"/>
              </w:rPr>
            </w:pPr>
            <w:r>
              <w:rPr>
                <w:rFonts w:ascii="Arial" w:cs="Arial" w:eastAsia="Arial" w:hAnsi="Arial"/>
                <w:sz w:val="18"/>
                <w:szCs w:val="18"/>
                <w:color w:val="auto"/>
              </w:rPr>
              <w:t>Replacement of Lenders</w:t>
            </w:r>
          </w:p>
        </w:tc>
        <w:tc>
          <w:tcPr>
            <w:tcW w:w="2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11.15</w:t>
            </w:r>
          </w:p>
        </w:tc>
        <w:tc>
          <w:tcPr>
            <w:tcW w:w="748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29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11.16</w:t>
            </w:r>
          </w:p>
        </w:tc>
        <w:tc>
          <w:tcPr>
            <w:tcW w:w="7480" w:type="dxa"/>
            <w:vAlign w:val="bottom"/>
          </w:tcPr>
          <w:p>
            <w:pPr>
              <w:ind w:left="20"/>
              <w:spacing w:after="0"/>
              <w:rPr>
                <w:sz w:val="20"/>
                <w:szCs w:val="20"/>
                <w:color w:val="auto"/>
              </w:rPr>
            </w:pPr>
            <w:r>
              <w:rPr>
                <w:rFonts w:ascii="Arial" w:cs="Arial" w:eastAsia="Arial" w:hAnsi="Arial"/>
                <w:sz w:val="18"/>
                <w:szCs w:val="18"/>
                <w:color w:val="auto"/>
              </w:rPr>
              <w:t>Waiver of Right to Trial by Jury</w:t>
            </w:r>
          </w:p>
        </w:tc>
        <w:tc>
          <w:tcPr>
            <w:tcW w:w="29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11.17 USA PATRIOT Act Notice</w:t>
            </w:r>
          </w:p>
        </w:tc>
        <w:tc>
          <w:tcPr>
            <w:tcW w:w="29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11.18</w:t>
            </w:r>
          </w:p>
        </w:tc>
        <w:tc>
          <w:tcPr>
            <w:tcW w:w="7480" w:type="dxa"/>
            <w:vAlign w:val="bottom"/>
          </w:tcPr>
          <w:p>
            <w:pPr>
              <w:ind w:left="20"/>
              <w:spacing w:after="0"/>
              <w:rPr>
                <w:sz w:val="20"/>
                <w:szCs w:val="20"/>
                <w:color w:val="auto"/>
              </w:rPr>
            </w:pPr>
            <w:r>
              <w:rPr>
                <w:rFonts w:ascii="Arial" w:cs="Arial" w:eastAsia="Arial" w:hAnsi="Arial"/>
                <w:sz w:val="18"/>
                <w:szCs w:val="18"/>
                <w:color w:val="auto"/>
              </w:rPr>
              <w:t>Judgment Currency</w:t>
            </w:r>
          </w:p>
        </w:tc>
        <w:tc>
          <w:tcPr>
            <w:tcW w:w="29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11.19</w:t>
            </w:r>
          </w:p>
        </w:tc>
        <w:tc>
          <w:tcPr>
            <w:tcW w:w="7480" w:type="dxa"/>
            <w:vAlign w:val="bottom"/>
          </w:tcPr>
          <w:p>
            <w:pPr>
              <w:ind w:left="20"/>
              <w:spacing w:after="0"/>
              <w:rPr>
                <w:sz w:val="20"/>
                <w:szCs w:val="20"/>
                <w:color w:val="auto"/>
              </w:rPr>
            </w:pPr>
            <w:r>
              <w:rPr>
                <w:rFonts w:ascii="Arial" w:cs="Arial" w:eastAsia="Arial" w:hAnsi="Arial"/>
                <w:sz w:val="18"/>
                <w:szCs w:val="18"/>
                <w:color w:val="auto"/>
              </w:rPr>
              <w:t>Concerning Joint and Several Liability of the Borrowers</w:t>
            </w:r>
          </w:p>
        </w:tc>
        <w:tc>
          <w:tcPr>
            <w:tcW w:w="29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11.20</w:t>
            </w:r>
          </w:p>
        </w:tc>
        <w:tc>
          <w:tcPr>
            <w:tcW w:w="7480" w:type="dxa"/>
            <w:vAlign w:val="bottom"/>
          </w:tcPr>
          <w:p>
            <w:pPr>
              <w:ind w:left="20"/>
              <w:spacing w:after="0"/>
              <w:rPr>
                <w:sz w:val="20"/>
                <w:szCs w:val="20"/>
                <w:color w:val="auto"/>
              </w:rPr>
            </w:pPr>
            <w:r>
              <w:rPr>
                <w:rFonts w:ascii="Arial" w:cs="Arial" w:eastAsia="Arial" w:hAnsi="Arial"/>
                <w:sz w:val="18"/>
                <w:szCs w:val="18"/>
                <w:color w:val="auto"/>
              </w:rPr>
              <w:t>Subordination of Intercompany Debt</w:t>
            </w:r>
          </w:p>
        </w:tc>
        <w:tc>
          <w:tcPr>
            <w:tcW w:w="29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w w:val="88"/>
              </w:rPr>
              <w:t>11.21</w:t>
            </w:r>
          </w:p>
        </w:tc>
        <w:tc>
          <w:tcPr>
            <w:tcW w:w="7480" w:type="dxa"/>
            <w:vAlign w:val="bottom"/>
          </w:tcPr>
          <w:p>
            <w:pPr>
              <w:ind w:left="20"/>
              <w:spacing w:after="0"/>
              <w:rPr>
                <w:sz w:val="20"/>
                <w:szCs w:val="20"/>
                <w:color w:val="auto"/>
              </w:rPr>
            </w:pPr>
            <w:r>
              <w:rPr>
                <w:rFonts w:ascii="Arial" w:cs="Arial" w:eastAsia="Arial" w:hAnsi="Arial"/>
                <w:sz w:val="18"/>
                <w:szCs w:val="18"/>
                <w:color w:val="auto"/>
              </w:rPr>
              <w:t>No Advisory or Fiduciary Responsibility</w:t>
            </w:r>
          </w:p>
        </w:tc>
        <w:tc>
          <w:tcPr>
            <w:tcW w:w="29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w w:val="88"/>
              </w:rPr>
              <w:t>11.22</w:t>
            </w:r>
          </w:p>
        </w:tc>
        <w:tc>
          <w:tcPr>
            <w:tcW w:w="7480" w:type="dxa"/>
            <w:vAlign w:val="bottom"/>
          </w:tcPr>
          <w:p>
            <w:pPr>
              <w:ind w:left="20"/>
              <w:spacing w:after="0"/>
              <w:rPr>
                <w:sz w:val="20"/>
                <w:szCs w:val="20"/>
                <w:color w:val="auto"/>
              </w:rPr>
            </w:pPr>
            <w:r>
              <w:rPr>
                <w:rFonts w:ascii="Arial" w:cs="Arial" w:eastAsia="Arial" w:hAnsi="Arial"/>
                <w:sz w:val="18"/>
                <w:szCs w:val="18"/>
                <w:color w:val="auto"/>
              </w:rPr>
              <w:t>Electronic Execution of Assignments and Certain Other Documents</w:t>
            </w:r>
          </w:p>
        </w:tc>
        <w:tc>
          <w:tcPr>
            <w:tcW w:w="298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84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1.01(a) Existing Letters of Credit</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1.01(b) Mandatory Cost Formulae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2.01 Commitments and Pro Rata Shares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6.08 Subsidiaries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7.07 Debt Existing on the Closing Date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7.08 Liens Existing on the Closing Date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7.17 Investments Existing on the Closing Date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7.18 Burdensome Agreements Existing on the Closing Date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11.02 Certain Addresses for Notices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2.02 Form of Loan Notice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2.04 Form of Swing Line Loan Notice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Form of Note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2.14(a) Form of Designated Borrower Request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2.14(b) Form of Designated Borrower Joinder Agreement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3.01 Forms of U.S. Tax Compliance Certificates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7.01 Form of Compliance Certificate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7.16 Form of Joinder Agreement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11.06(b) Form of Assignment and Assumption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11.06(b)(iv) Form of Administrative Questionnaire</w:t>
      </w:r>
    </w:p>
    <w:p>
      <w:pPr>
        <w:spacing w:after="0" w:line="151"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847"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CREDIT AGREEMENT is entered into as of February 1, 2012 among BRADY CORPORATION,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certain Subsidiaries of the Company party hereto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(defined herein), the Lenders (defined herein) and BANK OF AMERICA, N.A., as Administrative Agent, Swing Line Lender and L/C Issuer.</w:t>
      </w:r>
    </w:p>
    <w:p>
      <w:pPr>
        <w:spacing w:after="0" w:line="11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Company has requested that the Lenders provide a $300,000,000 senior credit facility for the purposes set forth herein, and the Lenders are willing to do so on the terms and conditions set forth herein.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xml:space="preserve">” means any transaction or series of related transactions for the purpose of or resulting, directly or indirectly, in (a) the acquisition of all or substantially all of the assets of a Person, or of all or substantially all of any business or division of a Person, (b) the acquisition of in excess of 50% of the Capital Stock of any Person, or otherwise causing any Person to become a Subsidiary, or (c) a merger or consolidation or any other combination with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or a Subsidiary is the surviving entity.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means Bank of America in its capacity as administrative agent under any of the Loan Documents, or any successor administrative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 the Company and the Lenders.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11.06(b)(iv)</w:t>
      </w:r>
      <w:r>
        <w:rPr>
          <w:rFonts w:ascii="Arial" w:cs="Arial" w:eastAsia="Arial" w:hAnsi="Arial"/>
          <w:sz w:val="18"/>
          <w:szCs w:val="18"/>
          <w:color w:val="auto"/>
        </w:rPr>
        <w:t xml:space="preserve"> or any other form approved by the Administrative Agent.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any Person means any other Person which, directly or indirectly, controls or is controlled by or is under common control with such Person.</w:t>
      </w:r>
    </w:p>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Commitments</w:t>
      </w:r>
      <w:r>
        <w:rPr>
          <w:rFonts w:ascii="Arial" w:cs="Arial" w:eastAsia="Arial" w:hAnsi="Arial"/>
          <w:sz w:val="18"/>
          <w:szCs w:val="18"/>
          <w:color w:val="auto"/>
        </w:rPr>
        <w:t>” means the Revolving Commitments of all the Lenders. The aggregate principal amount of the Aggregate Revolving Commitments in effect on the Closing Date is THREE HUNDRED MILLION DOLLARS ($300,000,000).</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 as amended, restated, modified, supplemented and extended from time to time.</w:t>
      </w:r>
    </w:p>
    <w:p>
      <w:pPr>
        <w:sectPr>
          <w:pgSz w:w="11900" w:h="16838" w:orient="portrait"/>
          <w:cols w:equalWidth="0" w:num="1">
            <w:col w:w="11420"/>
          </w:cols>
          <w:pgMar w:left="240" w:top="274" w:right="239" w:bottom="1440" w:gutter="0" w:footer="0" w:header="0"/>
        </w:sectPr>
      </w:pPr>
    </w:p>
    <w:bookmarkStart w:id="10" w:name="page11"/>
    <w:bookmarkEnd w:id="10"/>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each of Euro, Sterling, Australian Dollars, Singapore Dollars, Japanese Yen, Canadian Dollars and each other currency (other than Dollars) that is approved in accordance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Equivalent</w:t>
      </w:r>
      <w:r>
        <w:rPr>
          <w:rFonts w:ascii="Arial" w:cs="Arial" w:eastAsia="Arial" w:hAnsi="Arial"/>
          <w:sz w:val="18"/>
          <w:szCs w:val="18"/>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Sublimit</w:t>
      </w:r>
      <w:r>
        <w:rPr>
          <w:rFonts w:ascii="Arial" w:cs="Arial" w:eastAsia="Arial" w:hAnsi="Arial"/>
          <w:sz w:val="18"/>
          <w:szCs w:val="18"/>
          <w:color w:val="auto"/>
        </w:rPr>
        <w:t>” means an amount equal to the lesser of the Aggregate Revolving Commitments and $100,000,000. The Alternative Currency Sublimit is part of, and not in addition to, the Aggregate Revolving Commitments.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the following percentages per annum, based upon the Consolidated Net Leverage Ratio as set forth in the most recent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Compliance Certificate received by the Administrative Agent pursuant to </w:t>
      </w:r>
      <w:r>
        <w:rPr>
          <w:rFonts w:ascii="Arial" w:cs="Arial" w:eastAsia="Arial" w:hAnsi="Arial"/>
          <w:sz w:val="18"/>
          <w:szCs w:val="18"/>
          <w:u w:val="single" w:color="auto"/>
          <w:color w:val="auto"/>
        </w:rPr>
        <w:t>Section 7.01(c)</w:t>
      </w:r>
      <w:r>
        <w:rPr>
          <w:rFonts w:ascii="Arial" w:cs="Arial" w:eastAsia="Arial" w:hAnsi="Arial"/>
          <w:sz w:val="18"/>
          <w:szCs w:val="18"/>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Arial" w:cs="Arial" w:eastAsia="Arial" w:hAnsi="Arial"/>
                <w:sz w:val="14"/>
                <w:szCs w:val="14"/>
                <w:b w:val="1"/>
                <w:bCs w:val="1"/>
                <w:color w:val="auto"/>
                <w:w w:val="88"/>
              </w:rPr>
              <w:t>Pricing</w:t>
            </w:r>
          </w:p>
        </w:tc>
        <w:tc>
          <w:tcPr>
            <w:tcW w:w="2260" w:type="dxa"/>
            <w:vAlign w:val="bottom"/>
          </w:tcPr>
          <w:p>
            <w:pPr>
              <w:spacing w:after="0"/>
              <w:rPr>
                <w:sz w:val="14"/>
                <w:szCs w:val="14"/>
                <w:color w:val="auto"/>
              </w:rPr>
            </w:pPr>
          </w:p>
        </w:tc>
        <w:tc>
          <w:tcPr>
            <w:tcW w:w="2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Consolidated</w:t>
            </w:r>
          </w:p>
        </w:tc>
        <w:tc>
          <w:tcPr>
            <w:tcW w:w="18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8"/>
              </w:rPr>
              <w:t>Commitment</w:t>
            </w:r>
          </w:p>
        </w:tc>
        <w:tc>
          <w:tcPr>
            <w:tcW w:w="16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4"/>
              </w:rPr>
              <w:t>Letters of</w:t>
            </w:r>
          </w:p>
        </w:tc>
        <w:tc>
          <w:tcPr>
            <w:tcW w:w="18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7"/>
              </w:rPr>
              <w:t>Eurocurrency</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Base Rate</w:t>
            </w:r>
          </w:p>
        </w:tc>
      </w:tr>
      <w:tr>
        <w:trPr>
          <w:trHeight w:val="149"/>
        </w:trPr>
        <w:tc>
          <w:tcPr>
            <w:tcW w:w="4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Level</w:t>
            </w:r>
          </w:p>
        </w:tc>
        <w:tc>
          <w:tcPr>
            <w:tcW w:w="2260" w:type="dxa"/>
            <w:vAlign w:val="bottom"/>
          </w:tcPr>
          <w:p>
            <w:pPr>
              <w:spacing w:after="0"/>
              <w:rPr>
                <w:sz w:val="12"/>
                <w:szCs w:val="12"/>
                <w:color w:val="auto"/>
              </w:rPr>
            </w:pPr>
          </w:p>
        </w:tc>
        <w:tc>
          <w:tcPr>
            <w:tcW w:w="266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8"/>
              </w:rPr>
              <w:t>Net Leverage Ratio</w:t>
            </w:r>
          </w:p>
        </w:tc>
        <w:tc>
          <w:tcPr>
            <w:tcW w:w="1820" w:type="dxa"/>
            <w:vAlign w:val="bottom"/>
            <w:gridSpan w:val="2"/>
          </w:tcPr>
          <w:p>
            <w:pPr>
              <w:jc w:val="right"/>
              <w:ind w:right="1320"/>
              <w:spacing w:after="0" w:line="129" w:lineRule="exact"/>
              <w:rPr>
                <w:sz w:val="20"/>
                <w:szCs w:val="20"/>
                <w:color w:val="auto"/>
              </w:rPr>
            </w:pPr>
            <w:r>
              <w:rPr>
                <w:rFonts w:ascii="Arial" w:cs="Arial" w:eastAsia="Arial" w:hAnsi="Arial"/>
                <w:sz w:val="14"/>
                <w:szCs w:val="14"/>
                <w:b w:val="1"/>
                <w:bCs w:val="1"/>
                <w:color w:val="auto"/>
              </w:rPr>
              <w:t>Fee</w:t>
            </w:r>
          </w:p>
        </w:tc>
        <w:tc>
          <w:tcPr>
            <w:tcW w:w="1600" w:type="dxa"/>
            <w:vAlign w:val="bottom"/>
            <w:gridSpan w:val="2"/>
          </w:tcPr>
          <w:p>
            <w:pPr>
              <w:jc w:val="right"/>
              <w:ind w:right="1100"/>
              <w:spacing w:after="0" w:line="129" w:lineRule="exact"/>
              <w:rPr>
                <w:sz w:val="20"/>
                <w:szCs w:val="20"/>
                <w:color w:val="auto"/>
              </w:rPr>
            </w:pPr>
            <w:r>
              <w:rPr>
                <w:rFonts w:ascii="Arial" w:cs="Arial" w:eastAsia="Arial" w:hAnsi="Arial"/>
                <w:sz w:val="14"/>
                <w:szCs w:val="14"/>
                <w:b w:val="1"/>
                <w:bCs w:val="1"/>
                <w:color w:val="auto"/>
              </w:rPr>
              <w:t>Credit*</w:t>
            </w:r>
          </w:p>
        </w:tc>
        <w:tc>
          <w:tcPr>
            <w:tcW w:w="1860" w:type="dxa"/>
            <w:vAlign w:val="bottom"/>
            <w:gridSpan w:val="2"/>
          </w:tcPr>
          <w:p>
            <w:pPr>
              <w:jc w:val="right"/>
              <w:ind w:right="1120"/>
              <w:spacing w:after="0" w:line="129" w:lineRule="exact"/>
              <w:rPr>
                <w:sz w:val="20"/>
                <w:szCs w:val="20"/>
                <w:color w:val="auto"/>
              </w:rPr>
            </w:pPr>
            <w:r>
              <w:rPr>
                <w:rFonts w:ascii="Arial" w:cs="Arial" w:eastAsia="Arial" w:hAnsi="Arial"/>
                <w:sz w:val="14"/>
                <w:szCs w:val="14"/>
                <w:b w:val="1"/>
                <w:bCs w:val="1"/>
                <w:color w:val="auto"/>
                <w:w w:val="95"/>
              </w:rPr>
              <w:t>Rate Loans</w:t>
            </w:r>
          </w:p>
        </w:tc>
        <w:tc>
          <w:tcPr>
            <w:tcW w:w="78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Loans</w:t>
            </w: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w:t>
            </w:r>
          </w:p>
        </w:tc>
        <w:tc>
          <w:tcPr>
            <w:tcW w:w="226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499"/>
              <w:spacing w:after="0" w:line="196" w:lineRule="exact"/>
              <w:rPr>
                <w:sz w:val="20"/>
                <w:szCs w:val="20"/>
                <w:color w:val="auto"/>
              </w:rPr>
            </w:pPr>
            <w:r>
              <w:rPr>
                <w:rFonts w:ascii="Arial" w:cs="Arial" w:eastAsia="Arial" w:hAnsi="Arial"/>
                <w:sz w:val="18"/>
                <w:szCs w:val="18"/>
                <w:color w:val="auto"/>
              </w:rPr>
              <w:t>&lt;1.25:1.0</w:t>
            </w:r>
          </w:p>
        </w:tc>
        <w:tc>
          <w:tcPr>
            <w:tcW w:w="8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900"/>
              <w:spacing w:after="0" w:line="196" w:lineRule="exact"/>
              <w:rPr>
                <w:sz w:val="20"/>
                <w:szCs w:val="20"/>
                <w:color w:val="auto"/>
              </w:rPr>
            </w:pPr>
            <w:r>
              <w:rPr>
                <w:rFonts w:ascii="Arial" w:cs="Arial" w:eastAsia="Arial" w:hAnsi="Arial"/>
                <w:sz w:val="18"/>
                <w:szCs w:val="18"/>
                <w:color w:val="auto"/>
              </w:rPr>
              <w:t>0.150%</w:t>
            </w:r>
          </w:p>
        </w:tc>
        <w:tc>
          <w:tcPr>
            <w:tcW w:w="1600" w:type="dxa"/>
            <w:vAlign w:val="bottom"/>
            <w:gridSpan w:val="2"/>
            <w:shd w:val="clear" w:color="auto" w:fill="CCEEFF"/>
          </w:tcPr>
          <w:p>
            <w:pPr>
              <w:jc w:val="right"/>
              <w:ind w:right="880"/>
              <w:spacing w:after="0" w:line="196" w:lineRule="exact"/>
              <w:rPr>
                <w:sz w:val="20"/>
                <w:szCs w:val="20"/>
                <w:color w:val="auto"/>
              </w:rPr>
            </w:pPr>
            <w:r>
              <w:rPr>
                <w:rFonts w:ascii="Arial" w:cs="Arial" w:eastAsia="Arial" w:hAnsi="Arial"/>
                <w:sz w:val="18"/>
                <w:szCs w:val="18"/>
                <w:color w:val="auto"/>
              </w:rPr>
              <w:t>1.000%</w:t>
            </w:r>
          </w:p>
        </w:tc>
        <w:tc>
          <w:tcPr>
            <w:tcW w:w="1860" w:type="dxa"/>
            <w:vAlign w:val="bottom"/>
            <w:gridSpan w:val="2"/>
            <w:shd w:val="clear" w:color="auto" w:fill="CCEEFF"/>
          </w:tcPr>
          <w:p>
            <w:pPr>
              <w:jc w:val="right"/>
              <w:ind w:right="900"/>
              <w:spacing w:after="0" w:line="196" w:lineRule="exact"/>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0.000%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2260" w:type="dxa"/>
            <w:vAlign w:val="bottom"/>
          </w:tcPr>
          <w:p>
            <w:pPr>
              <w:spacing w:after="0"/>
              <w:rPr>
                <w:sz w:val="18"/>
                <w:szCs w:val="18"/>
                <w:color w:val="auto"/>
              </w:rPr>
            </w:pPr>
          </w:p>
        </w:tc>
        <w:tc>
          <w:tcPr>
            <w:tcW w:w="266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³1.25:1.0 but &lt;2.0:1.0</w:t>
            </w:r>
          </w:p>
        </w:tc>
        <w:tc>
          <w:tcPr>
            <w:tcW w:w="1820" w:type="dxa"/>
            <w:vAlign w:val="bottom"/>
            <w:gridSpan w:val="2"/>
          </w:tcPr>
          <w:p>
            <w:pPr>
              <w:jc w:val="right"/>
              <w:ind w:right="900"/>
              <w:spacing w:after="0"/>
              <w:rPr>
                <w:sz w:val="20"/>
                <w:szCs w:val="20"/>
                <w:color w:val="auto"/>
              </w:rPr>
            </w:pPr>
            <w:r>
              <w:rPr>
                <w:rFonts w:ascii="Arial" w:cs="Arial" w:eastAsia="Arial" w:hAnsi="Arial"/>
                <w:sz w:val="18"/>
                <w:szCs w:val="18"/>
                <w:color w:val="auto"/>
              </w:rPr>
              <w:t>0.175%</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1.125%</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1.125%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0.125%</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9"/>
              </w:rPr>
              <w:t>³2.0:1.0 but &lt;2.5:1.0</w:t>
            </w: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0.200%</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1.375%</w:t>
            </w: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1.375%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2260" w:type="dxa"/>
            <w:vAlign w:val="bottom"/>
          </w:tcPr>
          <w:p>
            <w:pPr>
              <w:spacing w:after="0"/>
              <w:rPr>
                <w:sz w:val="18"/>
                <w:szCs w:val="18"/>
                <w:color w:val="auto"/>
              </w:rPr>
            </w:pPr>
          </w:p>
        </w:tc>
        <w:tc>
          <w:tcPr>
            <w:tcW w:w="2660" w:type="dxa"/>
            <w:vAlign w:val="bottom"/>
            <w:gridSpan w:val="2"/>
          </w:tcPr>
          <w:p>
            <w:pPr>
              <w:jc w:val="center"/>
              <w:ind w:right="860"/>
              <w:spacing w:after="0"/>
              <w:rPr>
                <w:sz w:val="20"/>
                <w:szCs w:val="20"/>
                <w:color w:val="auto"/>
              </w:rPr>
            </w:pPr>
            <w:r>
              <w:rPr>
                <w:rFonts w:ascii="Arial" w:cs="Arial" w:eastAsia="Arial" w:hAnsi="Arial"/>
                <w:sz w:val="18"/>
                <w:szCs w:val="18"/>
                <w:color w:val="auto"/>
                <w:w w:val="89"/>
              </w:rPr>
              <w:t>³2.5:1.0 but &lt;3.0:1.0</w:t>
            </w:r>
          </w:p>
        </w:tc>
        <w:tc>
          <w:tcPr>
            <w:tcW w:w="1820" w:type="dxa"/>
            <w:vAlign w:val="bottom"/>
            <w:gridSpan w:val="2"/>
          </w:tcPr>
          <w:p>
            <w:pPr>
              <w:jc w:val="right"/>
              <w:ind w:right="900"/>
              <w:spacing w:after="0"/>
              <w:rPr>
                <w:sz w:val="20"/>
                <w:szCs w:val="20"/>
                <w:color w:val="auto"/>
              </w:rPr>
            </w:pPr>
            <w:r>
              <w:rPr>
                <w:rFonts w:ascii="Arial" w:cs="Arial" w:eastAsia="Arial" w:hAnsi="Arial"/>
                <w:sz w:val="18"/>
                <w:szCs w:val="18"/>
                <w:color w:val="auto"/>
              </w:rPr>
              <w:t>0.250%</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1.625%</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1.625%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0.625%</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08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³3.0:1.0</w:t>
            </w:r>
          </w:p>
        </w:tc>
        <w:tc>
          <w:tcPr>
            <w:tcW w:w="8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0.300%</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2.000%</w:t>
            </w: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bl>
    <w:p>
      <w:pPr>
        <w:spacing w:after="0" w:line="140" w:lineRule="exact"/>
        <w:rPr>
          <w:sz w:val="20"/>
          <w:szCs w:val="20"/>
          <w:color w:val="auto"/>
        </w:rPr>
      </w:pPr>
    </w:p>
    <w:p>
      <w:pPr>
        <w:ind w:left="460" w:right="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Applicable Rate for performance standby Letters of Credit with respect to non-financial contractual obligations shall be equal to 50% of the Applicable Rate for Letters of Credit set forth above.</w:t>
      </w:r>
    </w:p>
    <w:p>
      <w:pPr>
        <w:spacing w:after="0" w:line="1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Any increase or decrease in the Applicable Rate resulting from a change in the Consolidated Net Leverage Ratio shall become effective as of the first Business Day immediately following the date a Compliance Certificate is required to be delivered pursuant to </w:t>
      </w:r>
      <w:r>
        <w:rPr>
          <w:rFonts w:ascii="Arial" w:cs="Arial" w:eastAsia="Arial" w:hAnsi="Arial"/>
          <w:sz w:val="16"/>
          <w:szCs w:val="16"/>
          <w:u w:val="single" w:color="auto"/>
          <w:color w:val="auto"/>
        </w:rPr>
        <w:t>Section 7.01(c)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 Compliance Certificate is not delivered when due in accordance with such Section, then, upon the request of the Required Lenders, Pricing Level 5 shall apply as of the first Business Day after the date on which such Compliance Certificate was required to have been delivered and shall continue to apply until the first Business Day immediately following the date a Compliance Certificate is delivered pursuant to </w:t>
      </w:r>
      <w:r>
        <w:rPr>
          <w:rFonts w:ascii="Arial" w:cs="Arial" w:eastAsia="Arial" w:hAnsi="Arial"/>
          <w:sz w:val="16"/>
          <w:szCs w:val="16"/>
          <w:u w:val="single" w:color="auto"/>
          <w:color w:val="auto"/>
        </w:rPr>
        <w:t>Section 7.01(c)</w:t>
      </w:r>
      <w:r>
        <w:rPr>
          <w:rFonts w:ascii="Arial" w:cs="Arial" w:eastAsia="Arial" w:hAnsi="Arial"/>
          <w:sz w:val="16"/>
          <w:szCs w:val="16"/>
          <w:color w:val="auto"/>
        </w:rPr>
        <w:t xml:space="preserve">, whereupon the Applicable Rate shall be adjusted based upon the calculation of the Consolidated Net Leverage Ratio contained in such Compliance Certificate. Notwithstanding the foregoing, the Applicable Rate in effect from the Closing Date through the first Business Day immediately following the date a Compliance Certificate is required to be delivered pursuant to </w:t>
      </w:r>
      <w:r>
        <w:rPr>
          <w:rFonts w:ascii="Arial" w:cs="Arial" w:eastAsia="Arial" w:hAnsi="Arial"/>
          <w:sz w:val="16"/>
          <w:szCs w:val="16"/>
          <w:u w:val="single" w:color="auto"/>
          <w:color w:val="auto"/>
        </w:rPr>
        <w:t>Section 7.01(c)</w:t>
      </w:r>
      <w:r>
        <w:rPr>
          <w:rFonts w:ascii="Arial" w:cs="Arial" w:eastAsia="Arial" w:hAnsi="Arial"/>
          <w:sz w:val="16"/>
          <w:szCs w:val="16"/>
          <w:color w:val="auto"/>
        </w:rPr>
        <w:t xml:space="preserve"> for the Fiscal Quarter ending January 31, 2012 shall be determined based upon Pricing Level 2.</w:t>
      </w:r>
    </w:p>
    <w:p>
      <w:pPr>
        <w:spacing w:after="0" w:line="9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 w:name="page12"/>
    <w:bookmarkEnd w:id="11"/>
    <w:p>
      <w:pPr>
        <w:jc w:val="both"/>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means an assignment and assumption entered into by a Lender and an Eligible Assignee (with the consent of any party whose consent is required by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and accepted by the Administrative Agent, in substantially the form of </w:t>
      </w:r>
      <w:r>
        <w:rPr>
          <w:rFonts w:ascii="Arial" w:cs="Arial" w:eastAsia="Arial" w:hAnsi="Arial"/>
          <w:sz w:val="16"/>
          <w:szCs w:val="16"/>
          <w:u w:val="single" w:color="auto"/>
          <w:color w:val="auto"/>
        </w:rPr>
        <w:t>Exhibit 11.06(b)</w:t>
      </w:r>
      <w:r>
        <w:rPr>
          <w:rFonts w:ascii="Arial" w:cs="Arial" w:eastAsia="Arial" w:hAnsi="Arial"/>
          <w:sz w:val="16"/>
          <w:szCs w:val="16"/>
          <w:color w:val="auto"/>
        </w:rPr>
        <w:t xml:space="preserve"> or any other form (including electronic documentation generated by MarkitClear or other electronic platform) approved by the Administrative Agent.</w:t>
      </w:r>
    </w:p>
    <w:p>
      <w:pPr>
        <w:spacing w:after="0" w:line="8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Company and its Subsidiaries for the Fiscal Year ended July 31, 2011, and the related consolidated statements of income or operations, shareholders’ equity and cash flows for such Fiscal Year of the Company and its Subsidiaries, including the notes thereto.</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Revolving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highest of (a)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0.50%, (b) the rate of interest in effect for such day as publicly announced from time to time by Bank of America as its “prime rate” and (c) the Eurocurrency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All Base Rate Loans shall be denominated in Dollars.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has the meaning specified in the introductory paragraph hereto, and “</w:t>
      </w:r>
      <w:r>
        <w:rPr>
          <w:rFonts w:ascii="Arial" w:cs="Arial" w:eastAsia="Arial" w:hAnsi="Arial"/>
          <w:sz w:val="18"/>
          <w:szCs w:val="18"/>
          <w:u w:val="single" w:color="auto"/>
          <w:color w:val="auto"/>
        </w:rPr>
        <w:t>Borrower</w:t>
      </w:r>
      <w:r>
        <w:rPr>
          <w:rFonts w:ascii="Arial" w:cs="Arial" w:eastAsia="Arial" w:hAnsi="Arial"/>
          <w:sz w:val="18"/>
          <w:szCs w:val="18"/>
          <w:color w:val="auto"/>
        </w:rPr>
        <w:t>” means any one of them.</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borrowing consisting of simultaneous Loans of the same Type, in the same currency and, in the case of Eurocurrency Rate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Brady Finance Luxembourg</w:t>
      </w:r>
      <w:r>
        <w:rPr>
          <w:rFonts w:ascii="Arial" w:cs="Arial" w:eastAsia="Arial" w:hAnsi="Arial"/>
          <w:sz w:val="18"/>
          <w:szCs w:val="18"/>
          <w:color w:val="auto"/>
        </w:rPr>
        <w:t>” means Brady Finance Luxembourg, a private limited liability company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organized under the laws of Luxembourg, having its registered office at 2-8 avenue Charles de Gaulle, L-1653 Luxembourg, registered with the Luxembourg Companies Register under number B.153.389 and having a share capital of EUR 15,000.</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 (a) if such day relates to any interest rate settings as to a Eurocurrency Rate Loan denominated in Dollars,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fundings, disbursements, settlements and payments in Dollars in respect of any such Eurocurrency Rate Loan, or any other dealings in Dollars to be carried out pursuant to this Agreement in respect of any such Eurocurrency Rate Loan, means any London Banking Day; (b) 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 (c) 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 (d) 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with respect to any Person, any lease of (or other agreement conveying the right to use) any real or personal property by such Person that, in conformity with GAAP, is accounted for as a capital lease on the balance sheet of such Person.</w:t>
      </w:r>
    </w:p>
    <w:p>
      <w:pPr>
        <w:spacing w:after="0" w:line="10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(i) in the case of a corporation, capital stock, (ii) in the case of an association or business entity, any and all shares, interests, participations, rights or other equivalents (however designated) of capital stock, (iii) in the case of a partnership, partnership interests (whether general or limited),</w:t>
      </w:r>
    </w:p>
    <w:p>
      <w:pPr>
        <w:ind w:right="20" w:firstLine="8"/>
        <w:spacing w:after="0" w:line="261" w:lineRule="auto"/>
        <w:tabs>
          <w:tab w:leader="none" w:pos="301"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a limited liability company, membership interests and (v) any other interest or participation that confers on a Person the right to receive a share of the profits and losses of, or distributions of assets of, the issuing Person.</w:t>
      </w:r>
    </w:p>
    <w:p>
      <w:pPr>
        <w:spacing w:after="0" w:line="11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deposit in a Controlled Account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reasonably satisfactory to the Administrative Agent and the L/C Issuer. “</w:t>
      </w:r>
      <w:r>
        <w:rPr>
          <w:rFonts w:ascii="Arial" w:cs="Arial" w:eastAsia="Arial" w:hAnsi="Arial"/>
          <w:sz w:val="16"/>
          <w:szCs w:val="16"/>
          <w:u w:val="single" w:color="auto"/>
          <w:color w:val="auto"/>
        </w:rPr>
        <w:t>Cash 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89"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as at any date, (a) treasury bills, treasury cash management bills and other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bank deposits, time deposits, certificates of deposit and bankers acceptances, in each case of (i) any Lender or (ii) any commercial bank of recognized standing having capital and surplus in excess of $100,000,000 (each, an “Approved Lender”), (c) commercial paper issued by any Approved Lender (or by the parent company thereof) which is of investment grade provided, the aggregate principal amount of commercial paper issued by any one issuer shall not exceed $10,000,000, (d) unrated commercial paper issued by Wisconsin corporations, provided, the aggregate principal amount of commercial paper issued by any one issuer shall not exceed $5,000,000, (e) repurchase agreements with an Approved Lender, but only to the extent the same is used as an overnight or over weekend investment, (f) obligations of any state of the United States or any political subdivision thereof, the interest with respect to which is entirely exempt from federal income taxation under Section 103 of the Internal Revenue Code and having a rating of A or above by S&amp;P, (g) investments in municipal put bonds and municipal market auction notes and bonds rated A or above by S&amp;P,</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 w:name="page14"/>
    <w:bookmarkEnd w:id="13"/>
    <w:p>
      <w:pPr>
        <w:jc w:val="both"/>
        <w:ind w:firstLine="8"/>
        <w:spacing w:after="0" w:line="290" w:lineRule="auto"/>
        <w:tabs>
          <w:tab w:leader="none" w:pos="252"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classified in accordance with GAAP as current assets, in adjustable rate preferred stock (which must be purchased at the call price or below) and money market investment programs registered under the Investment Company Act of 1940, as amended, in each case, which are administered by reputable financial institutions having capital of at least $100,000,000, 70% of the interest with respect to which is exempt from federal income taxation under Section 103 of the Internal Revenue Code, and having a rating of A or above by S&amp;P, (i) VEBA investments in municipal put bonds and notes, money market preferred stock and commercial paper, in each case, the interest with respect to which is taxable, and having a long term rating of A or above by S&amp;P and (j) with respect to any Foreign Subsidiary, short-term investments utilized by such Foreign Subsidiary in accordance with normal investment practices for cash management in investments analogous to the foregoing investments in clause (h) above.</w:t>
      </w:r>
    </w:p>
    <w:p>
      <w:pPr>
        <w:spacing w:after="0" w:line="9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Closing Date,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Dodd-Frank Wall Street Reform and Consumer Protection Act and all requests, rules, guidelines or directives thereunder or issued in connection therewith by a Governmental Authority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hereof.</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as to each Lender, the Revolving Commitment of such Lender.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introductory paragraph hereto.</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7.01</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Period</w:t>
      </w:r>
      <w:r>
        <w:rPr>
          <w:rFonts w:ascii="Arial" w:cs="Arial" w:eastAsia="Arial" w:hAnsi="Arial"/>
          <w:sz w:val="18"/>
          <w:szCs w:val="18"/>
          <w:color w:val="auto"/>
        </w:rPr>
        <w:t>” means each period of four consecutive Fiscal Quarters ending on the last day of a Fiscal Quarter.</w:t>
      </w:r>
    </w:p>
    <w:p>
      <w:pPr>
        <w:spacing w:after="0" w:line="14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05" w:lineRule="exact"/>
        <w:rPr>
          <w:sz w:val="20"/>
          <w:szCs w:val="20"/>
          <w:color w:val="auto"/>
        </w:rPr>
      </w:pPr>
    </w:p>
    <w:p>
      <w:pPr>
        <w:jc w:val="both"/>
        <w:ind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xml:space="preserve">” means, for any period, Consolidated Net Income for such period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 to the extent deducted in computing such Consolidated Net Income and without duplication, (i) depreciation and amortization expense for such period, (ii) Consolidated Interest Expense for such period, (iii) income tax expense for such period, (iv) other non-cash charges for such period (excluding any write-down of current assets and any such non-cash charges to the extent that such charge represents an accrual of or reserve for a future cash payment), (v) acquisition-related restructuring charges and acquisition-related fees in an aggregate amount not to exceed $15,000,000 during any twelve month period and (vi) non-cash losses realized in connection with a sale or other disposition of assets,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(b) to the extent included in computing such Consolidated Net Income and without duplication, (i) non-cash income for such period (excluding any non-cash income to the extent that such income represents a receivable or asset for a future cash receipt) and (ii) non-cash gains realized in connection with a sale or other disposition of assets, all as determined in accordance with GAAP. For purposes of calculating Consolidated EBITDA for any period of four consecutive quarters, if during such period the Company or any Subsidiary shall have consummated an Acquisition, Consolidated EBITDA for such period shall be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calculated after giving pro forma effect thereto as if such transaction occurred on the first day of such period and if during such period, the Company or any Subsidiary shall have consummated a disposition, Consolidated EBITDA for such period shall be calculated after giving pro forma effect thereto as if such transaction occurred on the last day of the previous period.</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Debt</w:t>
      </w:r>
      <w:r>
        <w:rPr>
          <w:rFonts w:ascii="Arial" w:cs="Arial" w:eastAsia="Arial" w:hAnsi="Arial"/>
          <w:sz w:val="16"/>
          <w:szCs w:val="16"/>
          <w:color w:val="auto"/>
        </w:rPr>
        <w:t>” means all Debt of the Company and its Subsidiaries, excluding (i) contingent obligations in respect of undrawn letters of credit, bank guarantees and banker’s acceptances and Suretyship Liabilities in respect of obligations not constituting Debt, (ii) net obligations under Hedging Agreements, (iii) Securitization Obligations to the extent such obligations would not be required to be included on the consolidated balance sheet of the Company in accordance with GAAP and (iv) obligations to pay the deferred purchase price of services.</w:t>
      </w:r>
    </w:p>
    <w:p>
      <w:pPr>
        <w:spacing w:after="0" w:line="8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means, for any Computation Period, the ratio of (a) Consolidated EBITDA for such Computation Period to (b) Consolidated Interest Expense for such Computation Period.</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Computation Period, the consolidated interest expense of the Company and its Subsidiaries for such Computation Period, as determined in accordance with GAAP.</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for any Computation Period, the ratio of (i) Consolidated Funded Debt as of the last day of such Computation Period to (ii) Consolidated EBITDA for such Computation Period.</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for the Company and its Subsidiaries on a consolidated basis, the net income (or loss) of the Company and its Subsidiaries (excluding (a) all extraordinary items and (b) income or loss of any Person in which the Company and its Subsidiaries own less than 50% of the Capital Stock thereof) for that period, as determined in accordance with GAAP.</w:t>
      </w:r>
    </w:p>
    <w:p>
      <w:pPr>
        <w:spacing w:after="0" w:line="11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Leverage Ratio</w:t>
      </w:r>
      <w:r>
        <w:rPr>
          <w:rFonts w:ascii="Arial" w:cs="Arial" w:eastAsia="Arial" w:hAnsi="Arial"/>
          <w:sz w:val="16"/>
          <w:szCs w:val="16"/>
          <w:color w:val="auto"/>
        </w:rPr>
        <w:t xml:space="preserve">” means, for any Computation Period, the ratio of (a) the difference of (i) Consolidated Funded Debt as of the last day of such Computation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Specified Cash as of the last day of such Computation Period to (b) Consolidated EBITDA for such Computation Period.</w:t>
      </w:r>
    </w:p>
    <w:p>
      <w:pPr>
        <w:spacing w:after="0" w:line="5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means each deposit account and securities account that is subject to an account control agreement in form and substance satisfactory to the Administrative Agent and the L/C Issuer.</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w:t>
      </w:r>
      <w:r>
        <w:rPr>
          <w:rFonts w:ascii="Arial" w:cs="Arial" w:eastAsia="Arial" w:hAnsi="Arial"/>
          <w:sz w:val="18"/>
          <w:szCs w:val="18"/>
          <w:color w:val="auto"/>
        </w:rPr>
        <w:t>” means all members of a controlled group of corporations and all members of a controlled group of trades or businesses (whether or not incorporated) under common control which, together with the Company, are treated as a single employer under Section 414 of the Internal Revenue Code or Section 4001 of ERISA.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 w:name="page16"/>
    <w:bookmarkEnd w:id="15"/>
    <w:p>
      <w:pPr>
        <w:jc w:val="both"/>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Debt</w:t>
      </w:r>
      <w:r>
        <w:rPr>
          <w:rFonts w:ascii="Arial" w:cs="Arial" w:eastAsia="Arial" w:hAnsi="Arial"/>
          <w:sz w:val="16"/>
          <w:szCs w:val="16"/>
          <w:color w:val="auto"/>
        </w:rPr>
        <w:t xml:space="preserve">” of any Person means,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(c) all obligations of such Person to pay the deferred purchase price of property or services (excluding (i) trade and similar accounts payable and accrued expenses in the ordinary course of business and (ii) accrued pension costs and other employee benefit and compensation obligations arising in the ordinary course of business), (d) all indebtedness secured by a Lien on the property of such Person, whether or not such indebtedness shall have been assumed by such Person (it being understood that if such Person has not assumed or otherwise become personally liable for any such indebtedness, the amount of the Debt of such Person in connection therewith shall be limited to the lesser of the face amount of such indebtedness and the fair market value of all property of such Person securing such indebtedness), (e) all obligations, contingent or otherwise, under letters of credit (whether or not drawn), including the Letters of Credit, but otherwise excluding trade letters of credit, and banker’s acceptances issued for the account of such Person, (f) all Securitization Obligations of such Person, to the extent such obligations would be required to be included on the consolidated balance sheet of the Company in accordance with GAAP, (g) the net obligations of such Person under Hedging Agreements, (h) all Suretyship Liabilities of such Person with respect to obligations of the type described in any of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and (i) all Debt of any partnership in which such Person is a general partner. The amount of any net obligation under any Hedging Agreement on any date shall be deemed to be the Swap Termination Value thereof as of such date. If any of the foregoing Debt is limited to recourse against a particular asset or assets of such Person, the amount of the corresponding Debt shall be equal to the lesser of the amount of such Debt and the fair market value of such asset or assets at the date for determination of the amount of such Debt. The amount of Debt of the Company and its Subsidiaries hereunder shall be calculated without duplication of Suretyship Liabilities of the Company or any Subsidiary in respect thereof. “Debt” shall not include (1) indebtedness owing to the Company by any Subsidiary or indebtedness owing to any Subsidiary by the Company or another Subsidiary, (2) any customary earnout or holdback in connection with Acquisitions permitted hereunder, (3) any obligations of the Company or its Subsidiaries in respect of customer advances received and held in the ordinary course of business, (4) performance bonds or performance guaranties (or bank guaranties or letters of credit in lieu thereof) entered into in the ordinary course of business or (5) defeased indebtedness.</w:t>
      </w:r>
    </w:p>
    <w:p>
      <w:pPr>
        <w:spacing w:after="0" w:line="10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Debtor Relief Laws</w:t>
      </w:r>
      <w:r>
        <w:rPr>
          <w:rFonts w:ascii="Arial" w:cs="Arial" w:eastAsia="Arial" w:hAnsi="Arial"/>
          <w:sz w:val="16"/>
          <w:szCs w:val="16"/>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and a Luxembourg Insolvency Event.</w:t>
      </w:r>
    </w:p>
    <w:p>
      <w:pPr>
        <w:spacing w:after="0" w:line="8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0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 when used with respect to Obligations other than Letter of Credit Fees, an interest rate equal to (i)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Applicable Rate, if any, applicable to Base Rate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2% per annum;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 Eurocurrency Rate Loan, the Default Rate shall be an interest rate equal to the interest rate (including any Applicable Rate and any Mandatory Cost) otherwise applicable to such Loan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 in each case to the fullest extent permitted by applicable Laws and (b) when used with respect to Letter of Credit Fees, a rate equal to the Applicable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 in all cases to the fullest extent permitted by applicable Laws.</w:t>
      </w:r>
    </w:p>
    <w:p>
      <w:pPr>
        <w:spacing w:after="0" w:line="89"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2.16(b)</w:t>
      </w:r>
      <w:r>
        <w:rPr>
          <w:rFonts w:ascii="Arial" w:cs="Arial" w:eastAsia="Arial" w:hAnsi="Arial"/>
          <w:sz w:val="16"/>
          <w:szCs w:val="16"/>
          <w:color w:val="auto"/>
        </w:rPr>
        <w:t>, any Lender that (a) has failed to (i) fund all or any portion of its Loans within two Business Days of the date such Loans were required to be funded hereunder unless such Lender notifies the Administrative Agent and the Company in writing that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6" w:name="page17"/>
    <w:bookmarkEnd w:id="16"/>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the L/C Issuer or the Swing Line Lender in writing that it does not intend or expect to comply with all or any portion of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made in good faith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2.16(b)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w:t>
      </w:r>
      <w:r>
        <w:rPr>
          <w:rFonts w:ascii="Arial" w:cs="Arial" w:eastAsia="Arial" w:hAnsi="Arial"/>
          <w:sz w:val="18"/>
          <w:szCs w:val="18"/>
          <w:color w:val="auto"/>
        </w:rPr>
        <w:t>” has the meaning specified in the introductory paragraph hereto.</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Borrower</w:t>
      </w:r>
      <w:r>
        <w:rPr>
          <w:rFonts w:ascii="Arial" w:cs="Arial" w:eastAsia="Arial" w:hAnsi="Arial"/>
          <w:sz w:val="18"/>
          <w:szCs w:val="18"/>
          <w:color w:val="auto"/>
        </w:rPr>
        <w:t>” means, collectively, the Company and each Designated Borrower that is a Domestic Subsidiary.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 w:name="page18"/>
    <w:bookmarkEnd w:id="1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organized under the Laws of any state of the United States or the District of Columbia.</w:t>
      </w:r>
    </w:p>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Sections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the economic and monetary union in accordance with the Treaty of Rome 1957, as amended by the Single European Act 1986, the Maastricht Treaty of 1992 and the Amsterdam Treaty of 1998.</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0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all claims, however asserted, by any Governmental Authority or other Person alleging potential liability or responsibility for violation of any Environmental Law, or for release of Hazardous Substances or injury to the environment.</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federal, state or local Laws, statutes, common law duties, rules, regulations, ordinances and codes, together with all administrative orders, directed and enforceable duties, licenses, authorizations and permits of, and agreements with, any Governmental Authority, in each case relating to environmental matters.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EUR</w:t>
      </w:r>
      <w:r>
        <w:rPr>
          <w:rFonts w:ascii="Arial" w:cs="Arial" w:eastAsia="Arial" w:hAnsi="Arial"/>
          <w:sz w:val="18"/>
          <w:szCs w:val="18"/>
          <w:color w:val="auto"/>
        </w:rPr>
        <w:t>” mean the lawful currency of the Participating Member States introduced in accordance with the EMU Legislation.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Base Rate</w:t>
      </w:r>
      <w:r>
        <w:rPr>
          <w:rFonts w:ascii="Arial" w:cs="Arial" w:eastAsia="Arial" w:hAnsi="Arial"/>
          <w:sz w:val="18"/>
          <w:szCs w:val="18"/>
          <w:color w:val="auto"/>
        </w:rPr>
        <w:t>” means,</w:t>
      </w:r>
    </w:p>
    <w:p>
      <w:pPr>
        <w:spacing w:after="0" w:line="144" w:lineRule="exact"/>
        <w:rPr>
          <w:sz w:val="20"/>
          <w:szCs w:val="20"/>
          <w:color w:val="auto"/>
        </w:rPr>
      </w:pPr>
    </w:p>
    <w:p>
      <w:pPr>
        <w:jc w:val="both"/>
        <w:ind w:left="460" w:firstLine="443"/>
        <w:spacing w:after="0" w:line="288" w:lineRule="auto"/>
        <w:tabs>
          <w:tab w:leader="none" w:pos="115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any Interest Period with respect to a Eurocurrency Rate Loan, the rate per annum equal to (i) the British Bankers Association LIBOR Rate (“</w:t>
      </w:r>
      <w:r>
        <w:rPr>
          <w:rFonts w:ascii="Arial" w:cs="Arial" w:eastAsia="Arial" w:hAnsi="Arial"/>
          <w:sz w:val="16"/>
          <w:szCs w:val="16"/>
          <w:u w:val="single" w:color="auto"/>
          <w:color w:val="auto"/>
        </w:rPr>
        <w:t>BBA LIBOR</w:t>
      </w:r>
      <w:r>
        <w:rPr>
          <w:rFonts w:ascii="Arial" w:cs="Arial" w:eastAsia="Arial" w:hAnsi="Arial"/>
          <w:sz w:val="16"/>
          <w:szCs w:val="16"/>
          <w:color w:val="auto"/>
        </w:rPr>
        <w:t>”), as published by Reuters (or such other commercially available source providing quotations of BBA LIBOR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or (ii) if such rate is not available at such time for any reason, the rate per annum determined by the Administrative Agent to be the rate at which deposits in the relevant currency for delivery on the first day of such Interest Period in Same Day Funds in the approximate amount of the Eurocurrency Rate Loan being made, continued or converted and with a term equivalent to such Interest Period would be offered by Bank of America’s London Branch (or other Bank of America branch or Affiliate) to major banks in the London or other offshore interbank market for such currency at their request at approximately 11:00 a.m. (London time) two Business Days prior to the commencement of such Interest Period; and</w:t>
      </w:r>
    </w:p>
    <w:p>
      <w:pPr>
        <w:spacing w:after="0" w:line="92" w:lineRule="exact"/>
        <w:rPr>
          <w:rFonts w:ascii="Arial" w:cs="Arial" w:eastAsia="Arial" w:hAnsi="Arial"/>
          <w:sz w:val="16"/>
          <w:szCs w:val="16"/>
          <w:color w:val="auto"/>
        </w:rPr>
      </w:pPr>
    </w:p>
    <w:p>
      <w:pPr>
        <w:jc w:val="both"/>
        <w:ind w:left="460" w:firstLine="443"/>
        <w:spacing w:after="0" w:line="298" w:lineRule="auto"/>
        <w:tabs>
          <w:tab w:leader="none" w:pos="1158"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on any date, the rate per annum equal to (i) BBA LIBOR, at approximately 11:00 a.m., London time determined two London Banking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 w:name="page19"/>
    <w:bookmarkEnd w:id="18"/>
    <w:p>
      <w:pPr>
        <w:ind w:lef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Funds in the approximate amount of the Base Rate Loan being made or maintained and with a term equal to one month would be offered by Bank of America’s London Branch to major banks in the London interbank eurodollar market at their request at the date and time of determination.</w:t>
      </w:r>
    </w:p>
    <w:p>
      <w:pPr>
        <w:spacing w:after="0" w:line="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xml:space="preserve">” means, for any Interest Period with respect to any Eurocurrency Rate Loan, a rate per annum determined by the Administrative Agent to be equal to the quotient obtained by dividing (a) the Eurocurrency Base Rate for such Eurocurrency Rate Loan for such Interest Period by (b) one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Eurocurrency Reserve Percentage for such Eurocurrency Rate Loan for such Interest Period.</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means a Loan that bears interest at a rate based on clause (a) of the definition of “Eurocurrency Base Rate.” All Loans denominated in an Alternative Currency must be Eurocurrency Rate Loans.</w:t>
      </w:r>
    </w:p>
    <w:p>
      <w:pPr>
        <w:spacing w:after="0" w:line="10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Percentage</w:t>
      </w:r>
      <w:r>
        <w:rPr>
          <w:rFonts w:ascii="Arial" w:cs="Arial" w:eastAsia="Arial" w:hAnsi="Arial"/>
          <w:sz w:val="18"/>
          <w:szCs w:val="18"/>
          <w:color w:val="auto"/>
        </w:rPr>
        <w:t>” means, for any day during any Interest Period,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Eurocurrency Rate for each outstanding Eurocurrency Rate Loan shall be adjusted automatically as of the effective date of any change in the Eurocurrency Reserve Percentage.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each Securitization Subsidiary and each other Subsidiary (other than any Loan Party) having assets with a net book value of less than $1,000,000, calculated in accordance with GAAP.</w:t>
      </w:r>
    </w:p>
    <w:p>
      <w:pPr>
        <w:spacing w:after="0" w:line="10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or taxing authority subdivision thereof or therein)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3.01(c)</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(d) any U.S. federal withholding Taxes imposed pursuant to FATCA.</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the chief financial officer, the chief executive officer, the president, any senior vice president, the treasurer or any assistant treasurer of the Company.</w:t>
      </w:r>
    </w:p>
    <w:p>
      <w:pPr>
        <w:spacing w:after="0" w:line="10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means the Amended and Restated Credit Agreement dated as of October 5, 2006 among the Company, various Subsidiaries of the Company, various financial institutions and Bank of America, N.A., as administrative agent, swing line lender and letter of credit issuer.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those letters of credit listed on </w:t>
      </w:r>
      <w:r>
        <w:rPr>
          <w:rFonts w:ascii="Arial" w:cs="Arial" w:eastAsia="Arial" w:hAnsi="Arial"/>
          <w:sz w:val="18"/>
          <w:szCs w:val="18"/>
          <w:u w:val="single" w:color="auto"/>
          <w:color w:val="auto"/>
        </w:rPr>
        <w:t>Schedule 1.01(a)</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14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Internal Revenue Code, as of the Closing Date (or any amended or successor version that is substantively comparable and not materially more onerous to comply with) and any current or future regulations or official interpretations thereof.</w:t>
      </w:r>
    </w:p>
    <w:p>
      <w:pPr>
        <w:spacing w:after="0" w:line="5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January 4, 2012 among the Company, the Administrative Agent and MLPFS.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a Fiscal Year.</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 and its Subsidiaries, which period shall be the twelve-month period ending on July 31 of each year or, at the Company’s election, the calendar year (so long as such election is consistent with the Company’s filings with the SEC).</w:t>
      </w:r>
    </w:p>
    <w:p>
      <w:pPr>
        <w:spacing w:after="0" w:line="10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 For purposes of this definition, (i) the United States, each State thereof and the District of Columbia shall be deemed to constitute a single jurisdiction and (ii) “Lender” shall include the L/C Issuer.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Loan Parties</w:t>
      </w:r>
      <w:r>
        <w:rPr>
          <w:rFonts w:ascii="Arial" w:cs="Arial" w:eastAsia="Arial" w:hAnsi="Arial"/>
          <w:sz w:val="18"/>
          <w:szCs w:val="18"/>
          <w:color w:val="auto"/>
        </w:rPr>
        <w:t>” means, collectively, the Foreign Subsidiaries of the Company that are Designated Borrowers.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 (or any successor thereto).</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L/C Issuer, such Defaulting Lender’s Pro Rata Share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of Swing Line Loans other than Swing Line Loans as to which such Defaulting Lender’s participation obligation has been reallocated to other Lenders in accordance with the terms hereof.</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0" w:name="page21"/>
    <w:bookmarkEnd w:id="20"/>
    <w:p>
      <w:pPr>
        <w:jc w:val="both"/>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financial statements of Foreign Subsidiaries (except to the extent included in the consolidated financial statements of the Company), “GAAP” shall mean the generally accepted accounting principles in the relevant foreign jurisdiction which are set forth from time to time in the opinions and pronouncements of the applicable accounting standards board (or similar agency) of such foreign jurisdiction which are applicable to the circumstances as of the date of determination.</w:t>
      </w:r>
    </w:p>
    <w:p>
      <w:pPr>
        <w:spacing w:after="0" w:line="9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 any nation or government, any state or other political subdivision thereof, any central bank (or similar monetary or regulatory authority) thereof and any entity exercising executive, legislative, judicial, regulatory or administrative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 and (b) the National Association of Insurance Commissioners.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w:t>
      </w:r>
      <w:r>
        <w:rPr>
          <w:rFonts w:ascii="Arial" w:cs="Arial" w:eastAsia="Arial" w:hAnsi="Arial"/>
          <w:sz w:val="16"/>
          <w:szCs w:val="16"/>
          <w:color w:val="auto"/>
        </w:rPr>
        <w:t xml:space="preserve">” means the Guaranty made by the Guarantors in favor of the Administrative Agent and the other holders of the Obligations pursuant to </w:t>
      </w:r>
      <w:r>
        <w:rPr>
          <w:rFonts w:ascii="Arial" w:cs="Arial" w:eastAsia="Arial" w:hAnsi="Arial"/>
          <w:sz w:val="16"/>
          <w:szCs w:val="16"/>
          <w:u w:val="single" w:color="auto"/>
          <w:color w:val="auto"/>
        </w:rPr>
        <w:t>Article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IV</w:t>
      </w:r>
      <w:r>
        <w:rPr>
          <w:rFonts w:ascii="Arial" w:cs="Arial" w:eastAsia="Arial" w:hAnsi="Arial"/>
          <w:sz w:val="18"/>
          <w:szCs w:val="18"/>
          <w:color w:val="auto"/>
        </w:rPr>
        <w:t>.</w:t>
      </w:r>
    </w:p>
    <w:p>
      <w:pPr>
        <w:spacing w:after="0" w:line="13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xml:space="preserve">” means (a) with respect to all Obligations, each Domestic Subsidiary of the Company identified as a “Guarantor” on the signature pages hereto and each other Person that joins as a Guarantor pursuant to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and (b) solely for purposes of </w:t>
      </w:r>
      <w:r>
        <w:rPr>
          <w:rFonts w:ascii="Arial" w:cs="Arial" w:eastAsia="Arial" w:hAnsi="Arial"/>
          <w:sz w:val="16"/>
          <w:szCs w:val="16"/>
          <w:u w:val="single" w:color="auto"/>
          <w:color w:val="auto"/>
        </w:rPr>
        <w:t>Article IV</w:t>
      </w:r>
      <w:r>
        <w:rPr>
          <w:rFonts w:ascii="Arial" w:cs="Arial" w:eastAsia="Arial" w:hAnsi="Arial"/>
          <w:sz w:val="16"/>
          <w:szCs w:val="16"/>
          <w:color w:val="auto"/>
        </w:rPr>
        <w:t>, with respect to the Obligations owing by the Designated Borrowers that are Foreign Subsidiaries, the Domestic Borrowers, in each case, together with their successors and permitted assigns.</w:t>
      </w:r>
    </w:p>
    <w:p>
      <w:pPr>
        <w:spacing w:after="0" w:line="8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hazardous waste, as defined by 42 U.S.C. §6903(5), any hazardous substance as defined by 42 U.S.C. §9601(14), any pollutant or contaminant as defined by 42 U.S.C. §9601(33) or any toxic substance, oil or hazardous material or other chemical or substance regulated by any Environmental Law, excluding household hazardous waste.</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currency or commodity swap agreement, cap agreement or collar agreement, and any other agreement or arrangement designed to protect against fluctuations in interest rates, currency exchange rates or commodity prices.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all liabilities of such Person under Hedging Agreements.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Auditor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Eurocurrency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Eurocurrency Rate Loan, the period commencing on the date such Eurocurrency Rate Loan is disbursed or converted to or continued as a Eurocurrency Rate Loan and ending on the date seven days or one, two, three or six months thereafter (or such other period as all Lenders may agree) as selected by the applicable Borrower in its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13" w:lineRule="exact"/>
        <w:rPr>
          <w:sz w:val="20"/>
          <w:szCs w:val="20"/>
          <w:color w:val="auto"/>
        </w:rPr>
      </w:pPr>
    </w:p>
    <w:p>
      <w:pPr>
        <w:ind w:left="460" w:firstLine="443"/>
        <w:spacing w:after="0" w:line="332" w:lineRule="auto"/>
        <w:tabs>
          <w:tab w:leader="none" w:pos="1147"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58" w:lineRule="exact"/>
        <w:rPr>
          <w:rFonts w:ascii="Arial" w:cs="Arial" w:eastAsia="Arial" w:hAnsi="Arial"/>
          <w:sz w:val="16"/>
          <w:szCs w:val="16"/>
          <w:color w:val="auto"/>
        </w:rPr>
      </w:pPr>
    </w:p>
    <w:p>
      <w:pPr>
        <w:ind w:left="460" w:firstLine="443"/>
        <w:spacing w:after="0" w:line="332" w:lineRule="auto"/>
        <w:tabs>
          <w:tab w:leader="none" w:pos="1151"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58" w:lineRule="exact"/>
        <w:rPr>
          <w:rFonts w:ascii="Arial" w:cs="Arial" w:eastAsia="Arial" w:hAnsi="Arial"/>
          <w:sz w:val="16"/>
          <w:szCs w:val="16"/>
          <w:color w:val="auto"/>
        </w:rPr>
      </w:pPr>
    </w:p>
    <w:p>
      <w:pPr>
        <w:ind w:left="1140" w:hanging="237"/>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w:t>
      </w:r>
    </w:p>
    <w:p>
      <w:pPr>
        <w:spacing w:after="0" w:line="14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acquisition or investment by such Person, whether by means of (a) the purchase or other acquisition of Capital Stock of another Person, (b) a loan, advance or capital contribution to, incurrence of Suretyship Liability in respect of, or assumption of debt of, or purchase or other acquisition of any other debt or equity participation or interest in, another Person, including any partnership or joint venture interest in such other Person, or</w:t>
      </w:r>
    </w:p>
    <w:p>
      <w:pPr>
        <w:spacing w:after="0" w:line="1" w:lineRule="exact"/>
        <w:rPr>
          <w:sz w:val="20"/>
          <w:szCs w:val="20"/>
          <w:color w:val="auto"/>
        </w:rPr>
      </w:pPr>
    </w:p>
    <w:p>
      <w:pPr>
        <w:ind w:firstLine="8"/>
        <w:spacing w:after="0" w:line="261" w:lineRule="auto"/>
        <w:tabs>
          <w:tab w:leader="none" w:pos="24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Acquisition. For purposes of covenant compliance, the amount of any Investment shall be the amount actually invested, without adjustment for subsequent increases or decreases in the value of such Investment.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0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L/C Issuer and the applicable Borrower (or any Subsidiary) or in favor of the L/C Issuer and relating to any such Letter of Credit.</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joinder agreement substantially in the form of </w:t>
      </w:r>
      <w:r>
        <w:rPr>
          <w:rFonts w:ascii="Arial" w:cs="Arial" w:eastAsia="Arial" w:hAnsi="Arial"/>
          <w:sz w:val="18"/>
          <w:szCs w:val="18"/>
          <w:u w:val="single" w:color="auto"/>
          <w:color w:val="auto"/>
        </w:rPr>
        <w:t>Exhibit 7.16</w:t>
      </w:r>
      <w:r>
        <w:rPr>
          <w:rFonts w:ascii="Arial" w:cs="Arial" w:eastAsia="Arial" w:hAnsi="Arial"/>
          <w:sz w:val="18"/>
          <w:szCs w:val="18"/>
          <w:color w:val="auto"/>
        </w:rPr>
        <w:t xml:space="preserve"> executed and delivered by a Domestic Subsidiary in accordance with the provisions of </w:t>
      </w:r>
      <w:r>
        <w:rPr>
          <w:rFonts w:ascii="Arial" w:cs="Arial" w:eastAsia="Arial" w:hAnsi="Arial"/>
          <w:sz w:val="18"/>
          <w:szCs w:val="18"/>
          <w:u w:val="single" w:color="auto"/>
          <w:color w:val="auto"/>
        </w:rPr>
        <w:t>Section 7.16</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2" w:name="page23"/>
    <w:bookmarkEnd w:id="22"/>
    <w:p>
      <w:pPr>
        <w:jc w:val="both"/>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an agreement where a Governmental Authority is an account obligor), in each case whether or not having the force of Law.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Advance</w:t>
      </w:r>
      <w:r>
        <w:rPr>
          <w:rFonts w:ascii="Arial" w:cs="Arial" w:eastAsia="Arial" w:hAnsi="Arial"/>
          <w:sz w:val="16"/>
          <w:szCs w:val="16"/>
          <w:color w:val="auto"/>
        </w:rPr>
        <w:t>” means, with respect to each Lender, such Lender’s funding of its participation in any L/C Borrowing in accordance with its Pro Rata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L/C Advances shall be denominated in Dollars.</w:t>
      </w:r>
    </w:p>
    <w:p>
      <w:pPr>
        <w:spacing w:after="0" w:line="13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Borrowing of Revolving Loans. All L/C Borrowings shall be denominated in Dollars.</w:t>
      </w:r>
    </w:p>
    <w:p>
      <w:pPr>
        <w:spacing w:after="0" w:line="10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Bank of America in its capacity as issuer of Letters of Credit hereunder, or any successor issuer of Letters of Credit hereunder. Letters of Credit may be issued in Dollars or in an Alternative Currency.</w:t>
      </w:r>
    </w:p>
    <w:p>
      <w:pPr>
        <w:spacing w:after="0" w:line="10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the aggregate undrawn amount of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each of the Persons identified as a “Lender” on the signature pages hereto, each other Person that becomes a “Lender” in accordance with this Agreement and their successors and assigns and, unless the context requires otherwise, includes the Swing Line Lender and any foreign branch or Affiliate of a Lender as is referenced in </w:t>
      </w:r>
      <w:r>
        <w:rPr>
          <w:rFonts w:ascii="Arial" w:cs="Arial" w:eastAsia="Arial" w:hAnsi="Arial"/>
          <w:sz w:val="18"/>
          <w:szCs w:val="18"/>
          <w:u w:val="single" w:color="auto"/>
          <w:color w:val="auto"/>
        </w:rPr>
        <w:t>Section 2.02(b)</w:t>
      </w:r>
      <w:r>
        <w:rPr>
          <w:rFonts w:ascii="Arial" w:cs="Arial" w:eastAsia="Arial" w:hAnsi="Arial"/>
          <w:sz w:val="18"/>
          <w:szCs w:val="18"/>
          <w:color w:val="auto"/>
        </w:rPr>
        <w:t>.</w:t>
      </w:r>
    </w:p>
    <w:p>
      <w:pPr>
        <w:spacing w:after="0" w:line="11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Lending Office</w:t>
      </w:r>
      <w:r>
        <w:rPr>
          <w:rFonts w:ascii="Arial" w:cs="Arial" w:eastAsia="Arial" w:hAnsi="Arial"/>
          <w:sz w:val="16"/>
          <w:szCs w:val="16"/>
          <w:color w:val="auto"/>
        </w:rPr>
        <w:t>” means, as to any Lender, the office or offices, branch or Affiliate of such Lender described as such in such Lender’s Administrative Questionnaire, or such other office or offices as a Lender may from time to time notify the Company and the Administrative Agent.</w:t>
      </w:r>
    </w:p>
    <w:p>
      <w:pPr>
        <w:spacing w:after="0" w:line="5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hereunder providing for the payment of cash upon the honoring of a presentation thereunder and shall include the Existing Letters of Credit. A Letter of Credit may be a commercial letter of credit or a standby letter of credit.</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 with such modifications as the Company and the L/C Issuer may reasonably approve.</w:t>
      </w:r>
    </w:p>
    <w:p>
      <w:pPr>
        <w:spacing w:after="0" w:line="10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the Aggregate Revolving Commitments and (b) $25,000,000. The Letter of Credit Sublimit is part of, and not in addition to, the Aggregate Revolving Commitments.</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pledge, hypothecation, assignment for security purposes, deposit arrangement,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a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Loan or a Swing Line Loan.</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each Note, each Issuer Document, each Designated Borrower Request and Assumption Agreement, each Joinder Agreement, any agreement entered into by a Loan Party creating or perfecting rights in Cash Collateral pursuant to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the Fee Letter.</w:t>
      </w:r>
    </w:p>
    <w:p>
      <w:pPr>
        <w:spacing w:after="0" w:line="11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Notice</w:t>
      </w:r>
      <w:r>
        <w:rPr>
          <w:rFonts w:ascii="Arial" w:cs="Arial" w:eastAsia="Arial" w:hAnsi="Arial"/>
          <w:sz w:val="16"/>
          <w:szCs w:val="16"/>
          <w:color w:val="auto"/>
        </w:rPr>
        <w:t xml:space="preserve">” means a notice of (a) a Borrowing of Revolving Loans, (b) a conversion of Loans from one Type to the other, or (c) a continuation of Eurocurrency Rate Loans, in each case pursuant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if in writing, shall be substantially in the form of </w:t>
      </w:r>
      <w:r>
        <w:rPr>
          <w:rFonts w:ascii="Arial" w:cs="Arial" w:eastAsia="Arial" w:hAnsi="Arial"/>
          <w:sz w:val="16"/>
          <w:szCs w:val="16"/>
          <w:u w:val="single" w:color="auto"/>
          <w:color w:val="auto"/>
        </w:rPr>
        <w:t>Exhibit 2.02</w:t>
      </w:r>
      <w:r>
        <w:rPr>
          <w:rFonts w:ascii="Arial" w:cs="Arial" w:eastAsia="Arial" w:hAnsi="Arial"/>
          <w:sz w:val="16"/>
          <w:szCs w:val="16"/>
          <w:color w:val="auto"/>
        </w:rPr>
        <w: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each Borrower and each Guarantor.</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Companies Register</w:t>
      </w:r>
      <w:r>
        <w:rPr>
          <w:rFonts w:ascii="Arial" w:cs="Arial" w:eastAsia="Arial" w:hAnsi="Arial"/>
          <w:sz w:val="18"/>
          <w:szCs w:val="18"/>
          <w:color w:val="auto"/>
        </w:rPr>
        <w:t>” means the Luxembourg Register of Commerce and Companies.</w:t>
      </w:r>
    </w:p>
    <w:p>
      <w:pPr>
        <w:spacing w:after="0" w:line="144"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Luxembourg Insolvency Event</w:t>
      </w:r>
      <w:r>
        <w:rPr>
          <w:rFonts w:ascii="Arial" w:cs="Arial" w:eastAsia="Arial" w:hAnsi="Arial"/>
          <w:sz w:val="16"/>
          <w:szCs w:val="16"/>
          <w:color w:val="auto"/>
        </w:rPr>
        <w:t>” means, in relation to a Luxembourg Loan Party or any of its assets, any corporate action, legal proceedings or other procedure or step in relation to bankruptcy (</w:t>
      </w:r>
      <w:r>
        <w:rPr>
          <w:rFonts w:ascii="Arial" w:cs="Arial" w:eastAsia="Arial" w:hAnsi="Arial"/>
          <w:sz w:val="16"/>
          <w:szCs w:val="16"/>
          <w:i w:val="1"/>
          <w:iCs w:val="1"/>
          <w:color w:val="auto"/>
        </w:rPr>
        <w:t>faillite</w:t>
      </w:r>
      <w:r>
        <w:rPr>
          <w:rFonts w:ascii="Arial" w:cs="Arial" w:eastAsia="Arial" w:hAnsi="Arial"/>
          <w:sz w:val="16"/>
          <w:szCs w:val="16"/>
          <w:color w:val="auto"/>
        </w:rPr>
        <w:t>), insolvency, liquidation, composition with creditors (</w:t>
      </w:r>
      <w:r>
        <w:rPr>
          <w:rFonts w:ascii="Arial" w:cs="Arial" w:eastAsia="Arial" w:hAnsi="Arial"/>
          <w:sz w:val="16"/>
          <w:szCs w:val="16"/>
          <w:i w:val="1"/>
          <w:iCs w:val="1"/>
          <w:color w:val="auto"/>
        </w:rPr>
        <w:t>concordat préventif de faillite</w:t>
      </w:r>
      <w:r>
        <w:rPr>
          <w:rFonts w:ascii="Arial" w:cs="Arial" w:eastAsia="Arial" w:hAnsi="Arial"/>
          <w:sz w:val="16"/>
          <w:szCs w:val="16"/>
          <w:color w:val="auto"/>
        </w:rPr>
        <w:t>), moratorium or reprieve from payment (</w:t>
      </w:r>
      <w:r>
        <w:rPr>
          <w:rFonts w:ascii="Arial" w:cs="Arial" w:eastAsia="Arial" w:hAnsi="Arial"/>
          <w:sz w:val="16"/>
          <w:szCs w:val="16"/>
          <w:i w:val="1"/>
          <w:iCs w:val="1"/>
          <w:color w:val="auto"/>
        </w:rPr>
        <w:t>sursis de paiement</w:t>
      </w:r>
      <w:r>
        <w:rPr>
          <w:rFonts w:ascii="Arial" w:cs="Arial" w:eastAsia="Arial" w:hAnsi="Arial"/>
          <w:sz w:val="16"/>
          <w:szCs w:val="16"/>
          <w:color w:val="auto"/>
        </w:rPr>
        <w:t>), controlled management (</w:t>
      </w:r>
      <w:r>
        <w:rPr>
          <w:rFonts w:ascii="Arial" w:cs="Arial" w:eastAsia="Arial" w:hAnsi="Arial"/>
          <w:sz w:val="16"/>
          <w:szCs w:val="16"/>
          <w:i w:val="1"/>
          <w:iCs w:val="1"/>
          <w:color w:val="auto"/>
        </w:rPr>
        <w:t>gestion contrôlée</w:t>
      </w:r>
      <w:r>
        <w:rPr>
          <w:rFonts w:ascii="Arial" w:cs="Arial" w:eastAsia="Arial" w:hAnsi="Arial"/>
          <w:sz w:val="16"/>
          <w:szCs w:val="16"/>
          <w:color w:val="auto"/>
        </w:rPr>
        <w:t>), fraudulent conveyance (</w:t>
      </w:r>
      <w:r>
        <w:rPr>
          <w:rFonts w:ascii="Arial" w:cs="Arial" w:eastAsia="Arial" w:hAnsi="Arial"/>
          <w:sz w:val="16"/>
          <w:szCs w:val="16"/>
          <w:i w:val="1"/>
          <w:iCs w:val="1"/>
          <w:color w:val="auto"/>
        </w:rPr>
        <w:t>action paulienne</w:t>
      </w:r>
      <w:r>
        <w:rPr>
          <w:rFonts w:ascii="Arial" w:cs="Arial" w:eastAsia="Arial" w:hAnsi="Arial"/>
          <w:sz w:val="16"/>
          <w:szCs w:val="16"/>
          <w:color w:val="auto"/>
        </w:rPr>
        <w:t>) within the meaning of Article 448 of the Luxembourg Code of Commerce, general settlement with creditors, reorganisation or similar laws affecting the rights of creditors generally.</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Loan Party</w:t>
      </w:r>
      <w:r>
        <w:rPr>
          <w:rFonts w:ascii="Arial" w:cs="Arial" w:eastAsia="Arial" w:hAnsi="Arial"/>
          <w:sz w:val="18"/>
          <w:szCs w:val="18"/>
          <w:color w:val="auto"/>
        </w:rPr>
        <w:t>” means a Loan Party that is organized under the laws of Luxembourg.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Cost</w:t>
      </w:r>
      <w:r>
        <w:rPr>
          <w:rFonts w:ascii="Arial" w:cs="Arial" w:eastAsia="Arial" w:hAnsi="Arial"/>
          <w:sz w:val="18"/>
          <w:szCs w:val="18"/>
          <w:color w:val="auto"/>
        </w:rPr>
        <w:t xml:space="preserve">” means, with respect to any period, the percentage rate per annum determined in accordance with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any “margin stock” as defined in Regulation U of the FRB.</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a material adverse change in, or a material adverse effect upon, the business, assets, liabilities (actual or contingent), operations or condition (financial or otherwise) of the Company and its Subsidiaries taken as a whole (excluding that certain item disclosed in writing to the Administrative Agent and the Lenders prior to the date of this Agreement for purposes of this exclusion) or (b) a material adverse effect upon the legality, validity, binding effect or enforceability against the Company or any other Loan Party of any Loan Document.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February 1, 2017;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such date is not a Business Day, the Maturity Date shall be the next preceding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xml:space="preserve">” means, at any time, (a) with respect to Cash Collateral consisting of cash or deposit account balances provided to reduce or eliminate Fronting Exposure during the existence of a Defaulting Lender, an amount equal to 103% of the Fronting Exposure of the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6"/>
          <w:szCs w:val="16"/>
          <w:u w:val="single" w:color="auto"/>
          <w:color w:val="auto"/>
        </w:rPr>
        <w:t>Section 2.03(a)(ii)(B)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2.15(a)(i)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(a)(iii)</w:t>
      </w:r>
      <w:r>
        <w:rPr>
          <w:rFonts w:ascii="Arial" w:cs="Arial" w:eastAsia="Arial" w:hAnsi="Arial"/>
          <w:sz w:val="16"/>
          <w:szCs w:val="16"/>
          <w:color w:val="auto"/>
        </w:rPr>
        <w:t>, an amount equal to 103% of the Outstanding Amount of all L/C Obligations, and (c) otherwise, an amount determined by the Administrative Agent and the L/C Issuer in their sole discretion.</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Guarantor Threshold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7.16</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MLPFS</w:t>
      </w:r>
      <w:r>
        <w:rPr>
          <w:rFonts w:ascii="Arial" w:cs="Arial" w:eastAsia="Arial" w:hAnsi="Arial"/>
          <w:sz w:val="18"/>
          <w:szCs w:val="18"/>
          <w:color w:val="auto"/>
        </w:rPr>
        <w:t>” means Merrill Lynch, Pierce, Fenner &amp; Smith Incorporated, in its capacity as joint lead arranger and joint book manager.</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Pension Plan</w:t>
      </w:r>
      <w:r>
        <w:rPr>
          <w:rFonts w:ascii="Arial" w:cs="Arial" w:eastAsia="Arial" w:hAnsi="Arial"/>
          <w:sz w:val="18"/>
          <w:szCs w:val="18"/>
          <w:color w:val="auto"/>
        </w:rPr>
        <w:t>” means a multiemployer plan, as such term is defined in Section 4001(a)(3) of ERISA, and to which the Company or any member of the Controlled Group may have any liability.</w:t>
      </w:r>
    </w:p>
    <w:p>
      <w:pPr>
        <w:spacing w:after="0" w:line="10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Cash Proceeds</w:t>
      </w:r>
      <w:r>
        <w:rPr>
          <w:rFonts w:ascii="Arial" w:cs="Arial" w:eastAsia="Arial" w:hAnsi="Arial"/>
          <w:sz w:val="15"/>
          <w:szCs w:val="15"/>
          <w:color w:val="auto"/>
        </w:rPr>
        <w:t>” means, with respect to any sale of assets, the aggregate cash proceeds (including cash proceeds received by way of deferred payment of principal pursuant to a note, installment receivable or otherwise, but only as and when received) received by the Company or any Subsidiary pursuant to such sale, net of (a) the direct costs relating to such sale (including sales commissions and legal, accounting and investment banking fees), (b) taxes paid or reasonably estimated by the Company to be payable as a result thereof (after taking into account any available tax credits or deductions and any tax sharing arrangements),</w:t>
      </w:r>
    </w:p>
    <w:p>
      <w:pPr>
        <w:spacing w:after="0" w:line="3" w:lineRule="exact"/>
        <w:rPr>
          <w:sz w:val="20"/>
          <w:szCs w:val="20"/>
          <w:color w:val="auto"/>
        </w:rPr>
      </w:pPr>
    </w:p>
    <w:p>
      <w:pPr>
        <w:jc w:val="both"/>
        <w:ind w:right="20" w:firstLine="8"/>
        <w:spacing w:after="0" w:line="255"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any reserve established in accordance with GAAP in respect of (i) the sale price of the asset subject to such sale or (ii) liabilities associated with such asset that are retained by the Company or such Subsidiary and (d) amounts required to be applied to the repayment of any Debt secured by a Lien on the asset subject to such sale.</w:t>
      </w:r>
    </w:p>
    <w:p>
      <w:pPr>
        <w:spacing w:after="0" w:line="11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(b) has been approved by the Required Lenders.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Purchase Agreement</w:t>
      </w:r>
      <w:r>
        <w:rPr>
          <w:rFonts w:ascii="Arial" w:cs="Arial" w:eastAsia="Arial" w:hAnsi="Arial"/>
          <w:sz w:val="18"/>
          <w:szCs w:val="18"/>
          <w:color w:val="auto"/>
        </w:rPr>
        <w:t>” means (a) the Note Purchase Agreement dated as of June 28, 2004 among the Company, Worldwide, Tricor and the purchasers of notes issued pursuant thereto, together with that certain First Supplement to Note Purchase Agreement dated as of February 14, 2006, that certain Second Supplement to Note Purchase Agreement dated as of March 23, 2007 and any further supplement thereto from time to time, (b) the Note Purchase Agreement dated as of May 13, 2010 among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Worldwide, Tricor and the purchasers of notes issued pursuant thereto and any supplement thereto from time to time and (c) any other note purchase agreement entered into after the Closing Date pursuant to which one or more investors purchase unsecured notes issued by the Company and/or one or more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note purchase agreement shall not be on terms less favorable to the Company and its Subsidiaries than the Note Purchase Agreements identified in clauses (a) and (b) above.</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Hedging Agreement between any Loan Party and any Lender or Affiliate of a Lender and (b) all obligations under any Treasury Management Agreement between any Loan Party and any Lender or Affiliate of a Lender.</w:t>
      </w:r>
    </w:p>
    <w:p>
      <w:pPr>
        <w:spacing w:after="0" w:line="9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 Documents</w:t>
      </w:r>
      <w:r>
        <w:rPr>
          <w:rFonts w:ascii="Arial" w:cs="Arial" w:eastAsia="Arial" w:hAnsi="Arial"/>
          <w:sz w:val="16"/>
          <w:szCs w:val="16"/>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9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Taxes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 and excluding in any event Excluded Taxes.</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any Revolving Loans on any date, the Dollar Equivalent amount of the aggregate outstanding principal amount thereof after giving effect to any borrowings and prepayments or repayments of any Revolving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6" w:name="page27"/>
    <w:bookmarkEnd w:id="26"/>
    <w:p>
      <w:pPr>
        <w:jc w:val="both"/>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Overnight Rate</w:t>
      </w:r>
      <w:r>
        <w:rPr>
          <w:rFonts w:ascii="Arial" w:cs="Arial" w:eastAsia="Arial" w:hAnsi="Arial"/>
          <w:sz w:val="16"/>
          <w:szCs w:val="16"/>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each state so described in any EMU Legislation.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and any entity succeeding to any or all of its functions under ERISA.</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 “pension plan”, as such term is defined in Section 3(2) of ERISA, which is subject to Title IV of ERISA (other than a Multiemployer Pension Plan), and to which the Company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16"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any Acquisition by the Company or a Subsidiary which satisfies each of the following requirements: (a) no Default has occurred and is continuing at the time of, or immediately after giving effect to, such Acquisition; (b) the Person to be acquired is in, or the assets to be acquired are for use in, the same or a similar line of business as the Company and its Subsidiaries or a reasonable extension thereof; (c) upon giving effect to such Acquisition on a pro forma basis, the Loan Parties would be in compliance with the financial covenants set forth in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as of the most recent Fiscal Quarter for which the Company was required to deliver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7.01(b)</w:t>
      </w:r>
      <w:r>
        <w:rPr>
          <w:rFonts w:ascii="Arial" w:cs="Arial" w:eastAsia="Arial" w:hAnsi="Arial"/>
          <w:sz w:val="16"/>
          <w:szCs w:val="16"/>
          <w:color w:val="auto"/>
        </w:rPr>
        <w:t xml:space="preserve"> (and if the aggregate consideration (including cash and non-cash consideration, any assumption of Debt, any acquired Debt, deferred purchase price and any earn-out payments) paid by the Company or any Subsidiary for any such Acquisition exceeds $100,000,000, the Company shall have delivered to the Administrative Agent a certificate demonstrating such compliance); (d) the representations and warranties made by the Loan Parties in each Loan Document shall be true and correct in all material respects at and as if made as of the date of such Acquisition (after giving effect thereto) except to the extent such representations and warranties expressly relate to an earlier date in which case they shall be true and correct in all material respects as of such earlier date; (e) if such transaction involves the purchase of an interest in a partnership between the Company (or a Subsidiary) as a general partner and entities unaffiliated with the Company or such Subsidiary as the other partners, such transaction shall be effected by having such equity interest acquired by a corporate holding company directly or indirectly wholly-owned by the Company newly formed for the sole purpose of effecting such transaction; and (f) in the case of the Acquisition of a Person, the board of directors (or equivalent governing body) of the Person being acquired shall have approved such Acquisition.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7" w:name="page28"/>
    <w:bookmarkEnd w:id="27"/>
    <w:p>
      <w:pPr>
        <w:jc w:val="both"/>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at any time, Liens in respect of property of the Company or any of its Subsidiaries permitted to exist at such time pursuant to the terms of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10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Securitization</w:t>
      </w:r>
      <w:r>
        <w:rPr>
          <w:rFonts w:ascii="Arial" w:cs="Arial" w:eastAsia="Arial" w:hAnsi="Arial"/>
          <w:sz w:val="16"/>
          <w:szCs w:val="16"/>
          <w:color w:val="auto"/>
        </w:rPr>
        <w:t>” means any program providing for (a) the direct or indirect sale, contribution and/or transfer to a Securitization Subsidiary, in one or more related and substantially concurrent transactions, of accounts receivable, general intangibles, chattel paper or other financial assets (including rights in respect of Capital Leases) and related rights of the Company or any Subsidiary in transactions intended to constitute (and opined by nationally-recognized outside legal counsel in connection therewith to constitute) true sales or true contributions to such Securitization Subsidiary and (b) the provision of financing secured by the assets so sold, contributed and/or transferred, whether in the form of secured loans or the acquisition of undivided interests in such assets.</w:t>
      </w:r>
    </w:p>
    <w:p>
      <w:pPr>
        <w:spacing w:after="0" w:line="8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w:t>
      </w:r>
      <w:r>
        <w:rPr>
          <w:rFonts w:ascii="Arial" w:cs="Arial" w:eastAsia="Arial" w:hAnsi="Arial"/>
          <w:sz w:val="18"/>
          <w:szCs w:val="18"/>
          <w:color w:val="auto"/>
        </w:rPr>
        <w:t>” means the U.S. Department of Labor regulation located at 29 C.F.R. Section 2510.3-101, or any successor regulation thereto, as in effect at the time of reference, as modified by Section 3(42) of ERISA.</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Assets</w:t>
      </w:r>
      <w:r>
        <w:rPr>
          <w:rFonts w:ascii="Arial" w:cs="Arial" w:eastAsia="Arial" w:hAnsi="Arial"/>
          <w:sz w:val="18"/>
          <w:szCs w:val="18"/>
          <w:color w:val="auto"/>
        </w:rPr>
        <w:t>” means “plan assets” as defined in the Plan Asset Regulation.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as to each Lender at any time, a fraction (expressed as a percentage, carried out to the ninth decimal place), the numerator of which is the amount of the Revolving Commitment of such Lender at such time and the denominator of which is the amount of the Aggregate Revolving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commitment of each Lender to make Revolving Loans and the obligation of the L/C Issuer to make L/C Credit Extensions have been terminated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 The Pro Rata Shares shall be subject to adjustment as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the L/C Issuer or any other recipient of any payment to be made by or on account of any obligation of any Loan Party hereunder.</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14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8" w:name="page29"/>
    <w:bookmarkEnd w:id="28"/>
    <w:p>
      <w:pPr>
        <w:jc w:val="both"/>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holding in the aggregate more than fifty percent (50%) of (a) the Commitments or (b) if the Commitments have been terminated, the outstanding Loans, L/C Obligations, Swing Line Loans and participations therein. The Commitments of, and the outstanding Loans held or deemed held by, any Defaulting Lender shall be disregarded for purposes of making a determination of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8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any Executive Officer, and, solely for purposes of the delivery of incumbency certificates, the secretary or any assistant secretary of a Loan Party and, solely for purposes of notices given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of the applicable Loan Party so designated by any of the foregoing officers in a notice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With respect to a Luxembourg Loan Party a “Responsible Officer” means a person who is authorized to represent that Loan Party.</w:t>
      </w:r>
    </w:p>
    <w:p>
      <w:pPr>
        <w:spacing w:after="0" w:line="9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and</w:t>
      </w:r>
    </w:p>
    <w:p>
      <w:pPr>
        <w:jc w:val="both"/>
        <w:ind w:firstLine="8"/>
        <w:spacing w:after="0" w:line="292" w:lineRule="auto"/>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such additional dates as the Administrative Agent shall determine or the Required Lenders shall require; and (b) with respect to any Letter of Credit, each of the following: (i) each date of an issuance of a Letter of Credit denominated in an Alternative Currency, (ii) each date of an amendment of any such Letter of Credit having the effect of increasing the amount thereof (solely with respect to the increased amount), (iii) each date of any payment by the L/C Issuer of any Letter of Credit denominated in an Alternative Currency, (iv) in the case of the Existing Letters of Credit, the Closing Date and (v) such additional dates as the Administrative Agent or the L/C Issuer shall determine or the Required Lenders shall require.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Lender, its obligation to (a) make Revolving Loans to the Borrowers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in any documentation executed by such Lender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or in the Assignment and Assumption pursuant to which such Lender becomes a party hereto, as applicable, as such amount may be adjusted from time to time in accordance with this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Obligations</w:t>
      </w:r>
      <w:r>
        <w:rPr>
          <w:rFonts w:ascii="Arial" w:cs="Arial" w:eastAsia="Arial" w:hAnsi="Arial"/>
          <w:sz w:val="18"/>
          <w:szCs w:val="18"/>
          <w:color w:val="auto"/>
        </w:rPr>
        <w:t>” means the aggregate investment or claim (as opposed to the value of the underlying assets subject to the applicable Permitted Securitization) held at any time by all purchasers, assignees or transferees of (or of interests in), or holders of obligations that are supported or secured by, accounts receivable, general intangibles, chattel paper or other financial assets (including rights in respect of Capital Leases) and related rights of the Company or any Subsidiary in connection with Permitted Securitizations.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Subsidiary</w:t>
      </w:r>
      <w:r>
        <w:rPr>
          <w:rFonts w:ascii="Arial" w:cs="Arial" w:eastAsia="Arial" w:hAnsi="Arial"/>
          <w:sz w:val="18"/>
          <w:szCs w:val="18"/>
          <w:color w:val="auto"/>
        </w:rPr>
        <w:t>” means a special purpose, bankruptcy remote, directly or indirectly wholly-owned Subsidiary of the Company that is formed for the sole and exclusive purpose of engaging in activities in connection with the purchase, contribution, transfer, sale and financing of assets and related rights in connection with and pursuant to one or more Permitted Securitizations.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any note issued pursuant to a Note Purchase Agreement.</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at any time, (a) any Subsidiary having (i) assets (after intercompany eliminations) with a value not less than 2.5% of the total value of the consolidated assets of the Company and its Subsidiaries, taken as a whole, or (ii) revenues (after elimination of intercompany revenues) not less than 2.5% of the consolidated revenues of the Company and its Subsidiaries, taken as a whole, in each case for, or as of the end of, the most recently ended Computation Period, as the case may be and (b) any Subsidiary that is a Loan Party.</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0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Cash</w:t>
      </w:r>
      <w:r>
        <w:rPr>
          <w:rFonts w:ascii="Arial" w:cs="Arial" w:eastAsia="Arial" w:hAnsi="Arial"/>
          <w:sz w:val="16"/>
          <w:szCs w:val="16"/>
          <w:color w:val="auto"/>
        </w:rPr>
        <w:t xml:space="preserve">” means the aggregate amount of unrestricted cash and Cash Equivalents of the Company and its Domestic Subsidiaries (other than Excluded Subsidiaries) in excess of $25,000,000;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amount of Specified Cash shall not exceed $50,000,000 at any one time.</w:t>
      </w:r>
    </w:p>
    <w:p>
      <w:pPr>
        <w:spacing w:after="0" w:line="5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L/C Issuer may use such spot rate quoted on the date as of which the foreign exchange computation is made in the case of any Letter of Credit denominated in an Alternative Currency.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means any Debt of the Company or any Subsidiary that (a) is subordinated to the Obligations in a manner approved in writing by the Required Lenders and (b) has (i) no amortization prior to the date that is at least 91 days after the Maturity Date, (ii) financial covenants and events of default (and related definitions) that are acceptable to the Required Lenders and (iii) no limitation on senior Debt (or any guaranty thereof) that is unacceptable to the Required Lenders.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0" w:name="page31"/>
    <w:bookmarkEnd w:id="30"/>
    <w:p>
      <w:pPr>
        <w:jc w:val="both"/>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Suretyship Liability</w:t>
      </w:r>
      <w:r>
        <w:rPr>
          <w:rFonts w:ascii="Arial" w:cs="Arial" w:eastAsia="Arial" w:hAnsi="Arial"/>
          <w:sz w:val="16"/>
          <w:szCs w:val="16"/>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Suretyship Liability shall (subject to any limitation set forth therein) be deemed to be equal to the lesser of (i) the stated or determinable amount of the related primary obligation, or portion thereof, in respect of which such Suretyship Liability is incurred or, if not stated or determinable, the maximum reasonably anticipated liability in respect thereof, and (ii) the stated amount of such Suretyship Liability.</w:t>
      </w:r>
    </w:p>
    <w:p>
      <w:pPr>
        <w:spacing w:after="0" w:line="9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Lender</w:t>
      </w:r>
      <w:r>
        <w:rPr>
          <w:rFonts w:ascii="Arial" w:cs="Arial" w:eastAsia="Arial" w:hAnsi="Arial"/>
          <w:sz w:val="16"/>
          <w:szCs w:val="16"/>
          <w:color w:val="auto"/>
        </w:rPr>
        <w:t>” means Bank of America in its capacity as provider of Swing Line Loans, or any successor swing line lender hereunder.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Borrowing of Swing Line Loans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2.04</w:t>
      </w:r>
      <w:r>
        <w:rPr>
          <w:rFonts w:ascii="Arial" w:cs="Arial" w:eastAsia="Arial" w:hAnsi="Arial"/>
          <w:sz w:val="18"/>
          <w:szCs w:val="18"/>
          <w:color w:val="auto"/>
        </w:rPr>
        <w:t>.</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$25,000,000 and (b) the Aggregate Revolving Commitments. The Swing Line Sublimit is part of, and not in addition to, the Aggregate Revolving Commitments.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05"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Outstandings</w:t>
      </w:r>
      <w:r>
        <w:rPr>
          <w:rFonts w:ascii="Arial" w:cs="Arial" w:eastAsia="Arial" w:hAnsi="Arial"/>
          <w:sz w:val="18"/>
          <w:szCs w:val="18"/>
          <w:color w:val="auto"/>
        </w:rPr>
        <w:t>” means the aggregate Outstanding Amount of all Revolving Loans, all Swing Line Loans and all L/C Obligations. 22</w:t>
      </w:r>
    </w:p>
    <w:p>
      <w:pPr>
        <w:sectPr>
          <w:pgSz w:w="11900" w:h="16838" w:orient="portrait"/>
          <w:cols w:equalWidth="0" w:num="1">
            <w:col w:w="11420"/>
          </w:cols>
          <w:pgMar w:left="240" w:top="280" w:right="239" w:bottom="1440" w:gutter="0" w:footer="0" w:header="0"/>
        </w:sectPr>
      </w:pPr>
    </w:p>
    <w:bookmarkStart w:id="31" w:name="page32"/>
    <w:bookmarkEnd w:id="31"/>
    <w:p>
      <w:pPr>
        <w:jc w:val="both"/>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Treasury Management Agreement</w:t>
      </w:r>
      <w:r>
        <w:rPr>
          <w:rFonts w:ascii="Arial" w:cs="Arial" w:eastAsia="Arial" w:hAnsi="Arial"/>
          <w:sz w:val="18"/>
          <w:szCs w:val="18"/>
          <w:color w:val="auto"/>
        </w:rPr>
        <w:t>” means any agreement governing the provision of treasury or cash management services, including deposit accounts, funds transfer, automated clearinghouse, zero balance accounts, returned check concentration, controlled disbursement, lockbox, account reconciliation, reporting and trade finance services, overnight draft, credit cards, debit cards, p-cards (including purchasing cards and commercial cards), e-payables and other treasury management services.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Tricor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Loan, its character as a Base Rate Loan or a Eurocurrency Rate Loan.</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thereof as may be in effect at the time of issuance).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3.01(e)(ii)(B)(3)</w:t>
      </w:r>
      <w:r>
        <w:rPr>
          <w:rFonts w:ascii="Arial" w:cs="Arial" w:eastAsia="Arial" w:hAnsi="Arial"/>
          <w:sz w:val="18"/>
          <w:szCs w:val="18"/>
          <w:color w:val="auto"/>
        </w:rPr>
        <w:t>.</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Capital Stock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Person 100% of whose Capital Stock is at the time owned by the Company directly or indirectly through other Persons 100% of whose Capital Stock is at the time owned, directly or indirectly, by the Company.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Worldwide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144" w:lineRule="exact"/>
        <w:rPr>
          <w:sz w:val="20"/>
          <w:szCs w:val="20"/>
          <w:color w:val="auto"/>
        </w:rPr>
      </w:pPr>
    </w:p>
    <w:p>
      <w:pPr>
        <w:ind w:left="1140" w:hanging="237"/>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144" w:lineRule="exact"/>
        <w:rPr>
          <w:rFonts w:ascii="Arial" w:cs="Arial" w:eastAsia="Arial" w:hAnsi="Arial"/>
          <w:sz w:val="18"/>
          <w:szCs w:val="18"/>
          <w:color w:val="auto"/>
        </w:rPr>
      </w:pPr>
    </w:p>
    <w:p>
      <w:pPr>
        <w:ind w:left="460" w:firstLine="443"/>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The words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hereto</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refer to such Loan Document as a whole and not to any particular provision thereof.</w:t>
      </w:r>
    </w:p>
    <w:p>
      <w:pPr>
        <w:spacing w:after="0" w:line="104" w:lineRule="exact"/>
        <w:rPr>
          <w:rFonts w:ascii="Arial" w:cs="Arial" w:eastAsia="Arial" w:hAnsi="Arial"/>
          <w:sz w:val="18"/>
          <w:szCs w:val="18"/>
          <w:color w:val="auto"/>
        </w:rPr>
      </w:pPr>
    </w:p>
    <w:p>
      <w:pPr>
        <w:ind w:left="1600" w:hanging="259"/>
        <w:spacing w:after="0"/>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Document in which such reference appears.</w:t>
      </w:r>
    </w:p>
    <w:p>
      <w:pPr>
        <w:spacing w:after="0" w:line="144" w:lineRule="exact"/>
        <w:rPr>
          <w:rFonts w:ascii="Arial" w:cs="Arial" w:eastAsia="Arial" w:hAnsi="Arial"/>
          <w:sz w:val="18"/>
          <w:szCs w:val="18"/>
          <w:color w:val="auto"/>
        </w:rPr>
      </w:pPr>
    </w:p>
    <w:p>
      <w:pPr>
        <w:ind w:left="1640" w:hanging="299"/>
        <w:spacing w:after="0"/>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including</w:t>
      </w:r>
      <w:r>
        <w:rPr>
          <w:rFonts w:ascii="Arial" w:cs="Arial" w:eastAsia="Arial" w:hAnsi="Arial"/>
          <w:sz w:val="18"/>
          <w:szCs w:val="18"/>
          <w:color w:val="auto"/>
        </w:rPr>
        <w:t>” is by way of example and not limitation.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2" w:name="page33"/>
    <w:bookmarkEnd w:id="32"/>
    <w:p>
      <w:pPr>
        <w:ind w:left="920" w:firstLine="421"/>
        <w:spacing w:after="0" w:line="268" w:lineRule="auto"/>
        <w:tabs>
          <w:tab w:leader="none" w:pos="1655"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u w:val="single" w:color="auto"/>
          <w:color w:val="auto"/>
        </w:rPr>
        <w:t>documents</w:t>
      </w:r>
      <w:r>
        <w:rPr>
          <w:rFonts w:ascii="Arial" w:cs="Arial" w:eastAsia="Arial" w:hAnsi="Arial"/>
          <w:sz w:val="18"/>
          <w:szCs w:val="18"/>
          <w:color w:val="auto"/>
        </w:rPr>
        <w:t>” includes any and all instruments, documents, agreements, certificates, notices, reports, financial statements and other writings, however evidenced, whether in physical or electronic form.</w:t>
      </w:r>
    </w:p>
    <w:p>
      <w:pPr>
        <w:spacing w:after="0" w:line="104" w:lineRule="exact"/>
        <w:rPr>
          <w:rFonts w:ascii="Arial" w:cs="Arial" w:eastAsia="Arial" w:hAnsi="Arial"/>
          <w:sz w:val="18"/>
          <w:szCs w:val="18"/>
          <w:color w:val="auto"/>
        </w:rPr>
      </w:pPr>
    </w:p>
    <w:p>
      <w:pPr>
        <w:ind w:left="460" w:firstLine="443"/>
        <w:spacing w:after="0" w:line="268" w:lineRule="auto"/>
        <w:tabs>
          <w:tab w:leader="none" w:pos="11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04" w:lineRule="exact"/>
        <w:rPr>
          <w:rFonts w:ascii="Arial" w:cs="Arial" w:eastAsia="Arial" w:hAnsi="Arial"/>
          <w:sz w:val="18"/>
          <w:szCs w:val="18"/>
          <w:color w:val="auto"/>
        </w:rPr>
      </w:pPr>
    </w:p>
    <w:p>
      <w:pPr>
        <w:ind w:left="460" w:firstLine="443"/>
        <w:spacing w:after="0" w:line="268" w:lineRule="auto"/>
        <w:tabs>
          <w:tab w:leader="none" w:pos="11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144" w:lineRule="exact"/>
        <w:rPr>
          <w:sz w:val="20"/>
          <w:szCs w:val="20"/>
          <w:color w:val="auto"/>
        </w:rPr>
      </w:pPr>
    </w:p>
    <w:p>
      <w:pPr>
        <w:jc w:val="both"/>
        <w:ind w:firstLine="464"/>
        <w:spacing w:after="0" w:line="254" w:lineRule="auto"/>
        <w:tabs>
          <w:tab w:leader="none" w:pos="7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Notwithstanding anything to the contrary in this Agreement or any other Loan Document, for purposes of determining compliance with any covenant (including the computation of any financial covenant) contained in any Loan Document, Debt of the Loan Parties and their Subsidiaries shall be deemed to be carried at 100% of the outstanding principal amount thereof, and the effects of FASB ASC 825 on financial liabilities shall be disregarded.</w:t>
      </w:r>
    </w:p>
    <w:p>
      <w:pPr>
        <w:spacing w:after="0" w:line="117" w:lineRule="exact"/>
        <w:rPr>
          <w:rFonts w:ascii="Arial" w:cs="Arial" w:eastAsia="Arial" w:hAnsi="Arial"/>
          <w:sz w:val="18"/>
          <w:szCs w:val="18"/>
          <w:color w:val="auto"/>
        </w:rPr>
      </w:pPr>
    </w:p>
    <w:p>
      <w:pPr>
        <w:jc w:val="both"/>
        <w:ind w:firstLine="464"/>
        <w:spacing w:after="0" w:line="306" w:lineRule="auto"/>
        <w:tabs>
          <w:tab w:leader="none" w:pos="7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The Company will provide a written summary of material changes in GAAP (including the adoption of IFRS) with each annual and quarterly Compliance Certificate delivered in accordance with </w:t>
      </w:r>
      <w:r>
        <w:rPr>
          <w:rFonts w:ascii="Arial" w:cs="Arial" w:eastAsia="Arial" w:hAnsi="Arial"/>
          <w:sz w:val="15"/>
          <w:szCs w:val="15"/>
          <w:u w:val="single" w:color="auto"/>
          <w:color w:val="auto"/>
        </w:rPr>
        <w:t>Section 7.01(c)</w:t>
      </w:r>
      <w:r>
        <w:rPr>
          <w:rFonts w:ascii="Arial" w:cs="Arial" w:eastAsia="Arial" w:hAnsi="Arial"/>
          <w:sz w:val="15"/>
          <w:szCs w:val="15"/>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apply for purposes of the financial statements delivered pursuant to </w:t>
      </w:r>
      <w:r>
        <w:rPr>
          <w:rFonts w:ascii="Arial" w:cs="Arial" w:eastAsia="Arial" w:hAnsi="Arial"/>
          <w:sz w:val="15"/>
          <w:szCs w:val="15"/>
          <w:u w:val="single" w:color="auto"/>
          <w:color w:val="auto"/>
        </w:rPr>
        <w:t>Section 7.01(a)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7.01(b)</w:t>
      </w:r>
      <w:r>
        <w:rPr>
          <w:rFonts w:ascii="Arial" w:cs="Arial" w:eastAsia="Arial" w:hAnsi="Arial"/>
          <w:sz w:val="15"/>
          <w:szCs w:val="15"/>
          <w:color w:val="auto"/>
        </w:rPr>
        <w:t xml:space="preserve"> so long as the Compliance Certificate delivered by the Company in connection with such financial statements includes an explanation of the differences resulting from such treatment of leases in a manner reasonably satisfactory to the Administrative Agent.</w:t>
      </w:r>
    </w:p>
    <w:p>
      <w:pPr>
        <w:spacing w:after="0" w:line="1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Rounding</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3" w:name="page34"/>
    <w:bookmarkEnd w:id="3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1.05</w:t>
      </w:r>
      <w:r>
        <w:rPr>
          <w:sz w:val="20"/>
          <w:szCs w:val="20"/>
          <w:color w:val="auto"/>
        </w:rPr>
        <w:tab/>
      </w:r>
      <w:r>
        <w:rPr>
          <w:rFonts w:ascii="Arial" w:cs="Arial" w:eastAsia="Arial" w:hAnsi="Arial"/>
          <w:sz w:val="15"/>
          <w:szCs w:val="15"/>
          <w:u w:val="single" w:color="auto"/>
          <w:color w:val="auto"/>
        </w:rPr>
        <w:t>References to Agreements and Laws</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u w:val="single" w:color="auto"/>
          <w:color w:val="auto"/>
        </w:rPr>
        <w:t>Exchange Rates; Currency Equivalents</w:t>
      </w:r>
      <w:r>
        <w:rPr>
          <w:rFonts w:ascii="Arial" w:cs="Arial" w:eastAsia="Arial" w:hAnsi="Arial"/>
          <w:sz w:val="15"/>
          <w:szCs w:val="15"/>
          <w:color w:val="auto"/>
        </w:rPr>
        <w:t>.</w:t>
      </w:r>
    </w:p>
    <w:p>
      <w:pPr>
        <w:spacing w:after="0" w:line="144" w:lineRule="exact"/>
        <w:rPr>
          <w:sz w:val="20"/>
          <w:szCs w:val="20"/>
          <w:color w:val="auto"/>
        </w:rPr>
      </w:pPr>
    </w:p>
    <w:p>
      <w:pPr>
        <w:jc w:val="both"/>
        <w:ind w:firstLine="464"/>
        <w:spacing w:after="0" w:line="291" w:lineRule="auto"/>
        <w:tabs>
          <w:tab w:leader="none" w:pos="6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93" w:lineRule="exact"/>
        <w:rPr>
          <w:rFonts w:ascii="Arial" w:cs="Arial" w:eastAsia="Arial" w:hAnsi="Arial"/>
          <w:sz w:val="16"/>
          <w:szCs w:val="16"/>
          <w:color w:val="auto"/>
        </w:rPr>
      </w:pPr>
    </w:p>
    <w:p>
      <w:pPr>
        <w:jc w:val="both"/>
        <w:ind w:firstLine="464"/>
        <w:spacing w:after="0" w:line="255" w:lineRule="auto"/>
        <w:tabs>
          <w:tab w:leader="none" w:pos="7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Additional Alternative Currencies</w:t>
      </w:r>
      <w:r>
        <w:rPr>
          <w:rFonts w:ascii="Arial" w:cs="Arial" w:eastAsia="Arial" w:hAnsi="Arial"/>
          <w:sz w:val="16"/>
          <w:szCs w:val="16"/>
          <w:color w:val="auto"/>
        </w:rPr>
        <w:t>.</w:t>
      </w:r>
    </w:p>
    <w:p>
      <w:pPr>
        <w:spacing w:after="0" w:line="144" w:lineRule="exact"/>
        <w:rPr>
          <w:sz w:val="20"/>
          <w:szCs w:val="20"/>
          <w:color w:val="auto"/>
        </w:rPr>
      </w:pPr>
    </w:p>
    <w:p>
      <w:pPr>
        <w:jc w:val="both"/>
        <w:ind w:firstLine="464"/>
        <w:spacing w:after="0" w:line="294"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Company may from time to time request that Eurocurrency Rate Loans be made and/or Letters of Credit be issued in a currency other than those specifically listed in the definition of “Alternative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requested currency is a lawful currency (other than Dollars) that is readily available and freely transferable and convertible into Dollars. In the case of any such request with respect to the making of Eurocurrency Rate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88" w:lineRule="exact"/>
        <w:rPr>
          <w:rFonts w:ascii="Arial" w:cs="Arial" w:eastAsia="Arial" w:hAnsi="Arial"/>
          <w:sz w:val="16"/>
          <w:szCs w:val="16"/>
          <w:color w:val="auto"/>
        </w:rPr>
      </w:pPr>
    </w:p>
    <w:p>
      <w:pPr>
        <w:jc w:val="both"/>
        <w:ind w:firstLine="464"/>
        <w:spacing w:after="0" w:line="290" w:lineRule="auto"/>
        <w:tabs>
          <w:tab w:leader="none" w:pos="72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such request shall be made to the Administrative Agent not later than 11:00 a.m., fifteen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Lender thereof; and in the case of any such request pertaining to Letters of Credit, the Administrative Agent shall promptly notify the L/C Issuer thereof. Each Lender (in the case of any such request pertaining to Eurocurrency Rate Loans) or the L/C Issuer (in the case of a request pertaining to Letters of Credit) shall notify the Administrative Agent, not later than 11:00 a.m., seven Business Days after receipt of such request whether it consents, in its sole discretion, to the making of Eurocurrency Rate Loans or the issuance of Letters of Credit, as the case may be, in such requested currency.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4" w:name="page35"/>
    <w:bookmarkEnd w:id="34"/>
    <w:p>
      <w:pPr>
        <w:jc w:val="both"/>
        <w:ind w:firstLine="464"/>
        <w:spacing w:after="0" w:line="289" w:lineRule="auto"/>
        <w:tabs>
          <w:tab w:leader="none" w:pos="696"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failure by a Lender or the L/C Issuer, as the case may be, to respond to such request within the time period specified in the preceding sentence shall be deemed to be a refusal by such Lender or the L/C Issuer, as the case may be, to permit Eurocurrency Rate Loans to be made or Letters of Credit to be issued in such requested currency. If the Administrative Agent and all the Lenders consent to making Eurocurrency Rate Loans in such requested currency, the Administrative Agent shall so notify the Company and such currency shall thereupon be deemed for all purposes to be an Alternative Currency hereunder for purposes of any Borrowings of Eurocurrency Rate Loans; and if the Administrative Agent and the L/C Issuer consent to the issuance of Letters of Credit in such requested currency, the Administrative Agent shall so notify the Company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6"/>
          <w:szCs w:val="16"/>
          <w:u w:val="single" w:color="auto"/>
          <w:color w:val="auto"/>
        </w:rPr>
        <w:t>Section 1.07</w:t>
      </w:r>
      <w:r>
        <w:rPr>
          <w:rFonts w:ascii="Arial" w:cs="Arial" w:eastAsia="Arial" w:hAnsi="Arial"/>
          <w:sz w:val="16"/>
          <w:szCs w:val="16"/>
          <w:color w:val="auto"/>
        </w:rPr>
        <w:t>, the Administrative Agent shall promptly so notify the Company.</w:t>
      </w:r>
    </w:p>
    <w:p>
      <w:pPr>
        <w:spacing w:after="0" w:line="1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u w:val="single" w:color="auto"/>
          <w:color w:val="auto"/>
        </w:rPr>
        <w:t>Change of Currency</w:t>
      </w:r>
      <w:r>
        <w:rPr>
          <w:rFonts w:ascii="Arial" w:cs="Arial" w:eastAsia="Arial" w:hAnsi="Arial"/>
          <w:sz w:val="15"/>
          <w:szCs w:val="15"/>
          <w:color w:val="auto"/>
        </w:rPr>
        <w:t>.</w:t>
      </w:r>
    </w:p>
    <w:p>
      <w:pPr>
        <w:spacing w:after="0" w:line="144" w:lineRule="exact"/>
        <w:rPr>
          <w:sz w:val="20"/>
          <w:szCs w:val="20"/>
          <w:color w:val="auto"/>
        </w:rPr>
      </w:pPr>
    </w:p>
    <w:p>
      <w:pPr>
        <w:jc w:val="both"/>
        <w:ind w:firstLine="464"/>
        <w:spacing w:after="0" w:line="290" w:lineRule="auto"/>
        <w:tabs>
          <w:tab w:leader="none" w:pos="699"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91" w:lineRule="exact"/>
        <w:rPr>
          <w:rFonts w:ascii="Arial" w:cs="Arial" w:eastAsia="Arial" w:hAnsi="Arial"/>
          <w:sz w:val="16"/>
          <w:szCs w:val="16"/>
          <w:color w:val="auto"/>
        </w:rPr>
      </w:pPr>
    </w:p>
    <w:p>
      <w:pPr>
        <w:jc w:val="both"/>
        <w:ind w:firstLine="464"/>
        <w:spacing w:after="0" w:line="259" w:lineRule="auto"/>
        <w:tabs>
          <w:tab w:leader="none" w:pos="727"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13" w:lineRule="exact"/>
        <w:rPr>
          <w:rFonts w:ascii="Arial" w:cs="Arial" w:eastAsia="Arial" w:hAnsi="Arial"/>
          <w:sz w:val="18"/>
          <w:szCs w:val="18"/>
          <w:color w:val="auto"/>
        </w:rPr>
      </w:pPr>
    </w:p>
    <w:p>
      <w:pPr>
        <w:ind w:right="20" w:firstLine="464"/>
        <w:spacing w:after="0" w:line="332" w:lineRule="auto"/>
        <w:tabs>
          <w:tab w:leader="none" w:pos="703"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u w:val="single" w:color="auto"/>
          <w:color w:val="auto"/>
        </w:rPr>
        <w:t>Times of Day</w:t>
      </w:r>
      <w:r>
        <w:rPr>
          <w:rFonts w:ascii="Arial" w:cs="Arial" w:eastAsia="Arial" w:hAnsi="Arial"/>
          <w:sz w:val="16"/>
          <w:szCs w:val="16"/>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all references herein to times of day shall be references to Central time (daylight or standard, as applicable).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COMMITMENTS AND CREDIT EXTENSIONS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Revolving Loans</w:t>
      </w:r>
      <w:r>
        <w:rPr>
          <w:rFonts w:ascii="Arial" w:cs="Arial" w:eastAsia="Arial" w:hAnsi="Arial"/>
          <w:sz w:val="16"/>
          <w:szCs w:val="16"/>
          <w:color w:val="auto"/>
        </w:rPr>
        <w:t>.</w:t>
      </w:r>
    </w:p>
    <w:p>
      <w:pPr>
        <w:spacing w:after="0" w:line="144" w:lineRule="exact"/>
        <w:rPr>
          <w:sz w:val="20"/>
          <w:szCs w:val="20"/>
          <w:color w:val="auto"/>
        </w:rPr>
      </w:pPr>
    </w:p>
    <w:p>
      <w:pPr>
        <w:jc w:val="both"/>
        <w:ind w:firstLine="464"/>
        <w:spacing w:after="0" w:line="287"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Revolving Loans</w:t>
      </w:r>
      <w:r>
        <w:rPr>
          <w:rFonts w:ascii="Arial" w:cs="Arial" w:eastAsia="Arial" w:hAnsi="Arial"/>
          <w:sz w:val="16"/>
          <w:szCs w:val="16"/>
          <w:color w:val="auto"/>
        </w:rPr>
        <w:t>. Subject to the terms and conditions set forth herein, each Lender severally agrees to make loans (each such loan, a “</w:t>
      </w:r>
      <w:r>
        <w:rPr>
          <w:rFonts w:ascii="Arial" w:cs="Arial" w:eastAsia="Arial" w:hAnsi="Arial"/>
          <w:sz w:val="16"/>
          <w:szCs w:val="16"/>
          <w:u w:val="single" w:color="auto"/>
          <w:color w:val="auto"/>
        </w:rPr>
        <w:t>Revolving Loan</w:t>
      </w:r>
      <w:r>
        <w:rPr>
          <w:rFonts w:ascii="Arial" w:cs="Arial" w:eastAsia="Arial" w:hAnsi="Arial"/>
          <w:sz w:val="16"/>
          <w:szCs w:val="16"/>
          <w:color w:val="auto"/>
        </w:rPr>
        <w:t xml:space="preserve">”) to the Borrowers in Dollars or in one or more Alternative Currencies from time to time on any Business Day during the Availability Period in an aggregate amount not to exceed at any time outstanding the amount of such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Borrowing of Revolving Loans, (i) the Total Revolving Outstandings shall not exceed the Aggregate Revolving Commitments, (ii) the aggregate Outstanding Amount of the Revolving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Pro Rata Share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Pro Rata Share of the Outstanding Amount of all Swing Line Loans shall not exceed such Lender’s Revolving Commitment, and (iii) the aggregate Outstanding Amount of all Revolving Loans and L/C Obligations denominated in Alternative Currencies shall not exceed the Alternative Currency Sublimit. Within the limits of each Lender’s Revolving Commitment, and subject to the other terms and conditions hereof, the Borrowers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Revolving Loans may be Base Rate Loans or Eurocurrency Rate Loans, as further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all Loans to Brady Finance Luxembourg that are denominated in Dollars shall be Eurocurrency Rate Loans.</w:t>
      </w:r>
    </w:p>
    <w:p>
      <w:pPr>
        <w:spacing w:after="0" w:line="95" w:lineRule="exact"/>
        <w:rPr>
          <w:rFonts w:ascii="Arial" w:cs="Arial" w:eastAsia="Arial" w:hAnsi="Arial"/>
          <w:sz w:val="16"/>
          <w:szCs w:val="16"/>
          <w:color w:val="auto"/>
        </w:rPr>
      </w:pPr>
    </w:p>
    <w:p>
      <w:pPr>
        <w:jc w:val="both"/>
        <w:ind w:firstLine="464"/>
        <w:spacing w:after="0" w:line="298"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Increase of Aggregate Revolving Commitments</w:t>
      </w:r>
      <w:r>
        <w:rPr>
          <w:rFonts w:ascii="Arial" w:cs="Arial" w:eastAsia="Arial" w:hAnsi="Arial"/>
          <w:sz w:val="16"/>
          <w:szCs w:val="16"/>
          <w:color w:val="auto"/>
        </w:rPr>
        <w:t xml:space="preserve">. The Company may at any time and from time to time, upon prior written notice by the Company to the Administrative Agent, increase the Aggregate Revolving Commitments (but not the Alternative Currency Sublimit, Letter of Credit Sublimit or Swing Line Sublimit) by up to ONE HUNDRED FIFTY MILLION DOLLARS ($150,000,000) with additional Revolving Commitments from any existing Lender or new Revolving Commitments from any other Person selected by the Company that would qualify as an Eligible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85" w:lineRule="exact"/>
        <w:rPr>
          <w:rFonts w:ascii="Arial" w:cs="Arial" w:eastAsia="Arial" w:hAnsi="Arial"/>
          <w:sz w:val="16"/>
          <w:szCs w:val="16"/>
          <w:color w:val="auto"/>
        </w:rPr>
      </w:pPr>
    </w:p>
    <w:p>
      <w:pPr>
        <w:ind w:left="1120" w:hanging="217"/>
        <w:spacing w:after="0"/>
        <w:tabs>
          <w:tab w:leader="none" w:pos="11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such increase shall be in a minimum principal amount of $5,000,000 and in integral multiples of $5,000,000 in excess thereof;</w:t>
      </w:r>
    </w:p>
    <w:p>
      <w:pPr>
        <w:spacing w:after="0" w:line="167" w:lineRule="exact"/>
        <w:rPr>
          <w:rFonts w:ascii="Arial" w:cs="Arial" w:eastAsia="Arial" w:hAnsi="Arial"/>
          <w:sz w:val="16"/>
          <w:szCs w:val="16"/>
          <w:color w:val="auto"/>
        </w:rPr>
      </w:pPr>
    </w:p>
    <w:p>
      <w:pPr>
        <w:ind w:left="1160" w:hanging="257"/>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 Default shall be continuing at the time of any such increase;</w:t>
      </w:r>
    </w:p>
    <w:p>
      <w:pPr>
        <w:spacing w:after="0" w:line="144" w:lineRule="exact"/>
        <w:rPr>
          <w:rFonts w:ascii="Arial" w:cs="Arial" w:eastAsia="Arial" w:hAnsi="Arial"/>
          <w:sz w:val="18"/>
          <w:szCs w:val="18"/>
          <w:color w:val="auto"/>
        </w:rPr>
      </w:pPr>
    </w:p>
    <w:p>
      <w:pPr>
        <w:ind w:left="460" w:firstLine="443"/>
        <w:spacing w:after="0" w:line="268" w:lineRule="auto"/>
        <w:tabs>
          <w:tab w:leader="none" w:pos="12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 existing Lender shall be under any obligation to increase its Revolving Commitment and any such decision whether to increase its Revolving Commitment shall be in such Lender’s sole and absolute discretion;</w:t>
      </w:r>
    </w:p>
    <w:p>
      <w:pPr>
        <w:spacing w:after="0" w:line="104" w:lineRule="exact"/>
        <w:rPr>
          <w:rFonts w:ascii="Arial" w:cs="Arial" w:eastAsia="Arial" w:hAnsi="Arial"/>
          <w:sz w:val="18"/>
          <w:szCs w:val="18"/>
          <w:color w:val="auto"/>
        </w:rPr>
      </w:pPr>
    </w:p>
    <w:p>
      <w:pPr>
        <w:ind w:left="1200" w:hanging="297"/>
        <w:spacing w:after="0"/>
        <w:tabs>
          <w:tab w:leader="none" w:pos="12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new Lender shall join this Agreement by executing such joinder documents reasonably required by the Administrative Agent;</w:t>
      </w:r>
    </w:p>
    <w:p>
      <w:pPr>
        <w:spacing w:after="0" w:line="167" w:lineRule="exact"/>
        <w:rPr>
          <w:rFonts w:ascii="Arial" w:cs="Arial" w:eastAsia="Arial" w:hAnsi="Arial"/>
          <w:sz w:val="16"/>
          <w:szCs w:val="16"/>
          <w:color w:val="auto"/>
        </w:rPr>
      </w:pPr>
    </w:p>
    <w:p>
      <w:pPr>
        <w:jc w:val="both"/>
        <w:ind w:left="460" w:right="20" w:firstLine="443"/>
        <w:spacing w:after="0" w:line="259" w:lineRule="auto"/>
        <w:tabs>
          <w:tab w:leader="none" w:pos="11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Administrative Agent shall have received all documents (including resolutions of the board of directors of the Loan Parties and opinions of counsel to the Loan Parties) it may reasonably request relating to the corporate or other necessary authority for such increase, and any other matters relevant thereto, all in form and substance reasonably satisfactory to the Administrative Agent; and</w:t>
      </w:r>
    </w:p>
    <w:p>
      <w:pPr>
        <w:spacing w:after="0" w:line="113" w:lineRule="exact"/>
        <w:rPr>
          <w:rFonts w:ascii="Arial" w:cs="Arial" w:eastAsia="Arial" w:hAnsi="Arial"/>
          <w:sz w:val="18"/>
          <w:szCs w:val="18"/>
          <w:color w:val="auto"/>
        </w:rPr>
      </w:pPr>
    </w:p>
    <w:p>
      <w:pPr>
        <w:ind w:left="460" w:firstLine="443"/>
        <w:spacing w:after="0" w:line="268" w:lineRule="auto"/>
        <w:tabs>
          <w:tab w:leader="none" w:pos="12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any Loans are outstanding at the time of the increase in the Aggregate Revolving Commitments, the Borrowers shall, if applicable due to a nonratable increase in the Commitments, prepay one or more existing Loans (such prepayment to be subject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6" w:name="page37"/>
    <w:bookmarkEnd w:id="36"/>
    <w:p>
      <w:pPr>
        <w:ind w:left="46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3.05</w:t>
      </w:r>
      <w:r>
        <w:rPr>
          <w:rFonts w:ascii="Arial" w:cs="Arial" w:eastAsia="Arial" w:hAnsi="Arial"/>
          <w:sz w:val="18"/>
          <w:szCs w:val="18"/>
          <w:color w:val="auto"/>
        </w:rPr>
        <w:t>) in an amount necessary such that after giving effect to the increase in the Aggregate Revolving Commitments, each Lender will hold its Pro Rata Share (based on its Pro Rata Share of the increased Aggregate Revolving Commitments) of outstanding Loans.</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Borrowings, Conversions and Continuations of Loans</w:t>
      </w:r>
      <w:r>
        <w:rPr>
          <w:rFonts w:ascii="Arial" w:cs="Arial" w:eastAsia="Arial" w:hAnsi="Arial"/>
          <w:sz w:val="16"/>
          <w:szCs w:val="16"/>
          <w:color w:val="auto"/>
        </w:rPr>
        <w:t>.</w:t>
      </w:r>
    </w:p>
    <w:p>
      <w:pPr>
        <w:spacing w:after="0" w:line="144" w:lineRule="exact"/>
        <w:rPr>
          <w:sz w:val="20"/>
          <w:szCs w:val="20"/>
          <w:color w:val="auto"/>
        </w:rPr>
      </w:pPr>
    </w:p>
    <w:p>
      <w:pPr>
        <w:jc w:val="both"/>
        <w:ind w:firstLine="464"/>
        <w:spacing w:after="0" w:line="284" w:lineRule="auto"/>
        <w:tabs>
          <w:tab w:leader="none" w:pos="7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Each Borrowing, each conversion of Loans from one Type to the other, and each continuation of Eurocurrency Rate Loans shall be made upon the applicable Borrower’s irrevocable notice to the Administrative Agent, which may be given by telephone. Each such notice must be received by the Administrative Agent not later than 11:00 a.m. (i) three Business Days prior to the requested date of any Borrowing of, conversion to or continuation of, Eurocurrency Rate Loans denominated in Dollars or of any conversion of Eurocurrency Rate Loans denominated in Dollars to Base Rate Loans, (ii) four Business Days (or five Business Days in the case of a Special Notice Currency) prior to the requested date of any Borrowing or continuation of Eurocurrency Rate Loans denominated in Alternative Currencies and (iii) on the requested date of any Borrowing of Base Rate Loans. Each telephonic notice by any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Loan Notice, appropriately completed and signed by a Responsible Officer of such Borrower. Each Borrowing of, conversion to or continuation of Eurocurrency Rate Loans shall be in a principal amount of $5,000,000 or a whole multiple of $1,000,000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xml:space="preserve">, each Borrowing of or conversion to Base Rate Loans shall be in a principal amount of $1,000,000 or a whole multiple of $500,000 in excess thereof. Each Loan Notice (whether telephonic or written) shall specify (i) whether such Borrower is requesting a Borrowing, a conversion of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the currency of the Loans to be borrowed. If the applicable Borrower fails to specify a currency in a Loan Notice requesting a Borrowing, then the Loans so requested shall be made in Dollars. If the applicable Borrower fails to specify a Type of a Loan in a Loan Notice or if such Borrower fails to give a timely notice requesting a conversion or continuation, then the applicable Loans shall be made as, or converted to,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failure to timely request a continuation of Loans denominated in an Alternative Currency, such Loans shall be continued as Eurocurrency Rate Loans in their original currency with an Interest Period of one month. Any automatic conversion to Base Rate Loans shall be effective as of the last day of the Interest Period then in effect with respect to the applicable Eurocurrency Rate Loans. If a Borrower requests a Borrowing of, conversion to, or continuation of Eurocurrency Rate Loans in any Loan Notice, but fails to specify an Interest Period, it will be deemed to have specified an Interest Period of one month. No Loan may be converted into or continued as a Loan denominated in a different currency, but instead must be prepaid in the original currency of such Loan and reborrowed in the other currency.</w:t>
      </w:r>
    </w:p>
    <w:p>
      <w:pPr>
        <w:spacing w:after="0" w:line="99" w:lineRule="exact"/>
        <w:rPr>
          <w:rFonts w:ascii="Arial" w:cs="Arial" w:eastAsia="Arial" w:hAnsi="Arial"/>
          <w:sz w:val="16"/>
          <w:szCs w:val="16"/>
          <w:color w:val="auto"/>
        </w:rPr>
      </w:pPr>
    </w:p>
    <w:p>
      <w:pPr>
        <w:jc w:val="both"/>
        <w:ind w:firstLine="464"/>
        <w:spacing w:after="0" w:line="290" w:lineRule="auto"/>
        <w:tabs>
          <w:tab w:leader="none" w:pos="7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Following receipt of a Loan Notice, the Administrative Agent shall promptly notify each Lender of the amount (and currency) of its Pro Rata Share of the applicable Loans, and if no timely notice of a conversion or continuation is provided by the applicable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an Alternative Currency, in each case on the Business Day specified in the applicable Loan Notice. Upon satisfaction of the applicable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if such Borrowing is the initial Credit Extension,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7" w:name="page38"/>
    <w:bookmarkEnd w:id="37"/>
    <w:p>
      <w:pPr>
        <w:jc w:val="both"/>
        <w:spacing w:after="0" w:line="289"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5.01</w:t>
      </w:r>
      <w:r>
        <w:rPr>
          <w:rFonts w:ascii="Arial" w:cs="Arial" w:eastAsia="Arial" w:hAnsi="Arial"/>
          <w:sz w:val="16"/>
          <w:szCs w:val="16"/>
          <w:color w:val="auto"/>
        </w:rPr>
        <w:t xml:space="preserve">), the Administrative Agent shall make all funds so received available to the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the Loan Notice with respect to a Borrowing of Revolving Loans denominated in Dollars is given by a Borrower, there are L/C Borrowings outstanding, then the proceeds of such Borrowing, first,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shall be made available to such Borrower as provided above. Each Lender, at its option, may make any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applicable Borrower to repay such Loan in accordance with the terms of this Agreement.</w:t>
      </w:r>
    </w:p>
    <w:p>
      <w:pPr>
        <w:spacing w:after="0" w:line="91" w:lineRule="exact"/>
        <w:rPr>
          <w:sz w:val="20"/>
          <w:szCs w:val="20"/>
          <w:color w:val="auto"/>
        </w:rPr>
      </w:pPr>
    </w:p>
    <w:p>
      <w:pPr>
        <w:jc w:val="both"/>
        <w:ind w:firstLine="464"/>
        <w:spacing w:after="0" w:line="294" w:lineRule="auto"/>
        <w:tabs>
          <w:tab w:leader="none" w:pos="7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otherwise provided herein, a Eurocurrency Rate Loan may be continued or converted only on the last day of the Interest Period for such Eurocurrency Rate Loan. During the existence of a Default, no Loans may be requested as, converted to or continued as Eurocurrency Rate Loans (whether in Dollars or an Alternative Currency) without the consent of the Required Lenders, and the Required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88" w:lineRule="exact"/>
        <w:rPr>
          <w:rFonts w:ascii="Arial" w:cs="Arial" w:eastAsia="Arial" w:hAnsi="Arial"/>
          <w:sz w:val="16"/>
          <w:szCs w:val="16"/>
          <w:color w:val="auto"/>
        </w:rPr>
      </w:pPr>
    </w:p>
    <w:p>
      <w:pPr>
        <w:jc w:val="both"/>
        <w:ind w:firstLine="464"/>
        <w:spacing w:after="0" w:line="306" w:lineRule="auto"/>
        <w:tabs>
          <w:tab w:leader="none" w:pos="71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Borrowers and the Lenders of the interest rate applicable to any Interest Period for Eurocurrency Rate Loans upon determination of such interest rate. At any time that Base Rate Loans are outstanding, the Administrative Agent shall notify the Borrowers and the Lenders of any change in Bank of America’s prime rate used in determining the Base Rate promptly following the public announcement of such change.</w:t>
      </w:r>
    </w:p>
    <w:p>
      <w:pPr>
        <w:spacing w:after="0" w:line="79" w:lineRule="exact"/>
        <w:rPr>
          <w:rFonts w:ascii="Arial" w:cs="Arial" w:eastAsia="Arial" w:hAnsi="Arial"/>
          <w:sz w:val="16"/>
          <w:szCs w:val="16"/>
          <w:color w:val="auto"/>
        </w:rPr>
      </w:pPr>
    </w:p>
    <w:p>
      <w:pPr>
        <w:ind w:right="20" w:firstLine="464"/>
        <w:spacing w:after="0" w:line="33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After giving effect to all Borrowings, all conversions of Loans from one Type to the other, and all continuations of Loans as the same Type, there shall not be more than 12 Interest Periods in effect with respect to Revolving Loans (no more than 4 of such Interest Periods may be for 7 days).</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144" w:lineRule="exact"/>
        <w:rPr>
          <w:sz w:val="20"/>
          <w:szCs w:val="20"/>
          <w:color w:val="auto"/>
        </w:rPr>
      </w:pPr>
    </w:p>
    <w:p>
      <w:pPr>
        <w:ind w:left="700" w:hanging="23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460" w:firstLine="443"/>
        <w:spacing w:after="0" w:line="286" w:lineRule="auto"/>
        <w:tabs>
          <w:tab w:leader="none" w:pos="1122"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the L/C Issuer agrees,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the Letter of Credit Expiration Date, to issue Letters of Credit denominated in Dollars or in one or more Alternative Currencies for the account of the Borrowers or any of their Subsidiaries, and to amend or extend Letters of Credit previously issued by it, in accordance with subsection (b) below, and (2) to honor drawings under the Letters of Credit; and (B) the Lenders severally agree to participate in Letters of Credit issued for the account of the Borrowers or their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(w) the Total Revolving Outstandings shall not exceed the Aggregate Revolving Commitments, (x) the aggregate Outstanding Amount of the Revolving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Pro Rata Share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Pro Rata Share of the Outstanding Amount of all Swing Line Loans shall not exceed such Lender’s Revolving Commitment, (y) the Outstanding Amount of the L/C Obligations shall not exceed the Letter of Credit Sublimit or (z) the aggregate Outstanding Amount of all L/C Obligations and all Loans, in each case, denominated in Alternative Currencies shall not exceed the Alternative Currency Sublimit. Each request by a Borrower for the issuance or amendment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8" w:name="page39"/>
    <w:bookmarkEnd w:id="38"/>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89" w:lineRule="exact"/>
        <w:rPr>
          <w:sz w:val="20"/>
          <w:szCs w:val="20"/>
          <w:color w:val="auto"/>
        </w:rPr>
      </w:pPr>
    </w:p>
    <w:p>
      <w:pPr>
        <w:ind w:left="700" w:hanging="25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144" w:lineRule="exact"/>
        <w:rPr>
          <w:rFonts w:ascii="Arial" w:cs="Arial" w:eastAsia="Arial" w:hAnsi="Arial"/>
          <w:sz w:val="18"/>
          <w:szCs w:val="18"/>
          <w:color w:val="auto"/>
        </w:rPr>
      </w:pPr>
    </w:p>
    <w:p>
      <w:pPr>
        <w:ind w:left="460" w:right="20" w:firstLine="421"/>
        <w:spacing w:after="0" w:line="268" w:lineRule="auto"/>
        <w:tabs>
          <w:tab w:leader="none" w:pos="11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 months after the date of issuance or last extension, unless the Required Lenders have approved such expiry date; or</w:t>
      </w:r>
    </w:p>
    <w:p>
      <w:pPr>
        <w:spacing w:after="0" w:line="104" w:lineRule="exact"/>
        <w:rPr>
          <w:rFonts w:ascii="Arial" w:cs="Arial" w:eastAsia="Arial" w:hAnsi="Arial"/>
          <w:sz w:val="18"/>
          <w:szCs w:val="18"/>
          <w:color w:val="auto"/>
        </w:rPr>
      </w:pPr>
    </w:p>
    <w:p>
      <w:pPr>
        <w:jc w:val="both"/>
        <w:ind w:left="460" w:firstLine="421"/>
        <w:spacing w:after="0" w:line="294" w:lineRule="auto"/>
        <w:tabs>
          <w:tab w:leader="none" w:pos="11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the expiry date of such requested Letter of Credit would occur after the Letter of Credit Expiration Date, unless all the Lenders have approved such expiry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agreement of the Borrowers set forth below in this clause (B), the L/C Issuer may issue Letters of Credit with an expiry date of up to six months after the Letter of Credit Expiration Date (but L/C Issuer shall not have an obligation to issue such Letter of Credit). Each Borrower hereby agrees that if any Letter of Credit is issued pursuant to foregoing proviso, it shall Cash Collateralize such Letter of Credit on the date such Letter of Credit is issued in amount equal to the Minimum Collateral Amount.</w:t>
      </w:r>
    </w:p>
    <w:p>
      <w:pPr>
        <w:spacing w:after="0" w:line="88" w:lineRule="exact"/>
        <w:rPr>
          <w:rFonts w:ascii="Arial" w:cs="Arial" w:eastAsia="Arial" w:hAnsi="Arial"/>
          <w:sz w:val="16"/>
          <w:szCs w:val="16"/>
          <w:color w:val="auto"/>
        </w:rPr>
      </w:pPr>
    </w:p>
    <w:p>
      <w:pPr>
        <w:ind w:left="740" w:hanging="29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144" w:lineRule="exact"/>
        <w:rPr>
          <w:rFonts w:ascii="Arial" w:cs="Arial" w:eastAsia="Arial" w:hAnsi="Arial"/>
          <w:sz w:val="18"/>
          <w:szCs w:val="18"/>
          <w:color w:val="auto"/>
        </w:rPr>
      </w:pPr>
    </w:p>
    <w:p>
      <w:pPr>
        <w:jc w:val="both"/>
        <w:ind w:left="460" w:firstLine="421"/>
        <w:spacing w:after="0" w:line="253" w:lineRule="auto"/>
        <w:tabs>
          <w:tab w:leader="none" w:pos="117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20" w:lineRule="exact"/>
        <w:rPr>
          <w:rFonts w:ascii="Arial" w:cs="Arial" w:eastAsia="Arial" w:hAnsi="Arial"/>
          <w:sz w:val="18"/>
          <w:szCs w:val="18"/>
          <w:color w:val="auto"/>
        </w:rPr>
      </w:pPr>
    </w:p>
    <w:p>
      <w:pPr>
        <w:ind w:left="1160" w:hanging="279"/>
        <w:spacing w:after="0"/>
        <w:tabs>
          <w:tab w:leader="none" w:pos="1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the L/C Issuer applicable to letters of credit generally;</w:t>
      </w:r>
    </w:p>
    <w:p>
      <w:pPr>
        <w:spacing w:after="0" w:line="167" w:lineRule="exact"/>
        <w:rPr>
          <w:rFonts w:ascii="Arial" w:cs="Arial" w:eastAsia="Arial" w:hAnsi="Arial"/>
          <w:sz w:val="16"/>
          <w:szCs w:val="16"/>
          <w:color w:val="auto"/>
        </w:rPr>
      </w:pPr>
    </w:p>
    <w:p>
      <w:pPr>
        <w:ind w:left="460" w:firstLine="421"/>
        <w:spacing w:after="0" w:line="268" w:lineRule="auto"/>
        <w:tabs>
          <w:tab w:leader="none" w:pos="11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such Letter of Credit is in an initial stated amount less than $100,000, in the case of a commercial Letter of Credit, or $500,000, in the case of a standby Letter of Credit;</w:t>
      </w:r>
    </w:p>
    <w:p>
      <w:pPr>
        <w:spacing w:after="0" w:line="104" w:lineRule="exact"/>
        <w:rPr>
          <w:rFonts w:ascii="Arial" w:cs="Arial" w:eastAsia="Arial" w:hAnsi="Arial"/>
          <w:sz w:val="18"/>
          <w:szCs w:val="18"/>
          <w:color w:val="auto"/>
        </w:rPr>
      </w:pPr>
    </w:p>
    <w:p>
      <w:pPr>
        <w:ind w:left="1160" w:hanging="279"/>
        <w:spacing w:after="0"/>
        <w:tabs>
          <w:tab w:leader="none" w:pos="1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L/C Issuer does not as of the issuance date of such requested Letter of Credit issue Letters of Credit in the requested currency;</w:t>
      </w:r>
    </w:p>
    <w:p>
      <w:pPr>
        <w:spacing w:after="0" w:line="167" w:lineRule="exact"/>
        <w:rPr>
          <w:rFonts w:ascii="Arial" w:cs="Arial" w:eastAsia="Arial" w:hAnsi="Arial"/>
          <w:sz w:val="16"/>
          <w:szCs w:val="16"/>
          <w:color w:val="auto"/>
        </w:rPr>
      </w:pPr>
    </w:p>
    <w:p>
      <w:pPr>
        <w:ind w:left="1140" w:hanging="259"/>
        <w:spacing w:after="0"/>
        <w:tabs>
          <w:tab w:leader="none" w:pos="11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 thereunder; or</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80" w:right="239" w:bottom="1440" w:gutter="0" w:footer="0" w:header="0"/>
        </w:sectPr>
      </w:pPr>
    </w:p>
    <w:bookmarkStart w:id="39" w:name="page40"/>
    <w:bookmarkEnd w:id="39"/>
    <w:p>
      <w:pPr>
        <w:jc w:val="both"/>
        <w:ind w:left="460" w:firstLine="421"/>
        <w:spacing w:after="0" w:line="255" w:lineRule="auto"/>
        <w:tabs>
          <w:tab w:leader="none" w:pos="1168" w:val="left"/>
        </w:tabs>
        <w:numPr>
          <w:ilvl w:val="2"/>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Lender is at that time a Defaulting Lender, unless the L/C Issuer has entered into arrangements, including the delivery of Cash Collateral, satisfactory to the L/C Issuer (in its sole discretion) with the applicable Borrower or such Defaulting Lender to eliminate the L/C Issuer’s actual or potential Fronting Exposure (after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15" w:lineRule="exact"/>
        <w:rPr>
          <w:rFonts w:ascii="Arial" w:cs="Arial" w:eastAsia="Arial" w:hAnsi="Arial"/>
          <w:sz w:val="18"/>
          <w:szCs w:val="18"/>
          <w:color w:val="auto"/>
        </w:rPr>
      </w:pPr>
    </w:p>
    <w:p>
      <w:pPr>
        <w:ind w:firstLine="443"/>
        <w:spacing w:after="0" w:line="268" w:lineRule="auto"/>
        <w:tabs>
          <w:tab w:leader="none" w:pos="7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w:t>
      </w:r>
    </w:p>
    <w:p>
      <w:pPr>
        <w:spacing w:after="0" w:line="104" w:lineRule="exact"/>
        <w:rPr>
          <w:rFonts w:ascii="Arial" w:cs="Arial" w:eastAsia="Arial" w:hAnsi="Arial"/>
          <w:sz w:val="18"/>
          <w:szCs w:val="18"/>
          <w:color w:val="auto"/>
        </w:rPr>
      </w:pPr>
    </w:p>
    <w:p>
      <w:pPr>
        <w:jc w:val="both"/>
        <w:ind w:firstLine="443"/>
        <w:spacing w:after="0" w:line="259" w:lineRule="auto"/>
        <w:tabs>
          <w:tab w:leader="none" w:pos="6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13" w:lineRule="exact"/>
        <w:rPr>
          <w:rFonts w:ascii="Arial" w:cs="Arial" w:eastAsia="Arial" w:hAnsi="Arial"/>
          <w:sz w:val="18"/>
          <w:szCs w:val="18"/>
          <w:color w:val="auto"/>
        </w:rPr>
      </w:pPr>
    </w:p>
    <w:p>
      <w:pPr>
        <w:jc w:val="both"/>
        <w:ind w:firstLine="443"/>
        <w:spacing w:after="0" w:line="283" w:lineRule="auto"/>
        <w:tabs>
          <w:tab w:leader="none" w:pos="7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included the L/C Issuer with respect to such acts or omissions, and</w:t>
      </w:r>
    </w:p>
    <w:p>
      <w:pPr>
        <w:spacing w:after="0" w:line="2" w:lineRule="exact"/>
        <w:rPr>
          <w:rFonts w:ascii="Arial" w:cs="Arial" w:eastAsia="Arial" w:hAnsi="Arial"/>
          <w:sz w:val="16"/>
          <w:szCs w:val="16"/>
          <w:color w:val="auto"/>
        </w:rPr>
      </w:pPr>
    </w:p>
    <w:p>
      <w:pPr>
        <w:ind w:left="280" w:hanging="276"/>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additionally provided herein with respect to the L/C Issuer.</w:t>
      </w:r>
    </w:p>
    <w:p>
      <w:pPr>
        <w:spacing w:after="0" w:line="138" w:lineRule="exact"/>
        <w:rPr>
          <w:sz w:val="20"/>
          <w:szCs w:val="20"/>
          <w:color w:val="auto"/>
        </w:rPr>
      </w:pPr>
    </w:p>
    <w:p>
      <w:pPr>
        <w:ind w:left="260" w:hanging="256"/>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firstLine="443"/>
        <w:spacing w:after="0" w:line="282" w:lineRule="auto"/>
        <w:tabs>
          <w:tab w:leader="none" w:pos="663"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applicable Borrower delivered to the L/C Issuer (with a copy to the Administrative Agent) in the form of a Letter of Credit Application, appropriately completed and signed by a Responsible Officer of such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(A) not later than 11:00 a.m. at least two Business Days prior to the proposed issuance date or date of amendment, as the case may be, of any Letter of Credit denominated in Dollars, and (B) not later than 11:00 a.m. at least ten Business Days prior to the proposed issuance date or date of amendment, as the case may be, of any Letter of Credit denominated in an Alternative Currency; or in each case such later date and time as the Administrative Agent and the L/C Issuer may agree in a particular instance in their sole discretion.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 such other</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700" w:top="280" w:right="239" w:bottom="1440" w:gutter="0" w:footer="0" w:header="0"/>
        </w:sectPr>
      </w:pPr>
    </w:p>
    <w:bookmarkStart w:id="40" w:name="page41"/>
    <w:bookmarkEnd w:id="40"/>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matters as the L/C Issuer may reasonably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89" w:lineRule="exact"/>
        <w:rPr>
          <w:sz w:val="20"/>
          <w:szCs w:val="20"/>
          <w:color w:val="auto"/>
        </w:rPr>
      </w:pPr>
    </w:p>
    <w:p>
      <w:pPr>
        <w:jc w:val="both"/>
        <w:ind w:firstLine="443"/>
        <w:spacing w:after="0" w:line="288" w:lineRule="auto"/>
        <w:tabs>
          <w:tab w:leader="none" w:pos="69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applicable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not be satisfied, then, subject to the terms and conditions hereof, the L/C Issuer shall, on the requested date, issue a Letter of Credit for the account of the applicable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Share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Letter of Credit.</w:t>
      </w:r>
    </w:p>
    <w:p>
      <w:pPr>
        <w:spacing w:after="0" w:line="92" w:lineRule="exact"/>
        <w:rPr>
          <w:rFonts w:ascii="Arial" w:cs="Arial" w:eastAsia="Arial" w:hAnsi="Arial"/>
          <w:sz w:val="16"/>
          <w:szCs w:val="16"/>
          <w:color w:val="auto"/>
        </w:rPr>
      </w:pPr>
    </w:p>
    <w:p>
      <w:pPr>
        <w:jc w:val="both"/>
        <w:ind w:firstLine="443"/>
        <w:spacing w:after="0" w:line="286" w:lineRule="auto"/>
        <w:tabs>
          <w:tab w:leader="none" w:pos="7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 Borrower so requests in any applicable Letter of Credit Application, the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is not then satisfied, and in each case directing the L/C Issuer not to permit such extension.</w:t>
      </w:r>
    </w:p>
    <w:p>
      <w:pPr>
        <w:spacing w:after="0" w:line="93" w:lineRule="exact"/>
        <w:rPr>
          <w:rFonts w:ascii="Arial" w:cs="Arial" w:eastAsia="Arial" w:hAnsi="Arial"/>
          <w:sz w:val="16"/>
          <w:szCs w:val="16"/>
          <w:color w:val="auto"/>
        </w:rPr>
      </w:pPr>
    </w:p>
    <w:p>
      <w:pPr>
        <w:jc w:val="both"/>
        <w:ind w:firstLine="443"/>
        <w:spacing w:after="0" w:line="259" w:lineRule="auto"/>
        <w:tabs>
          <w:tab w:leader="none" w:pos="7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700" w:top="280" w:right="239" w:bottom="1440" w:gutter="0" w:footer="0" w:header="0"/>
        </w:sectPr>
      </w:pPr>
    </w:p>
    <w:bookmarkStart w:id="41" w:name="page42"/>
    <w:bookmarkEnd w:id="41"/>
    <w:p>
      <w:pPr>
        <w:ind w:left="240" w:hanging="23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Drawings and Reimbursements; Funding of Participations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firstLine="443"/>
        <w:spacing w:after="0" w:line="284" w:lineRule="auto"/>
        <w:tabs>
          <w:tab w:leader="none" w:pos="663" w:val="left"/>
        </w:tabs>
        <w:numPr>
          <w:ilvl w:val="1"/>
          <w:numId w:val="28"/>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drawing under such Letter of Credit, the L/C Issuer shall notify the applicable Borrower and the Administrative Agent thereof. In the case of a Letter of Credit denominated in an Alternative Currency, the applicable Borrower shall reimburse the L/C Issuer in such Alternative Currency, unless (A) the L/C Issuer (at its option) shall have specified in such notice that it will require reimbursement in Dollars, or (B) in the absence of any such requirement for reimbursement in Dollars, the Borrower shall have notified the L/C Issuer promptly following receipt of the notice of drawing that such Borrower will reimburse the L/C Issuer in Dollars. In the case of any such reimbursement in Dollars of a drawing under a Letter of Credit denominated in an Alternative Currency, the L/C Issuer shall notify the applicable Borrower of the Dollar Equivalent of the amount of the drawing promptly following the determination thereof. Not later than 11:00 a.m.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applicable Borrower shall reimburse the L/C Issuer through the Administrative Agent in an amount equal to the amount of such drawing and in the applicable currency. If the applicable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Pro Rata Share thereof. In such event, the applicable Borrower shall be deemed to have requested a Borrowing of Revolving Loans that are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unutilized portion of the Aggregate Revolving Commitments and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(other than the delivery of a Loan Notice).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(including by facsimile or e-mail if permitted by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104" w:lineRule="exact"/>
        <w:rPr>
          <w:rFonts w:ascii="Arial" w:cs="Arial" w:eastAsia="Arial" w:hAnsi="Arial"/>
          <w:sz w:val="16"/>
          <w:szCs w:val="16"/>
          <w:color w:val="auto"/>
        </w:rPr>
      </w:pPr>
    </w:p>
    <w:p>
      <w:pPr>
        <w:jc w:val="both"/>
        <w:ind w:firstLine="443"/>
        <w:spacing w:after="0" w:line="254" w:lineRule="auto"/>
        <w:tabs>
          <w:tab w:leader="none" w:pos="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Each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(and the Administrative Agent may apply Cash Collateral provided for this purpose) to the Administrative Agent for the account of the L/C Issuer, in Dollars, at the Administrative Agent’s Office for Dollar-denominated payments in an amount equal to its Pro Rata Share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Lender that so makes funds available shall be deemed to have made a Revolving Loan that is a Base Rate Loan to the applicable Borrower in such amount. The Administrative Agent shall remit the funds so received to the L/C Issuer in Dollars.</w:t>
      </w:r>
    </w:p>
    <w:p>
      <w:pPr>
        <w:spacing w:after="0" w:line="117" w:lineRule="exact"/>
        <w:rPr>
          <w:rFonts w:ascii="Arial" w:cs="Arial" w:eastAsia="Arial" w:hAnsi="Arial"/>
          <w:sz w:val="18"/>
          <w:szCs w:val="18"/>
          <w:color w:val="auto"/>
        </w:rPr>
      </w:pPr>
    </w:p>
    <w:p>
      <w:pPr>
        <w:jc w:val="both"/>
        <w:ind w:firstLine="443"/>
        <w:spacing w:after="0" w:line="291" w:lineRule="auto"/>
        <w:tabs>
          <w:tab w:leader="none" w:pos="747"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Borrowing of Revolving Loans that are Base Rate Loans because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cannot be satisfied or for any other reason, the applicable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700" w:top="280" w:right="239" w:bottom="1440" w:gutter="0" w:footer="0" w:header="0"/>
        </w:sectPr>
      </w:pPr>
    </w:p>
    <w:bookmarkStart w:id="42" w:name="page43"/>
    <w:bookmarkEnd w:id="42"/>
    <w:p>
      <w:pPr>
        <w:ind w:firstLine="443"/>
        <w:spacing w:after="0" w:line="332" w:lineRule="auto"/>
        <w:tabs>
          <w:tab w:leader="none" w:pos="741" w:val="left"/>
        </w:tabs>
        <w:numPr>
          <w:ilvl w:val="1"/>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Until each Lender funds its Revolving Loan or L/C Advance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to reimburse the L/C Issuer for any amount drawn under any Letter of Credit, interest in respect of such Lender’s Pro Rata Share of such amount shall be solely for the account of the L/C Issuer.</w:t>
      </w:r>
    </w:p>
    <w:p>
      <w:pPr>
        <w:spacing w:after="0" w:line="58" w:lineRule="exact"/>
        <w:rPr>
          <w:rFonts w:ascii="Arial" w:cs="Arial" w:eastAsia="Arial" w:hAnsi="Arial"/>
          <w:sz w:val="16"/>
          <w:szCs w:val="16"/>
          <w:color w:val="auto"/>
        </w:rPr>
      </w:pPr>
    </w:p>
    <w:p>
      <w:pPr>
        <w:jc w:val="both"/>
        <w:ind w:firstLine="443"/>
        <w:spacing w:after="0" w:line="289" w:lineRule="auto"/>
        <w:tabs>
          <w:tab w:leader="none" w:pos="694"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Each Lender’s obligation to make Revolving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L/C Issuer, the Borrowers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Revolving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(other than delivery by the applicable Borrower of a Loan Notice). No such making of an L/C Advance shall relieve or otherwise impair the obligation of any Borrower to reimburse the L/C Issuer for the amount of any payment made by the L/C Issuer under any Letter of Credit, together with interest as provided herein.</w:t>
      </w:r>
    </w:p>
    <w:p>
      <w:pPr>
        <w:spacing w:after="0" w:line="91" w:lineRule="exact"/>
        <w:rPr>
          <w:rFonts w:ascii="Arial" w:cs="Arial" w:eastAsia="Arial" w:hAnsi="Arial"/>
          <w:sz w:val="16"/>
          <w:szCs w:val="16"/>
          <w:color w:val="auto"/>
        </w:rPr>
      </w:pPr>
    </w:p>
    <w:p>
      <w:pPr>
        <w:jc w:val="both"/>
        <w:ind w:firstLine="443"/>
        <w:spacing w:after="0" w:line="288" w:lineRule="auto"/>
        <w:tabs>
          <w:tab w:leader="none" w:pos="754"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92" w:lineRule="exact"/>
        <w:rPr>
          <w:rFonts w:ascii="Arial" w:cs="Arial" w:eastAsia="Arial" w:hAnsi="Arial"/>
          <w:sz w:val="16"/>
          <w:szCs w:val="16"/>
          <w:color w:val="auto"/>
        </w:rPr>
      </w:pPr>
    </w:p>
    <w:p>
      <w:pPr>
        <w:ind w:left="260" w:hanging="256"/>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firstLine="443"/>
        <w:spacing w:after="0" w:line="255" w:lineRule="auto"/>
        <w:tabs>
          <w:tab w:leader="none" w:pos="651"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Pro Rata Share thereof in Dollars and in the same funds as those received by the Administrative Agent.</w:t>
      </w:r>
    </w:p>
    <w:p>
      <w:pPr>
        <w:spacing w:after="0" w:line="115" w:lineRule="exact"/>
        <w:rPr>
          <w:rFonts w:ascii="Arial" w:cs="Arial" w:eastAsia="Arial" w:hAnsi="Arial"/>
          <w:sz w:val="18"/>
          <w:szCs w:val="18"/>
          <w:color w:val="auto"/>
        </w:rPr>
      </w:pPr>
    </w:p>
    <w:p>
      <w:pPr>
        <w:ind w:firstLine="443"/>
        <w:spacing w:after="0" w:line="332" w:lineRule="auto"/>
        <w:tabs>
          <w:tab w:leader="none" w:pos="707"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If any payment received by the Administrative Agent for the account of the L/C Issuer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required to be returned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L/C Issuer in</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700" w:top="280" w:right="239" w:bottom="1440" w:gutter="0" w:footer="0" w:header="0"/>
        </w:sectPr>
      </w:pPr>
    </w:p>
    <w:bookmarkStart w:id="43" w:name="page44"/>
    <w:bookmarkEnd w:id="43"/>
    <w:p>
      <w:pPr>
        <w:jc w:val="both"/>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discretion), each Lender shall pay to the Administrative Agent for the account of the L/C Issuer its Pro Rata Share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16" w:lineRule="exact"/>
        <w:rPr>
          <w:sz w:val="20"/>
          <w:szCs w:val="20"/>
          <w:color w:val="auto"/>
        </w:rPr>
      </w:pPr>
    </w:p>
    <w:p>
      <w:pPr>
        <w:jc w:val="both"/>
        <w:ind w:firstLine="464"/>
        <w:spacing w:after="0" w:line="259"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13" w:lineRule="exact"/>
        <w:rPr>
          <w:rFonts w:ascii="Arial" w:cs="Arial" w:eastAsia="Arial" w:hAnsi="Arial"/>
          <w:sz w:val="18"/>
          <w:szCs w:val="18"/>
          <w:color w:val="auto"/>
        </w:rPr>
      </w:pPr>
    </w:p>
    <w:p>
      <w:pPr>
        <w:ind w:left="1120" w:hanging="217"/>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44" w:lineRule="exact"/>
        <w:rPr>
          <w:rFonts w:ascii="Arial" w:cs="Arial" w:eastAsia="Arial" w:hAnsi="Arial"/>
          <w:sz w:val="18"/>
          <w:szCs w:val="18"/>
          <w:color w:val="auto"/>
        </w:rPr>
      </w:pPr>
    </w:p>
    <w:p>
      <w:pPr>
        <w:jc w:val="both"/>
        <w:ind w:left="460" w:firstLine="443"/>
        <w:spacing w:after="0" w:line="256" w:lineRule="auto"/>
        <w:tabs>
          <w:tab w:leader="none" w:pos="116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16" w:lineRule="exact"/>
        <w:rPr>
          <w:rFonts w:ascii="Arial" w:cs="Arial" w:eastAsia="Arial" w:hAnsi="Arial"/>
          <w:sz w:val="18"/>
          <w:szCs w:val="18"/>
          <w:color w:val="auto"/>
        </w:rPr>
      </w:pPr>
    </w:p>
    <w:p>
      <w:pPr>
        <w:jc w:val="both"/>
        <w:ind w:left="460" w:firstLine="443"/>
        <w:spacing w:after="0" w:line="259" w:lineRule="auto"/>
        <w:tabs>
          <w:tab w:leader="none" w:pos="120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13" w:lineRule="exact"/>
        <w:rPr>
          <w:rFonts w:ascii="Arial" w:cs="Arial" w:eastAsia="Arial" w:hAnsi="Arial"/>
          <w:sz w:val="18"/>
          <w:szCs w:val="18"/>
          <w:color w:val="auto"/>
        </w:rPr>
      </w:pPr>
    </w:p>
    <w:p>
      <w:pPr>
        <w:jc w:val="both"/>
        <w:ind w:left="460" w:firstLine="443"/>
        <w:spacing w:after="0" w:line="298" w:lineRule="auto"/>
        <w:tabs>
          <w:tab w:leader="none" w:pos="1211"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85" w:lineRule="exact"/>
        <w:rPr>
          <w:rFonts w:ascii="Arial" w:cs="Arial" w:eastAsia="Arial" w:hAnsi="Arial"/>
          <w:sz w:val="16"/>
          <w:szCs w:val="16"/>
          <w:color w:val="auto"/>
        </w:rPr>
      </w:pPr>
    </w:p>
    <w:p>
      <w:pPr>
        <w:ind w:left="460" w:firstLine="443"/>
        <w:spacing w:after="0" w:line="268" w:lineRule="auto"/>
        <w:tabs>
          <w:tab w:leader="none" w:pos="11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waiver by the L/C Issuer of any requirement that exists for the L/C Issuer’s protection and not the protection of any Borrower or any waiver by the L/C Issuer which does not in fact materially prejudice any Borrower;</w:t>
      </w:r>
    </w:p>
    <w:p>
      <w:pPr>
        <w:spacing w:after="0" w:line="104" w:lineRule="exact"/>
        <w:rPr>
          <w:rFonts w:ascii="Arial" w:cs="Arial" w:eastAsia="Arial" w:hAnsi="Arial"/>
          <w:sz w:val="18"/>
          <w:szCs w:val="18"/>
          <w:color w:val="auto"/>
        </w:rPr>
      </w:pPr>
    </w:p>
    <w:p>
      <w:pPr>
        <w:ind w:left="1200" w:hanging="297"/>
        <w:spacing w:after="0"/>
        <w:tabs>
          <w:tab w:leader="none" w:pos="12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 draft;</w:t>
      </w:r>
    </w:p>
    <w:p>
      <w:pPr>
        <w:spacing w:after="0" w:line="167" w:lineRule="exact"/>
        <w:rPr>
          <w:rFonts w:ascii="Arial" w:cs="Arial" w:eastAsia="Arial" w:hAnsi="Arial"/>
          <w:sz w:val="16"/>
          <w:szCs w:val="16"/>
          <w:color w:val="auto"/>
        </w:rPr>
      </w:pPr>
    </w:p>
    <w:p>
      <w:pPr>
        <w:jc w:val="both"/>
        <w:ind w:left="460" w:firstLine="443"/>
        <w:spacing w:after="0" w:line="259" w:lineRule="auto"/>
        <w:tabs>
          <w:tab w:leader="none" w:pos="124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13" w:lineRule="exact"/>
        <w:rPr>
          <w:rFonts w:ascii="Arial" w:cs="Arial" w:eastAsia="Arial" w:hAnsi="Arial"/>
          <w:sz w:val="18"/>
          <w:szCs w:val="18"/>
          <w:color w:val="auto"/>
        </w:rPr>
      </w:pPr>
    </w:p>
    <w:p>
      <w:pPr>
        <w:ind w:left="460" w:firstLine="443"/>
        <w:spacing w:after="0" w:line="268" w:lineRule="auto"/>
        <w:tabs>
          <w:tab w:leader="none" w:pos="129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Borrowers or any Subsidiary or in the relevant currency markets generally;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4" w:name="page45"/>
    <w:bookmarkEnd w:id="44"/>
    <w:p>
      <w:pPr>
        <w:ind w:left="460" w:firstLine="443"/>
        <w:spacing w:after="0" w:line="268" w:lineRule="auto"/>
        <w:tabs>
          <w:tab w:leader="none" w:pos="121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circumstance or happening whatsoever, whether or not similar to any of the foregoing, including any other circumstance that might otherwise constitute a defense available to, or a discharge of, the Borrowers or any Subsidiary.</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applicable Borrower shall promptly examine a copy of each Letter of Credit and each amendment thereto that is delivered to it and, in the event of any claim of noncompliance with such Borrower’s instructions or other irregularity, such Borrower will immediately notify the L/C Issuer. The Borrowers shall be conclusively deemed to have waived any such claim against the L/C Issuer and its correspondents unless such notice is given as aforesaid.</w:t>
      </w:r>
    </w:p>
    <w:p>
      <w:pPr>
        <w:spacing w:after="0" w:line="80" w:lineRule="exact"/>
        <w:rPr>
          <w:sz w:val="20"/>
          <w:szCs w:val="20"/>
          <w:color w:val="auto"/>
        </w:rPr>
      </w:pPr>
    </w:p>
    <w:p>
      <w:pPr>
        <w:jc w:val="both"/>
        <w:ind w:firstLine="464"/>
        <w:spacing w:after="0" w:line="283" w:lineRule="auto"/>
        <w:tabs>
          <w:tab w:leader="none" w:pos="689"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Each Lender and each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w:t>
      </w:r>
    </w:p>
    <w:p>
      <w:pPr>
        <w:spacing w:after="0" w:line="2" w:lineRule="exact"/>
        <w:rPr>
          <w:rFonts w:ascii="Arial" w:cs="Arial" w:eastAsia="Arial" w:hAnsi="Arial"/>
          <w:sz w:val="16"/>
          <w:szCs w:val="16"/>
          <w:color w:val="auto"/>
        </w:rPr>
      </w:pPr>
    </w:p>
    <w:p>
      <w:pPr>
        <w:jc w:val="both"/>
        <w:ind w:firstLine="8"/>
        <w:spacing w:after="0" w:line="284" w:lineRule="auto"/>
        <w:tabs>
          <w:tab w:leader="none" w:pos="22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any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The L/C Issuer may send a Letter of Credit or conduct any communication to or from the beneficiary via the Society for Worldwide Interbank Financial Telecommunication (“</w:t>
      </w:r>
      <w:r>
        <w:rPr>
          <w:rFonts w:ascii="Arial" w:cs="Arial" w:eastAsia="Arial" w:hAnsi="Arial"/>
          <w:sz w:val="16"/>
          <w:szCs w:val="16"/>
          <w:u w:val="single" w:color="auto"/>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97" w:lineRule="exact"/>
        <w:rPr>
          <w:rFonts w:ascii="Arial" w:cs="Arial" w:eastAsia="Arial" w:hAnsi="Arial"/>
          <w:sz w:val="16"/>
          <w:szCs w:val="16"/>
          <w:color w:val="auto"/>
        </w:rPr>
      </w:pPr>
    </w:p>
    <w:p>
      <w:pPr>
        <w:jc w:val="both"/>
        <w:ind w:firstLine="464"/>
        <w:spacing w:after="0" w:line="259" w:lineRule="auto"/>
        <w:tabs>
          <w:tab w:leader="none" w:pos="719"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L/C Issuer and the applicable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5" w:name="page46"/>
    <w:bookmarkEnd w:id="45"/>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shall not be responsible to any Borrower for, and the L/C Issuer’s rights and remedies against such Borrower shall not be impaired by, any action or inaction of the L/C Issuer required under any Law or practice that is required to be applied to any Letter of Credit, including the Law of a jurisdiction where the L/C Issuer or the beneficiary is located, the practice stated in the ISP or UCP, as applicable, or in the decisions, opinions, practice statements, or official commentary of the ICC Banking Commission, the Bankers Association for Finance and Trade—International Financial Services Association (BAFT-IFSA), or the Institute of International Banking Law &amp; Practice, whether or not any Letter of Credit chooses such Law or practice.</w:t>
      </w:r>
    </w:p>
    <w:p>
      <w:pPr>
        <w:spacing w:after="0" w:line="89" w:lineRule="exact"/>
        <w:rPr>
          <w:sz w:val="20"/>
          <w:szCs w:val="20"/>
          <w:color w:val="auto"/>
        </w:rPr>
      </w:pPr>
    </w:p>
    <w:p>
      <w:pPr>
        <w:jc w:val="both"/>
        <w:ind w:firstLine="464"/>
        <w:spacing w:after="0" w:line="288" w:lineRule="auto"/>
        <w:tabs>
          <w:tab w:leader="none" w:pos="70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Borrowers shall pay to the Administrative Agent for the account of each Lender in accordance,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with its Pro Rata Share, in Dollars,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Dollar Equivalent of the actual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1.10</w:t>
      </w:r>
      <w:r>
        <w:rPr>
          <w:rFonts w:ascii="Arial" w:cs="Arial" w:eastAsia="Arial" w:hAnsi="Arial"/>
          <w:sz w:val="16"/>
          <w:szCs w:val="16"/>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92" w:lineRule="exact"/>
        <w:rPr>
          <w:rFonts w:ascii="Arial" w:cs="Arial" w:eastAsia="Arial" w:hAnsi="Arial"/>
          <w:sz w:val="16"/>
          <w:szCs w:val="16"/>
          <w:color w:val="auto"/>
        </w:rPr>
      </w:pPr>
    </w:p>
    <w:p>
      <w:pPr>
        <w:jc w:val="both"/>
        <w:ind w:firstLine="464"/>
        <w:spacing w:after="0" w:line="286" w:lineRule="auto"/>
        <w:tabs>
          <w:tab w:leader="none" w:pos="66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Borrowers shall pay directly to the L/C Issuer for its own account, in Dollars, a fronting fee (i) with respect to each commercial Letter of Credit, at the rate specified in the Fee Letter, computed on the Dollar Equivalent of the amount of such Letter of Credit, and payable upon the issuance thereof, (ii) with respect to any amendment of a commercial Letter of Credit increasing the amount of such Letter of Credit, at a rate separately agreed between the Borrowers and the L/C Issuer, computed on the Dollar Equivalent of the amount of such increase, and payable upon the effectiveness of such amendment, and (iii) with respect to each standby Letter of Credit, at the rate per annum specified in the Fee Letter, computed on the Dollar Equivalent of the daily amount available to be drawn under such Letter of Credit and on a quarterly basis in arrears. Such fronting fee for standby Letters of Credit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1.10</w:t>
      </w:r>
      <w:r>
        <w:rPr>
          <w:rFonts w:ascii="Arial" w:cs="Arial" w:eastAsia="Arial" w:hAnsi="Arial"/>
          <w:sz w:val="16"/>
          <w:szCs w:val="16"/>
          <w:color w:val="auto"/>
        </w:rPr>
        <w:t>. In addition, the Borrowers shall pay directly to the L/C Issuer for its own account the customary issuance, presentation, amendment and other processing fees, and other standard costs and charges, of the L/C Issuer relating to letters of credit as from time to time in effect, in Dollars or such Alternative Currency as shall be separately agreed. Such customary fees and standard costs and charges are due and payable on demand and are nonrefundable.</w:t>
      </w:r>
    </w:p>
    <w:p>
      <w:pPr>
        <w:spacing w:after="0" w:line="93" w:lineRule="exact"/>
        <w:rPr>
          <w:rFonts w:ascii="Arial" w:cs="Arial" w:eastAsia="Arial" w:hAnsi="Arial"/>
          <w:sz w:val="16"/>
          <w:szCs w:val="16"/>
          <w:color w:val="auto"/>
        </w:rPr>
      </w:pPr>
    </w:p>
    <w:p>
      <w:pPr>
        <w:ind w:left="680" w:hanging="216"/>
        <w:spacing w:after="0"/>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137" w:lineRule="exact"/>
        <w:rPr>
          <w:rFonts w:ascii="Arial" w:cs="Arial" w:eastAsia="Arial" w:hAnsi="Arial"/>
          <w:sz w:val="16"/>
          <w:szCs w:val="16"/>
          <w:color w:val="auto"/>
        </w:rPr>
      </w:pPr>
    </w:p>
    <w:p>
      <w:pPr>
        <w:ind w:firstLine="464"/>
        <w:spacing w:after="0" w:line="332" w:lineRule="auto"/>
        <w:tabs>
          <w:tab w:leader="none" w:pos="70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issued or outstanding hereunder is in support of any obligations of, or is for the account of, a Subsidiary, the Borrowers shall be obligated to reimburse the L/C Issuer hereunder for any and all drawings under such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6" w:name="page47"/>
    <w:bookmarkEnd w:id="46"/>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of Credit. The Borrowers hereby acknowledge that the issuance of Letters of Credit for the account of Subsidiaries inures to the benefit of the Borrowers, and that the Borrowers’ business derives substantial benefits from the businesses of such Subsidiaries.</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Swing Line Loans</w:t>
      </w:r>
      <w:r>
        <w:rPr>
          <w:rFonts w:ascii="Arial" w:cs="Arial" w:eastAsia="Arial" w:hAnsi="Arial"/>
          <w:sz w:val="16"/>
          <w:szCs w:val="16"/>
          <w:color w:val="auto"/>
        </w:rPr>
        <w:t>.</w:t>
      </w:r>
    </w:p>
    <w:p>
      <w:pPr>
        <w:spacing w:after="0" w:line="144" w:lineRule="exact"/>
        <w:rPr>
          <w:sz w:val="20"/>
          <w:szCs w:val="20"/>
          <w:color w:val="auto"/>
        </w:rPr>
      </w:pPr>
    </w:p>
    <w:p>
      <w:pPr>
        <w:jc w:val="both"/>
        <w:ind w:firstLine="464"/>
        <w:spacing w:after="0" w:line="285"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Swing Line Facility</w:t>
      </w:r>
      <w:r>
        <w:rPr>
          <w:rFonts w:ascii="Arial" w:cs="Arial" w:eastAsia="Arial" w:hAnsi="Arial"/>
          <w:sz w:val="16"/>
          <w:szCs w:val="16"/>
          <w:color w:val="auto"/>
        </w:rPr>
        <w:t xml:space="preserve">. Subject to the terms and conditions set forth herein, the Swing Line Lender,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shall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Domestic Borrowers in Dollars from time to time on any Business Day during the Availability Period in an aggregate amount not to exceed at any time outstanding the amount of the Swing Line Sublimit, notwithstanding the fact that such Swing Line Loans, when aggregated with the Pro Rata Share of the Outstanding Amount of Revolving Loans and L/C Obligations of the Swing Line Lender in its capacity as a Lender of Revolving Loans, may exceed the amount of such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after giving effect to any Swing Line Loan, (A) the Total Revolving Outstandings shall not exceed the Aggregate Revolving Commitments and (B) the aggregate Outstanding Amount of the Revolving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Pro Rata Share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Pro Rata Share of the Outstanding Amount of all Swing Line Loans shall not exceed such Lender’s Revolving Commitment, (ii) no Borrower shall use the proceeds of any Swing Line Loan to refinance any outstanding Swing Line Loan and (iii) the Swing Line Lender shall not be under any obligation to make any Swing Line Loan if it shall reasonably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101" w:lineRule="exact"/>
        <w:rPr>
          <w:rFonts w:ascii="Arial" w:cs="Arial" w:eastAsia="Arial" w:hAnsi="Arial"/>
          <w:sz w:val="16"/>
          <w:szCs w:val="16"/>
          <w:color w:val="auto"/>
        </w:rPr>
      </w:pPr>
    </w:p>
    <w:p>
      <w:pPr>
        <w:jc w:val="both"/>
        <w:ind w:firstLine="464"/>
        <w:spacing w:after="0" w:line="286" w:lineRule="auto"/>
        <w:tabs>
          <w:tab w:leader="none" w:pos="719"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Borrowing of Swing Line Loans shall be made upon the applicable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principal amount of $100,000 and integral multiples of $100,000 in excess thereof,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applicable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7" w:name="page48"/>
    <w:bookmarkEnd w:id="47"/>
    <w:p>
      <w:pPr>
        <w:ind w:left="240" w:hanging="236"/>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Refinancing of Swing Line Loans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firstLine="443"/>
        <w:spacing w:after="0" w:line="286" w:lineRule="auto"/>
        <w:tabs>
          <w:tab w:leader="none" w:pos="652"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and absolute discretion may request, on behalf of the Borrowers (which hereby irrevocably request and authorize the Swing Line Lender to so request on their behalf), that each Lender make a Revolving Loan that is a Base Rate Loan in an amount equal to such Lender’s Pro Rata Share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Swing Line Lender shall furnish the applicable Borrower with a copy of the applicable Loan Notice promptly after delivering such notice to the Administrative Agent. Each Lender shall make an amount equal to its Pro Rata Share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Revolving Loan that is a Base Rate Loan to the applicable Borrower in such amount. The Administrative Agent shall remit the funds so received to the Swing Line Lender.</w:t>
      </w:r>
    </w:p>
    <w:p>
      <w:pPr>
        <w:spacing w:after="0" w:line="97" w:lineRule="exact"/>
        <w:rPr>
          <w:rFonts w:ascii="Arial" w:cs="Arial" w:eastAsia="Arial" w:hAnsi="Arial"/>
          <w:sz w:val="16"/>
          <w:szCs w:val="16"/>
          <w:color w:val="auto"/>
        </w:rPr>
      </w:pPr>
    </w:p>
    <w:p>
      <w:pPr>
        <w:jc w:val="both"/>
        <w:ind w:firstLine="443"/>
        <w:spacing w:after="0" w:line="298" w:lineRule="auto"/>
        <w:tabs>
          <w:tab w:leader="none" w:pos="701"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Borrowing of Revolving Loans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85" w:lineRule="exact"/>
        <w:rPr>
          <w:rFonts w:ascii="Arial" w:cs="Arial" w:eastAsia="Arial" w:hAnsi="Arial"/>
          <w:sz w:val="16"/>
          <w:szCs w:val="16"/>
          <w:color w:val="auto"/>
        </w:rPr>
      </w:pPr>
    </w:p>
    <w:p>
      <w:pPr>
        <w:jc w:val="both"/>
        <w:ind w:firstLine="443"/>
        <w:spacing w:after="0" w:line="289" w:lineRule="auto"/>
        <w:tabs>
          <w:tab w:leader="none" w:pos="754"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2.04(c)(i)</w:t>
      </w:r>
      <w:r>
        <w:rPr>
          <w:rFonts w:ascii="Arial" w:cs="Arial" w:eastAsia="Arial" w:hAnsi="Arial"/>
          <w:sz w:val="16"/>
          <w:szCs w:val="16"/>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91" w:lineRule="exact"/>
        <w:rPr>
          <w:rFonts w:ascii="Arial" w:cs="Arial" w:eastAsia="Arial" w:hAnsi="Arial"/>
          <w:sz w:val="16"/>
          <w:szCs w:val="16"/>
          <w:color w:val="auto"/>
        </w:rPr>
      </w:pPr>
    </w:p>
    <w:p>
      <w:pPr>
        <w:jc w:val="both"/>
        <w:ind w:firstLine="443"/>
        <w:spacing w:after="0" w:line="253" w:lineRule="auto"/>
        <w:tabs>
          <w:tab w:leader="none" w:pos="7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Each Lender’s obligation to make Revolving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that such Lender may have against the Swing Line Lender, the Borrowers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Revolving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No such purchase or funding of risk participations shall relieve or otherwise impair the obligation of the Borrowers to repay Swing Line Loans, together with interest as provided herein.</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48" w:name="page49"/>
    <w:bookmarkEnd w:id="48"/>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Repayment of Participations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460" w:firstLine="443"/>
        <w:spacing w:after="0" w:line="256" w:lineRule="auto"/>
        <w:tabs>
          <w:tab w:leader="none" w:pos="111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116" w:lineRule="exact"/>
        <w:rPr>
          <w:rFonts w:ascii="Arial" w:cs="Arial" w:eastAsia="Arial" w:hAnsi="Arial"/>
          <w:sz w:val="18"/>
          <w:szCs w:val="18"/>
          <w:color w:val="auto"/>
        </w:rPr>
      </w:pPr>
    </w:p>
    <w:p>
      <w:pPr>
        <w:jc w:val="both"/>
        <w:ind w:left="460" w:firstLine="443"/>
        <w:spacing w:after="0" w:line="291" w:lineRule="auto"/>
        <w:tabs>
          <w:tab w:leader="none" w:pos="1167"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93" w:lineRule="exact"/>
        <w:rPr>
          <w:rFonts w:ascii="Arial" w:cs="Arial" w:eastAsia="Arial" w:hAnsi="Arial"/>
          <w:sz w:val="16"/>
          <w:szCs w:val="16"/>
          <w:color w:val="auto"/>
        </w:rPr>
      </w:pPr>
    </w:p>
    <w:p>
      <w:pPr>
        <w:jc w:val="both"/>
        <w:ind w:firstLine="464"/>
        <w:spacing w:after="0" w:line="306" w:lineRule="auto"/>
        <w:tabs>
          <w:tab w:leader="none" w:pos="709"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Interest for Account of Swing Line Lender</w:t>
      </w:r>
      <w:r>
        <w:rPr>
          <w:rFonts w:ascii="Arial" w:cs="Arial" w:eastAsia="Arial" w:hAnsi="Arial"/>
          <w:sz w:val="16"/>
          <w:szCs w:val="16"/>
          <w:color w:val="auto"/>
        </w:rPr>
        <w:t xml:space="preserve">. The Swing Line Lender shall be responsible for invoicing the Borrowers for interest on the Swing Line Loans. Until each Lender funds its Revolving Loans that are Base Rate Loans or risk participation pursuant to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to refinance such Lender’s Pro Rata Share of any Swing Line Loan, interest in respect of such Pro Rata Share shall be solely for the account of the Swing Line Lender.</w:t>
      </w:r>
    </w:p>
    <w:p>
      <w:pPr>
        <w:spacing w:after="0" w:line="79" w:lineRule="exact"/>
        <w:rPr>
          <w:rFonts w:ascii="Arial" w:cs="Arial" w:eastAsia="Arial" w:hAnsi="Arial"/>
          <w:sz w:val="16"/>
          <w:szCs w:val="16"/>
          <w:color w:val="auto"/>
        </w:rPr>
      </w:pPr>
    </w:p>
    <w:p>
      <w:pPr>
        <w:ind w:firstLine="464"/>
        <w:spacing w:after="0" w:line="268" w:lineRule="auto"/>
        <w:tabs>
          <w:tab w:leader="none" w:pos="67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Borrowers shall make all payments of principal and interest in respect of the Swing Line Loans directly to the Swing Line Lender.</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144" w:lineRule="exact"/>
        <w:rPr>
          <w:sz w:val="20"/>
          <w:szCs w:val="20"/>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Voluntary Prepayments of Loans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460" w:firstLine="443"/>
        <w:spacing w:after="0" w:line="286" w:lineRule="auto"/>
        <w:tabs>
          <w:tab w:leader="none" w:pos="1108"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Revolving Loans</w:t>
      </w:r>
      <w:r>
        <w:rPr>
          <w:rFonts w:ascii="Arial" w:cs="Arial" w:eastAsia="Arial" w:hAnsi="Arial"/>
          <w:sz w:val="16"/>
          <w:szCs w:val="16"/>
          <w:color w:val="auto"/>
        </w:rPr>
        <w:t xml:space="preserve">. A Borrower may, upon notice from such Borrower to the Administrative Agent, at any time or from time to time voluntarily prepay Revolving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received by the Administrative Agent not later than 11:00 a.m. (1) three Business Days prior to any date of prepayment of Eurocurrency Rate Loans denominated in Dollars, (2) four Business Days (or five, in the case of prepayment of Loans denominated in Special Notice Currencies) prior to any date of prepayment of Eurocurrency Rate Loans denominated in Alternative Currencies, and (3) on the date of prepayment of Base Rate Loans; (B) any such prepayment of Eurocurrency Rate Loans denominated in Dollars shall be in a principal amount of $1,000,000 or a whole multiple of $500,000 in excess thereof (or, if less, the entire principal amount thereof then outstanding); (C) any prepayment of Eurocurrency Rate Loans denominated in Alternative Currencies shall be in a principal amount of $1,000,000 or a whole multiple of $500,000 in excess thereof (or, if less, the entire principal amount thereof then outstanding) and (D) any prepayment of Base Rate Loans shall be in a principal amount of $500,000 or a whole multiple of $100,000 in excess thereof (or, if less, the entire principal amount thereof then outstanding). Each such notice shall specify the date and amount of such prepayment and the Type(s) of Loans to be prepaid and, if Eurocurrency Rate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9" w:name="page50"/>
    <w:bookmarkEnd w:id="49"/>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Loans are to be prepaid, the Interest Period(s) of such Loans. The Administrative Agent will promptly notify each Lender of its receipt of each such notice, and of the amount of such Lender’s Pro Rata Share of such prepayment. If such notice is given by a Borrower, such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each such prepayment shall be applied to the Loans of the Lenders in accordance with their respective Pro Rata Shares.</w:t>
      </w:r>
    </w:p>
    <w:p>
      <w:pPr>
        <w:spacing w:after="0" w:line="89" w:lineRule="exact"/>
        <w:rPr>
          <w:sz w:val="20"/>
          <w:szCs w:val="20"/>
          <w:color w:val="auto"/>
        </w:rPr>
      </w:pPr>
    </w:p>
    <w:p>
      <w:pPr>
        <w:jc w:val="both"/>
        <w:ind w:firstLine="443"/>
        <w:spacing w:after="0" w:line="291" w:lineRule="auto"/>
        <w:tabs>
          <w:tab w:leader="none" w:pos="696"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A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Swing Line Lender and the Administrative Agent not later than 1:00 p.m. on the date of the prepayment, and (ii) any such prepayment shall be in a minimum principal amount of $100,000 or a whole multiple of $100,000 in excess thereof (or, if less, the entire principal thereof then outstanding).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93" w:lineRule="exact"/>
        <w:rPr>
          <w:rFonts w:ascii="Arial" w:cs="Arial" w:eastAsia="Arial" w:hAnsi="Arial"/>
          <w:sz w:val="16"/>
          <w:szCs w:val="16"/>
          <w:color w:val="auto"/>
        </w:rPr>
      </w:pPr>
    </w:p>
    <w:p>
      <w:pPr>
        <w:ind w:left="260" w:hanging="256"/>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Mandatory Prepayments of Loans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firstLine="443"/>
        <w:spacing w:after="0" w:line="291" w:lineRule="auto"/>
        <w:tabs>
          <w:tab w:leader="none" w:pos="648"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Total Revolving Outstandings</w:t>
      </w:r>
      <w:r>
        <w:rPr>
          <w:rFonts w:ascii="Arial" w:cs="Arial" w:eastAsia="Arial" w:hAnsi="Arial"/>
          <w:sz w:val="16"/>
          <w:szCs w:val="16"/>
          <w:color w:val="auto"/>
        </w:rPr>
        <w:t xml:space="preserve">. If the Administrative Agent notifies the Company at any time that the Total Revolving Outstandings at such time exceed the Aggregate Revolving Commitments then in effect, then, within two Business Days after receipt of such notice, the Borrowers shall prepay Loans and/or the Borrowers shall Cash Collateralize the L/C Obligations in an aggregate amount sufficient to reduce such Outstanding Amount as of such date of payment to an amount not to exceed 100% of the Aggregate Revolving Commitments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Borrowers shall not be required to Cash Collateralize the L/C Obligations pursuant to this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unless after such prepayment of the Loans the Total Revolving Outstandings exceed the Aggregate Revolving Commitments then in effect.</w:t>
      </w:r>
    </w:p>
    <w:p>
      <w:pPr>
        <w:spacing w:after="0" w:line="93" w:lineRule="exact"/>
        <w:rPr>
          <w:sz w:val="20"/>
          <w:szCs w:val="20"/>
          <w:color w:val="auto"/>
        </w:rPr>
      </w:pPr>
    </w:p>
    <w:p>
      <w:pPr>
        <w:jc w:val="both"/>
        <w:ind w:firstLine="443"/>
        <w:spacing w:after="0" w:line="253" w:lineRule="auto"/>
        <w:tabs>
          <w:tab w:leader="none" w:pos="69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Alternative Currency Sublimit</w:t>
      </w:r>
      <w:r>
        <w:rPr>
          <w:rFonts w:ascii="Arial" w:cs="Arial" w:eastAsia="Arial" w:hAnsi="Arial"/>
          <w:sz w:val="18"/>
          <w:szCs w:val="18"/>
          <w:color w:val="auto"/>
        </w:rPr>
        <w:t xml:space="preserve">. If the Administrative Agent notifies the Company at any time that the Outstanding Amount of all Loans and L/C Obligations denominated in Alternative Currencies at such time exceeds the Alternative Currency Sublimit then in effect, then, within two Business Days after receipt of such notice, the Borrowers shall prepay Loans and/or the Borrowers shall Cash Collateralize the L/C Obligations in an aggregate amount sufficient to reduce such Outstanding Amount as of such date of payment to an amount not to exceed 100% of the Alternative Currency Sublimit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Borrowers shall not be required to Cash Collateralize the L/C Obligations pursuant to this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unless after such prepayment of the Loans the Total Revolving Outstandings denominated in Alternative Currencies exceed the Alternative Currency Sublimit then in effect.</w:t>
      </w:r>
    </w:p>
    <w:p>
      <w:pPr>
        <w:spacing w:after="0" w:line="120" w:lineRule="exact"/>
        <w:rPr>
          <w:rFonts w:ascii="Arial" w:cs="Arial" w:eastAsia="Arial" w:hAnsi="Arial"/>
          <w:sz w:val="18"/>
          <w:szCs w:val="18"/>
          <w:color w:val="auto"/>
        </w:rPr>
      </w:pPr>
    </w:p>
    <w:p>
      <w:pPr>
        <w:ind w:left="740" w:hanging="297"/>
        <w:spacing w:after="0"/>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Application of Mandatory Prepayments</w:t>
      </w:r>
      <w:r>
        <w:rPr>
          <w:rFonts w:ascii="Arial" w:cs="Arial" w:eastAsia="Arial" w:hAnsi="Arial"/>
          <w:sz w:val="16"/>
          <w:szCs w:val="16"/>
          <w:color w:val="auto"/>
        </w:rPr>
        <w:t xml:space="preserve">. All amounts required to be paid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applied as follows:</w:t>
      </w:r>
    </w:p>
    <w:p>
      <w:pPr>
        <w:spacing w:after="0" w:line="167" w:lineRule="exact"/>
        <w:rPr>
          <w:rFonts w:ascii="Arial" w:cs="Arial" w:eastAsia="Arial" w:hAnsi="Arial"/>
          <w:sz w:val="16"/>
          <w:szCs w:val="16"/>
          <w:color w:val="auto"/>
        </w:rPr>
      </w:pPr>
    </w:p>
    <w:p>
      <w:pPr>
        <w:ind w:left="460" w:right="20" w:firstLine="421"/>
        <w:spacing w:after="0" w:line="268" w:lineRule="auto"/>
        <w:tabs>
          <w:tab w:leader="none" w:pos="1185"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with respect to all amounts prepaid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to Revolving Loans and Swing Line Loans and (after all Revolving Loans and all Swing Line Loans have been repaid) to Cash Collateralize L/C Obligations and</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50" w:name="page51"/>
    <w:bookmarkEnd w:id="50"/>
    <w:p>
      <w:pPr>
        <w:ind w:left="920" w:firstLine="421"/>
        <w:spacing w:after="0" w:line="268" w:lineRule="auto"/>
        <w:tabs>
          <w:tab w:leader="none" w:pos="1619"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all amounts prepaid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to Revolving Loans and (after all Revolving Loans have been repaid) to Cash Collateralize L/C Obligations.</w:t>
      </w:r>
    </w:p>
    <w:p>
      <w:pPr>
        <w:spacing w:after="0" w:line="105"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 xml:space="preserve">Within the parameters of the applications set forth above, prepayments shall be applied first to Base Rate Loans and then to Eurocurrency Rate Loans in direct order of Interest Period maturities. All prepayments under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but otherwise without premium or penalty, and shall be accompanied by interest on the principal amount prepaid through the date of prepayment.</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u w:val="single" w:color="auto"/>
          <w:color w:val="auto"/>
        </w:rPr>
        <w:t>Termination or Reduction of Aggregate Revolving Commitments</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The Company may, upon notice to the Administrative Agent, terminate the Aggregate Revolving Commitments, or from time to time permanently reduce the Aggregate Revolving Commitments to an amount not less than the Outstanding Amount of Revolving Loans, Swing Line Loans and L/C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 than 12:00 noon five (5) Business Days prior to the date of termination or reduction, (ii) any such partial reduction shall be in an aggregate amount of $2,000,000 or any whole multiple of $1,000,000 in excess thereof and (iii) if, after giving effect to any reduction or termination of the Aggregate Revolving Commitments, the Alternative Currency Sublimit, the Letter of Credit Sublimit or the Swing Line Sublimit exceeds the amount of the Aggregate Revolving Commitments, such sublimit shall be automatically reduced by the amount of such excess. The Administrative Agent will promptly notify the Lenders of any such notice of termination or reduction of the Aggregate Revolving Commitments. The amount of any such Aggregate Revolving Commitment reduction shall not be applied to the Alternative Currency Sublimit or the Letter of Credit Sublimit unless otherwise specified by the Company. Any reduction of the Aggregate Revolving Commitments shall be applied to the Revolving Commitment of each Lender according to its Pro Rata Share. All fees accrued with respect thereto until the effective date of any termination of the Aggregate Revolving Commitments shall be paid on the effective date of such termination.</w:t>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5"/>
          <w:szCs w:val="15"/>
          <w:u w:val="single" w:color="auto"/>
          <w:color w:val="auto"/>
        </w:rPr>
        <w:t>Repayment of Loans</w:t>
      </w:r>
      <w:r>
        <w:rPr>
          <w:rFonts w:ascii="Arial" w:cs="Arial" w:eastAsia="Arial" w:hAnsi="Arial"/>
          <w:sz w:val="15"/>
          <w:szCs w:val="15"/>
          <w:color w:val="auto"/>
        </w:rPr>
        <w:t>.</w:t>
      </w:r>
    </w:p>
    <w:p>
      <w:pPr>
        <w:spacing w:after="0" w:line="144" w:lineRule="exact"/>
        <w:rPr>
          <w:sz w:val="20"/>
          <w:szCs w:val="20"/>
          <w:color w:val="auto"/>
        </w:rPr>
      </w:pPr>
    </w:p>
    <w:p>
      <w:pPr>
        <w:ind w:firstLine="464"/>
        <w:spacing w:after="0" w:line="268"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Borrowers shall repay to the Lenders on the Maturity Date the aggregate principal amount of all Revolving Loans outstanding on such date.</w:t>
      </w:r>
    </w:p>
    <w:p>
      <w:pPr>
        <w:spacing w:after="0" w:line="104"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The Borrowers shall repay each Swing Line Loan on the earlier to occur of (i) the date ten Business Days after such Swing Line Loan is made and (ii) the Maturity Date.</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5"/>
          <w:szCs w:val="15"/>
          <w:u w:val="single" w:color="auto"/>
          <w:color w:val="auto"/>
        </w:rPr>
        <w:t>Interest</w:t>
      </w:r>
      <w:r>
        <w:rPr>
          <w:rFonts w:ascii="Arial" w:cs="Arial" w:eastAsia="Arial" w:hAnsi="Arial"/>
          <w:sz w:val="15"/>
          <w:szCs w:val="15"/>
          <w:color w:val="auto"/>
        </w:rPr>
        <w:t>.</w:t>
      </w:r>
    </w:p>
    <w:p>
      <w:pPr>
        <w:spacing w:after="0" w:line="144" w:lineRule="exact"/>
        <w:rPr>
          <w:sz w:val="20"/>
          <w:szCs w:val="20"/>
          <w:color w:val="auto"/>
        </w:rPr>
      </w:pPr>
    </w:p>
    <w:p>
      <w:pPr>
        <w:jc w:val="both"/>
        <w:ind w:firstLine="464"/>
        <w:spacing w:after="0" w:line="284" w:lineRule="auto"/>
        <w:tabs>
          <w:tab w:leader="none" w:pos="706"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Subject to the provisions of subsection (b) below, (i) each Eurocurrency Rate Loan shall bear interest on the outstanding principal amount thereof for each Interest Period at a rate per annum equal to the sum of (A) the Eurocurrency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Applicable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in the case of a Eurocurrency Rate Loan of any Lender which is lent from a Lending Office in the United Kingdom or a Participating Member State, the Mandatory Cost;</w:t>
      </w:r>
    </w:p>
    <w:p>
      <w:pPr>
        <w:spacing w:after="0" w:line="1" w:lineRule="exact"/>
        <w:rPr>
          <w:rFonts w:ascii="Arial" w:cs="Arial" w:eastAsia="Arial" w:hAnsi="Arial"/>
          <w:sz w:val="16"/>
          <w:szCs w:val="16"/>
          <w:color w:val="auto"/>
        </w:rPr>
      </w:pPr>
    </w:p>
    <w:p>
      <w:pPr>
        <w:jc w:val="both"/>
        <w:ind w:firstLine="8"/>
        <w:spacing w:after="0" w:line="302" w:lineRule="auto"/>
        <w:tabs>
          <w:tab w:leader="none" w:pos="264"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each Base Rate Loan shall bear interest on the outstanding principal amount thereof from the applicable borrowing date at a rate per annum equal to the sum of (A)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Applicable Rate; and (iii) each Swing Line Loan shall bear interest on the outstanding principal amount thereof from the applicable borrowing date at a rate per annum equal to the sum of (A)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Applicable Rate.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51" w:name="page52"/>
    <w:bookmarkEnd w:id="51"/>
    <w:p>
      <w:pPr>
        <w:ind w:firstLine="464"/>
        <w:spacing w:after="0" w:line="332" w:lineRule="auto"/>
        <w:tabs>
          <w:tab w:leader="none" w:pos="713"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If any amount of principal of any Loan is not paid when due, whether at stated maturity, by acceleration or otherwise, such amount shall thereafter bear interest at a fluctuating interest rate per annum at all times equal to the Default Rate to the fullest extent permitted by applicable Laws.</w:t>
      </w:r>
    </w:p>
    <w:p>
      <w:pPr>
        <w:spacing w:after="0" w:line="58" w:lineRule="exact"/>
        <w:rPr>
          <w:rFonts w:ascii="Arial" w:cs="Arial" w:eastAsia="Arial" w:hAnsi="Arial"/>
          <w:sz w:val="16"/>
          <w:szCs w:val="16"/>
          <w:color w:val="auto"/>
        </w:rPr>
      </w:pPr>
    </w:p>
    <w:p>
      <w:pPr>
        <w:jc w:val="both"/>
        <w:ind w:left="460" w:firstLine="443"/>
        <w:spacing w:after="0" w:line="306" w:lineRule="auto"/>
        <w:tabs>
          <w:tab w:leader="none" w:pos="1168"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any amount (other than principal of any Loan) payable by the Borrowers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9" w:lineRule="exact"/>
        <w:rPr>
          <w:rFonts w:ascii="Arial" w:cs="Arial" w:eastAsia="Arial" w:hAnsi="Arial"/>
          <w:sz w:val="16"/>
          <w:szCs w:val="16"/>
          <w:color w:val="auto"/>
        </w:rPr>
      </w:pPr>
    </w:p>
    <w:p>
      <w:pPr>
        <w:jc w:val="both"/>
        <w:ind w:left="460" w:firstLine="443"/>
        <w:spacing w:after="0" w:line="259" w:lineRule="auto"/>
        <w:tabs>
          <w:tab w:leader="none" w:pos="1224" w:val="left"/>
        </w:tabs>
        <w:numPr>
          <w:ilvl w:val="1"/>
          <w:numId w:val="47"/>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(other than as set forth in clauses (b)(i) and (b)(ii) above), the Borrowers shall pay interest on the principal amount of all outstanding Obligations hereunder at a fluctuating interest rate per annum at all times equal to the Default Rate to the fullest extent permitted by applicable Laws.</w:t>
      </w:r>
    </w:p>
    <w:p>
      <w:pPr>
        <w:spacing w:after="0" w:line="113" w:lineRule="exact"/>
        <w:rPr>
          <w:rFonts w:ascii="Arial" w:cs="Arial" w:eastAsia="Arial" w:hAnsi="Arial"/>
          <w:sz w:val="18"/>
          <w:szCs w:val="18"/>
          <w:color w:val="auto"/>
        </w:rPr>
      </w:pPr>
    </w:p>
    <w:p>
      <w:pPr>
        <w:ind w:left="460" w:firstLine="443"/>
        <w:spacing w:after="0" w:line="268" w:lineRule="auto"/>
        <w:tabs>
          <w:tab w:leader="none" w:pos="11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 be due and payable upon demand to the fullest extent permitted by applicable Laws.</w:t>
      </w:r>
    </w:p>
    <w:p>
      <w:pPr>
        <w:spacing w:after="0" w:line="104" w:lineRule="exact"/>
        <w:rPr>
          <w:rFonts w:ascii="Arial" w:cs="Arial" w:eastAsia="Arial" w:hAnsi="Arial"/>
          <w:sz w:val="18"/>
          <w:szCs w:val="18"/>
          <w:color w:val="auto"/>
        </w:rPr>
      </w:pPr>
    </w:p>
    <w:p>
      <w:pPr>
        <w:jc w:val="both"/>
        <w:ind w:firstLine="464"/>
        <w:spacing w:after="0" w:line="259" w:lineRule="auto"/>
        <w:tabs>
          <w:tab w:leader="none" w:pos="7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 addition to certain fees described in subsections (h) and (i) of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44" w:lineRule="exact"/>
        <w:rPr>
          <w:sz w:val="20"/>
          <w:szCs w:val="20"/>
          <w:color w:val="auto"/>
        </w:rPr>
      </w:pPr>
    </w:p>
    <w:p>
      <w:pPr>
        <w:jc w:val="both"/>
        <w:ind w:left="460" w:firstLine="443"/>
        <w:spacing w:after="0" w:line="287" w:lineRule="auto"/>
        <w:tabs>
          <w:tab w:leader="none" w:pos="1137"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The Company shall pay to the Administrative Agent, for the account of each Lender in accordance with its Pro Rata Share, a commitment fee in Dollars equal to the product of (A)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(B) the actual daily amount by which the Aggregate Revolving Commitments exceed the sum of (1) the Outstanding Amount of Revolving Loans and (2) the Outstanding Amount of L/C Obligations, subject to adjustment as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Such commitment fee shall accrue at all times during the Availability Period, including at any time during which one or more of the conditions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Such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Swing Line Loans shall not be considered outstanding for purposes of determining the unused portion of the Aggregate Revolving Commitments.</w:t>
      </w:r>
    </w:p>
    <w:p>
      <w:pPr>
        <w:spacing w:after="0" w:line="95" w:lineRule="exact"/>
        <w:rPr>
          <w:rFonts w:ascii="Arial" w:cs="Arial" w:eastAsia="Arial" w:hAnsi="Arial"/>
          <w:sz w:val="16"/>
          <w:szCs w:val="16"/>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920" w:right="20" w:firstLine="421"/>
        <w:spacing w:after="0" w:line="332" w:lineRule="auto"/>
        <w:tabs>
          <w:tab w:leader="none" w:pos="1558"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shall pay to MLPFS and the Administrative Agent for their own respective accounts, in Dollars, fees in the amounts and at the times specified in the Fee Letter. Such fees shall be fully earned when paid and shall be non-refundable for any reason whatsoever.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52" w:name="page53"/>
    <w:bookmarkEnd w:id="52"/>
    <w:p>
      <w:pPr>
        <w:ind w:left="920" w:right="20" w:firstLine="421"/>
        <w:spacing w:after="0" w:line="268" w:lineRule="auto"/>
        <w:tabs>
          <w:tab w:leader="none" w:pos="1608"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Computation of Interest and Fees; Retroactive Adjustment of Applicable Rate</w:t>
      </w:r>
      <w:r>
        <w:rPr>
          <w:rFonts w:ascii="Arial" w:cs="Arial" w:eastAsia="Arial" w:hAnsi="Arial"/>
          <w:sz w:val="16"/>
          <w:szCs w:val="16"/>
          <w:color w:val="auto"/>
        </w:rPr>
        <w:t>.</w:t>
      </w:r>
    </w:p>
    <w:p>
      <w:pPr>
        <w:spacing w:after="0" w:line="144" w:lineRule="exact"/>
        <w:rPr>
          <w:sz w:val="20"/>
          <w:szCs w:val="20"/>
          <w:color w:val="auto"/>
        </w:rPr>
      </w:pPr>
    </w:p>
    <w:p>
      <w:pPr>
        <w:jc w:val="both"/>
        <w:ind w:firstLine="464"/>
        <w:spacing w:after="0" w:line="253" w:lineRule="auto"/>
        <w:tabs>
          <w:tab w:leader="none" w:pos="7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demonstrable error.</w:t>
      </w:r>
    </w:p>
    <w:p>
      <w:pPr>
        <w:spacing w:after="0" w:line="118" w:lineRule="exact"/>
        <w:rPr>
          <w:rFonts w:ascii="Arial" w:cs="Arial" w:eastAsia="Arial" w:hAnsi="Arial"/>
          <w:sz w:val="18"/>
          <w:szCs w:val="18"/>
          <w:color w:val="auto"/>
        </w:rPr>
      </w:pPr>
    </w:p>
    <w:p>
      <w:pPr>
        <w:jc w:val="both"/>
        <w:ind w:firstLine="464"/>
        <w:spacing w:after="0" w:line="309" w:lineRule="auto"/>
        <w:tabs>
          <w:tab w:leader="none" w:pos="707" w:val="left"/>
        </w:tabs>
        <w:numPr>
          <w:ilvl w:val="0"/>
          <w:numId w:val="50"/>
        </w:numPr>
        <w:rPr>
          <w:rFonts w:ascii="Arial" w:cs="Arial" w:eastAsia="Arial" w:hAnsi="Arial"/>
          <w:sz w:val="15"/>
          <w:szCs w:val="15"/>
          <w:color w:val="auto"/>
        </w:rPr>
      </w:pPr>
      <w:r>
        <w:rPr>
          <w:rFonts w:ascii="Arial" w:cs="Arial" w:eastAsia="Arial" w:hAnsi="Arial"/>
          <w:sz w:val="15"/>
          <w:szCs w:val="15"/>
          <w:color w:val="auto"/>
        </w:rPr>
        <w:t>If, as a result of any restatement of or other adjustment to the financial statements of the Company or for any other reason, the Company or the Lenders determine that (i) the Consolidated Net Leverage Ratio as calculated by the Company as of any applicable date was inaccurate and (ii) a proper calculation of the Consolidated Net Leverage Ratio would have resulted in higher pricing for such period, the Company shall immediately and retroactively be obligated to pay to the Administrative Agent for the account of the applicable Lenders or the L/C Issuer, as the case may be, promptly on demand by the Administrative Agent (accompanied by supporting materials, or, after the occurrence of an actual or deemed entry of an order for relief with respect to the Company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this Agreement. The Company’s obligations under this paragraph shall survive the termination of the Aggregate Revolving Commitments and the repayment of all other Obligations hereunder.</w:t>
      </w:r>
    </w:p>
    <w:p>
      <w:pPr>
        <w:spacing w:after="0" w:line="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u w:val="single" w:color="auto"/>
          <w:color w:val="auto"/>
        </w:rPr>
        <w:t>Evidence of Debt</w:t>
      </w:r>
      <w:r>
        <w:rPr>
          <w:rFonts w:ascii="Arial" w:cs="Arial" w:eastAsia="Arial" w:hAnsi="Arial"/>
          <w:sz w:val="15"/>
          <w:szCs w:val="15"/>
          <w:color w:val="auto"/>
        </w:rPr>
        <w:t>.</w:t>
      </w:r>
    </w:p>
    <w:p>
      <w:pPr>
        <w:spacing w:after="0" w:line="144" w:lineRule="exact"/>
        <w:rPr>
          <w:sz w:val="20"/>
          <w:szCs w:val="20"/>
          <w:color w:val="auto"/>
        </w:rPr>
      </w:pPr>
    </w:p>
    <w:p>
      <w:pPr>
        <w:jc w:val="both"/>
        <w:ind w:firstLine="464"/>
        <w:spacing w:after="0" w:line="287" w:lineRule="auto"/>
        <w:tabs>
          <w:tab w:leader="none" w:pos="73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demonstrable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demonstrable error. Upon the request of any Lender made through the Administrative Agent, the Borrowers shall execute and deliver to such Lender (through the Administrative Agent) a promissory note, which shall evidence such Lender’s Loans in addition to such accounts or records. Each such promissory note shall be in the form of </w:t>
      </w:r>
      <w:r>
        <w:rPr>
          <w:rFonts w:ascii="Arial" w:cs="Arial" w:eastAsia="Arial" w:hAnsi="Arial"/>
          <w:sz w:val="16"/>
          <w:szCs w:val="16"/>
          <w:u w:val="single" w:color="auto"/>
          <w:color w:val="auto"/>
        </w:rPr>
        <w:t>Exhibit 2.11</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Note</w:t>
      </w:r>
      <w:r>
        <w:rPr>
          <w:rFonts w:ascii="Arial" w:cs="Arial" w:eastAsia="Arial" w:hAnsi="Arial"/>
          <w:sz w:val="16"/>
          <w:szCs w:val="16"/>
          <w:color w:val="auto"/>
        </w:rPr>
        <w:t>”). Each Lender may attach schedules to its Note and endorse thereon the date, Type (if applicable), amount, currency and maturity of its Loans and payments with respect thereto.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53" w:name="page54"/>
    <w:bookmarkEnd w:id="53"/>
    <w:p>
      <w:pPr>
        <w:jc w:val="both"/>
        <w:ind w:firstLine="464"/>
        <w:spacing w:after="0" w:line="298" w:lineRule="auto"/>
        <w:tabs>
          <w:tab w:leader="none" w:pos="718"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u w:val="single" w:color="auto"/>
          <w:color w:val="auto"/>
        </w:rPr>
        <w:t>Payments Generally</w:t>
      </w:r>
      <w:r>
        <w:rPr>
          <w:rFonts w:ascii="Arial" w:cs="Arial" w:eastAsia="Arial" w:hAnsi="Arial"/>
          <w:sz w:val="15"/>
          <w:szCs w:val="15"/>
          <w:color w:val="auto"/>
        </w:rPr>
        <w:t>.</w:t>
      </w:r>
    </w:p>
    <w:p>
      <w:pPr>
        <w:spacing w:after="0" w:line="144" w:lineRule="exact"/>
        <w:rPr>
          <w:sz w:val="20"/>
          <w:szCs w:val="20"/>
          <w:color w:val="auto"/>
        </w:rPr>
      </w:pPr>
    </w:p>
    <w:p>
      <w:pPr>
        <w:jc w:val="both"/>
        <w:ind w:firstLine="464"/>
        <w:spacing w:after="0" w:line="285"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Pro Rata Share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shall be deemed received on the next succeeding Business Day and any applicable interest or fee shall continue to accrue. Subject to the definition of “Interest Period”,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96" w:lineRule="exact"/>
        <w:rPr>
          <w:rFonts w:ascii="Arial" w:cs="Arial" w:eastAsia="Arial" w:hAnsi="Arial"/>
          <w:sz w:val="16"/>
          <w:szCs w:val="16"/>
          <w:color w:val="auto"/>
        </w:rPr>
      </w:pPr>
    </w:p>
    <w:p>
      <w:pPr>
        <w:jc w:val="both"/>
        <w:ind w:firstLine="464"/>
        <w:spacing w:after="0" w:line="286" w:lineRule="auto"/>
        <w:tabs>
          <w:tab w:leader="none" w:pos="7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Eurocurrency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54" w:name="page55"/>
    <w:bookmarkEnd w:id="54"/>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16" w:lineRule="exact"/>
        <w:rPr>
          <w:sz w:val="20"/>
          <w:szCs w:val="20"/>
          <w:color w:val="auto"/>
        </w:rPr>
      </w:pPr>
    </w:p>
    <w:p>
      <w:pPr>
        <w:jc w:val="both"/>
        <w:ind w:left="460" w:firstLine="443"/>
        <w:spacing w:after="0" w:line="290" w:lineRule="auto"/>
        <w:tabs>
          <w:tab w:leader="none" w:pos="115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 by Administrative Agent</w:t>
      </w:r>
      <w:r>
        <w:rPr>
          <w:rFonts w:ascii="Arial" w:cs="Arial" w:eastAsia="Arial" w:hAnsi="Arial"/>
          <w:sz w:val="16"/>
          <w:szCs w:val="16"/>
          <w:color w:val="auto"/>
        </w:rPr>
        <w:t>. 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91"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A notice of the Administrative Agent to any Lender or any Borrower with respect to any amount owing under this subsection (b) shall be conclusive, absent demonstrable error.</w:t>
      </w:r>
    </w:p>
    <w:p>
      <w:pPr>
        <w:spacing w:after="0" w:line="105" w:lineRule="exact"/>
        <w:rPr>
          <w:sz w:val="20"/>
          <w:szCs w:val="20"/>
          <w:color w:val="auto"/>
        </w:rPr>
      </w:pPr>
    </w:p>
    <w:p>
      <w:pPr>
        <w:jc w:val="both"/>
        <w:ind w:firstLine="464"/>
        <w:spacing w:after="0" w:line="298"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the applicable Borrower by the Administrative Agent because the conditions to the applicable Credit Extension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85" w:lineRule="exact"/>
        <w:rPr>
          <w:rFonts w:ascii="Arial" w:cs="Arial" w:eastAsia="Arial" w:hAnsi="Arial"/>
          <w:sz w:val="16"/>
          <w:szCs w:val="16"/>
          <w:color w:val="auto"/>
        </w:rPr>
      </w:pPr>
    </w:p>
    <w:p>
      <w:pPr>
        <w:jc w:val="both"/>
        <w:ind w:firstLine="464"/>
        <w:spacing w:after="0" w:line="255" w:lineRule="auto"/>
        <w:tabs>
          <w:tab w:leader="none" w:pos="719"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to fund participations in Letters of Credit and Swing 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20" w:firstLine="464"/>
        <w:spacing w:after="0" w:line="332" w:lineRule="auto"/>
        <w:tabs>
          <w:tab w:leader="none" w:pos="709"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u w:val="single" w:color="auto"/>
          <w:color w:val="auto"/>
        </w:rPr>
        <w:t>Sharing of Payments by Lenders</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5" w:name="page56"/>
    <w:bookmarkEnd w:id="5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05" w:lineRule="exact"/>
        <w:rPr>
          <w:sz w:val="20"/>
          <w:szCs w:val="20"/>
          <w:color w:val="auto"/>
        </w:rPr>
      </w:pPr>
    </w:p>
    <w:p>
      <w:pPr>
        <w:ind w:left="460" w:firstLine="443"/>
        <w:spacing w:after="0" w:line="332" w:lineRule="auto"/>
        <w:tabs>
          <w:tab w:leader="none" w:pos="114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58" w:lineRule="exact"/>
        <w:rPr>
          <w:rFonts w:ascii="Arial" w:cs="Arial" w:eastAsia="Arial" w:hAnsi="Arial"/>
          <w:sz w:val="16"/>
          <w:szCs w:val="16"/>
          <w:color w:val="auto"/>
        </w:rPr>
      </w:pPr>
    </w:p>
    <w:p>
      <w:pPr>
        <w:jc w:val="both"/>
        <w:ind w:left="460" w:firstLine="443"/>
        <w:spacing w:after="0" w:line="294" w:lineRule="auto"/>
        <w:tabs>
          <w:tab w:leader="none" w:pos="1179"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provisions of this Section shall not be construed to apply to (A) any payment made by or on behalf of a Loan Party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6"/>
          <w:szCs w:val="16"/>
          <w:u w:val="single" w:color="auto"/>
          <w:color w:val="auto"/>
        </w:rPr>
        <w:t>Section 2.15</w:t>
      </w:r>
      <w:r>
        <w:rPr>
          <w:rFonts w:ascii="Arial" w:cs="Arial" w:eastAsia="Arial" w:hAnsi="Arial"/>
          <w:sz w:val="16"/>
          <w:szCs w:val="16"/>
          <w:color w:val="auto"/>
        </w:rPr>
        <w:t>, or (C) any payment obtained by a Lender as consideration for the assignment of or sale of a participation in any of its Loans or subparticipations in L/C Obligations or Swing Line Loans to any assignee or participant, other than an assignment to any Loan Party or any Subsidiary (as to which the provisions of this Section shall apply).</w:t>
      </w:r>
    </w:p>
    <w:p>
      <w:pPr>
        <w:spacing w:after="0" w:line="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u w:val="single" w:color="auto"/>
          <w:color w:val="auto"/>
        </w:rPr>
        <w:t>Designated Borrowers</w:t>
      </w:r>
      <w:r>
        <w:rPr>
          <w:rFonts w:ascii="Arial" w:cs="Arial" w:eastAsia="Arial" w:hAnsi="Arial"/>
          <w:sz w:val="15"/>
          <w:szCs w:val="15"/>
          <w:color w:val="auto"/>
        </w:rPr>
        <w:t>.</w:t>
      </w:r>
    </w:p>
    <w:p>
      <w:pPr>
        <w:spacing w:after="0" w:line="144" w:lineRule="exact"/>
        <w:rPr>
          <w:sz w:val="20"/>
          <w:szCs w:val="20"/>
          <w:color w:val="auto"/>
        </w:rPr>
      </w:pPr>
    </w:p>
    <w:p>
      <w:pPr>
        <w:jc w:val="both"/>
        <w:ind w:firstLine="464"/>
        <w:spacing w:after="0" w:line="259" w:lineRule="auto"/>
        <w:tabs>
          <w:tab w:leader="none" w:pos="7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Effective as of the Closing Date, each of Brady Worldwide, Inc., a Wisconsin corporation (“</w:t>
      </w:r>
      <w:r>
        <w:rPr>
          <w:rFonts w:ascii="Arial" w:cs="Arial" w:eastAsia="Arial" w:hAnsi="Arial"/>
          <w:sz w:val="18"/>
          <w:szCs w:val="18"/>
          <w:u w:val="single" w:color="auto"/>
          <w:color w:val="auto"/>
        </w:rPr>
        <w:t>Worldwide</w:t>
      </w:r>
      <w:r>
        <w:rPr>
          <w:rFonts w:ascii="Arial" w:cs="Arial" w:eastAsia="Arial" w:hAnsi="Arial"/>
          <w:sz w:val="18"/>
          <w:szCs w:val="18"/>
          <w:color w:val="auto"/>
        </w:rPr>
        <w:t>”), Tricor Direct, Inc., a Delaware corporation (“</w:t>
      </w:r>
      <w:r>
        <w:rPr>
          <w:rFonts w:ascii="Arial" w:cs="Arial" w:eastAsia="Arial" w:hAnsi="Arial"/>
          <w:sz w:val="18"/>
          <w:szCs w:val="18"/>
          <w:u w:val="single" w:color="auto"/>
          <w:color w:val="auto"/>
        </w:rPr>
        <w:t>Tricor</w:t>
      </w:r>
      <w:r>
        <w:rPr>
          <w:rFonts w:ascii="Arial" w:cs="Arial" w:eastAsia="Arial" w:hAnsi="Arial"/>
          <w:sz w:val="18"/>
          <w:szCs w:val="18"/>
          <w:color w:val="auto"/>
        </w:rPr>
        <w:t>”), and Brady Finance Luxembourg, shall be a “Designated Borrower” hereunder and may receive Loans for its account on the terms and conditions set forth in this Agreement.</w:t>
      </w:r>
    </w:p>
    <w:p>
      <w:pPr>
        <w:spacing w:after="0" w:line="113" w:lineRule="exact"/>
        <w:rPr>
          <w:rFonts w:ascii="Arial" w:cs="Arial" w:eastAsia="Arial" w:hAnsi="Arial"/>
          <w:sz w:val="18"/>
          <w:szCs w:val="18"/>
          <w:color w:val="auto"/>
        </w:rPr>
      </w:pPr>
    </w:p>
    <w:p>
      <w:pPr>
        <w:jc w:val="both"/>
        <w:ind w:firstLine="464"/>
        <w:spacing w:after="0" w:line="285" w:lineRule="auto"/>
        <w:tabs>
          <w:tab w:leader="none" w:pos="71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may at any time, upon not less than 15 Business Days’ notice from the Company to the Administrative Agent (or such shorter period as may be agreed by the Administrative Agent in its sole discretion), request the designation of any Wholly Owned Subsidiary of the Company that is not an Excluded Subsidiary (an “</w:t>
      </w:r>
      <w:r>
        <w:rPr>
          <w:rFonts w:ascii="Arial" w:cs="Arial" w:eastAsia="Arial" w:hAnsi="Arial"/>
          <w:sz w:val="16"/>
          <w:szCs w:val="16"/>
          <w:u w:val="single" w:color="auto"/>
          <w:color w:val="auto"/>
        </w:rPr>
        <w:t>Applicant Borrower</w:t>
      </w:r>
      <w:r>
        <w:rPr>
          <w:rFonts w:ascii="Arial" w:cs="Arial" w:eastAsia="Arial" w:hAnsi="Arial"/>
          <w:sz w:val="16"/>
          <w:szCs w:val="16"/>
          <w:color w:val="auto"/>
        </w:rPr>
        <w:t xml:space="preserve">”) as a Designated Borrower to receive Loans and Letters of Credit hereunder by delivering to the Administrative Agent (which shall promptly deliver copies thereof to each Lender) a duly executed notice in substantially the form of </w:t>
      </w:r>
      <w:r>
        <w:rPr>
          <w:rFonts w:ascii="Arial" w:cs="Arial" w:eastAsia="Arial" w:hAnsi="Arial"/>
          <w:sz w:val="16"/>
          <w:szCs w:val="16"/>
          <w:u w:val="single" w:color="auto"/>
          <w:color w:val="auto"/>
        </w:rPr>
        <w:t>Exhibit 2.14(a)</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Request</w:t>
      </w:r>
      <w:r>
        <w:rPr>
          <w:rFonts w:ascii="Arial" w:cs="Arial" w:eastAsia="Arial" w:hAnsi="Arial"/>
          <w:sz w:val="16"/>
          <w:szCs w:val="16"/>
          <w:color w:val="auto"/>
        </w:rPr>
        <w:t xml:space="preserve">”). If (i) in the case of a Foreign Subsidiary, the Administrative Agent and the Lenders, and (ii) in the case of a Domestic Subsidiary, the Administrative Agent and the Required Lenders, agree (which agreement shall not be unreasonably withheld or delayed) that an Applicant Borrower shall be entitled to receive Loans hereunder, then the Administrative Agent and the Lenders, or the Required Lenders, as applicable, shall send an agreement in substantially the form of </w:t>
      </w:r>
      <w:r>
        <w:rPr>
          <w:rFonts w:ascii="Arial" w:cs="Arial" w:eastAsia="Arial" w:hAnsi="Arial"/>
          <w:sz w:val="16"/>
          <w:szCs w:val="16"/>
          <w:u w:val="single" w:color="auto"/>
          <w:color w:val="auto"/>
        </w:rPr>
        <w:t>Exhibit 2.14(b)</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Joinder Agreement</w:t>
      </w:r>
      <w:r>
        <w:rPr>
          <w:rFonts w:ascii="Arial" w:cs="Arial" w:eastAsia="Arial" w:hAnsi="Arial"/>
          <w:sz w:val="16"/>
          <w:szCs w:val="16"/>
          <w:color w:val="auto"/>
        </w:rPr>
        <w:t xml:space="preserve">”) to the Company specifying, if such Applicant Borrower is a Foreign Subsidiary, the additional terms and conditions applicable to extensions of credit to such Applicant Borrower. Upon the execution of such Designated Borrower Joinder Agreement by the Company, such Applicant Borrower and the Administrative Agent and the satisfaction of the conditions applicable to extensions of credit set forth in the Designated Borrower Joinder Agreement, such Applicant Borrower shall be a Designated Borrower and permitted to receive Loans hereunder, on the terms and conditions set forth herein and therein, and such Applicant Borrower otherwise shall be a Borrower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by the Administrative Agent, no Loan Notice or Letter of Credit Application may be submitted by or on behalf of such Designated Borrower until the date five Business Days after such effective date. The parties hereto acknowledge and agree that prior to any Designated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becoming entitled to utilize the credit facility provided for in this Agreement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in its reasonable discretion.</w:t>
      </w:r>
    </w:p>
    <w:p>
      <w:pPr>
        <w:spacing w:after="0" w:line="113" w:lineRule="exact"/>
        <w:rPr>
          <w:sz w:val="20"/>
          <w:szCs w:val="20"/>
          <w:color w:val="auto"/>
        </w:rPr>
      </w:pPr>
    </w:p>
    <w:p>
      <w:pPr>
        <w:ind w:firstLine="464"/>
        <w:spacing w:after="0" w:line="268" w:lineRule="auto"/>
        <w:tabs>
          <w:tab w:leader="none" w:pos="7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Obligations of the Domestic Borrowers shall be joint and several in nature. The Obligations of each of the Designated Borrowers that is a Foreign Subsidiary shall be several in nature.</w:t>
      </w:r>
    </w:p>
    <w:p>
      <w:pPr>
        <w:spacing w:after="0" w:line="104" w:lineRule="exact"/>
        <w:rPr>
          <w:rFonts w:ascii="Arial" w:cs="Arial" w:eastAsia="Arial" w:hAnsi="Arial"/>
          <w:sz w:val="18"/>
          <w:szCs w:val="18"/>
          <w:color w:val="auto"/>
        </w:rPr>
      </w:pPr>
    </w:p>
    <w:p>
      <w:pPr>
        <w:jc w:val="both"/>
        <w:ind w:firstLine="464"/>
        <w:spacing w:after="0" w:line="289"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Each Subsidiary of the Company that is or becomes a “Designated Borrower”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communication is directed to a specific Designated Borrower, it shall indicate to which Designated Borrower it is directed.</w:t>
      </w:r>
    </w:p>
    <w:p>
      <w:pPr>
        <w:spacing w:after="0" w:line="91" w:lineRule="exact"/>
        <w:rPr>
          <w:rFonts w:ascii="Arial" w:cs="Arial" w:eastAsia="Arial" w:hAnsi="Arial"/>
          <w:sz w:val="16"/>
          <w:szCs w:val="16"/>
          <w:color w:val="auto"/>
        </w:rPr>
      </w:pPr>
    </w:p>
    <w:p>
      <w:pPr>
        <w:jc w:val="both"/>
        <w:ind w:firstLine="464"/>
        <w:spacing w:after="0" w:line="255" w:lineRule="auto"/>
        <w:tabs>
          <w:tab w:leader="none" w:pos="7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upon not less than 10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are no outstanding Loans or L/C Obligations payable by such Designated Borrower, or other amounts payable by such Designated Borrower on account of any Credit Extensions made to it, as of the effective date of such termination. The Administrative Agent will promptly notify the Lenders of any such termination of a Designated Borrower’s status.</w:t>
      </w:r>
    </w:p>
    <w:p>
      <w:pPr>
        <w:spacing w:after="0" w:line="1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u w:val="single" w:color="auto"/>
          <w:color w:val="auto"/>
        </w:rPr>
        <w:t>Cash Collateral</w:t>
      </w:r>
      <w:r>
        <w:rPr>
          <w:rFonts w:ascii="Arial" w:cs="Arial" w:eastAsia="Arial" w:hAnsi="Arial"/>
          <w:sz w:val="15"/>
          <w:szCs w:val="15"/>
          <w:color w:val="auto"/>
        </w:rPr>
        <w:t>.</w:t>
      </w:r>
    </w:p>
    <w:p>
      <w:pPr>
        <w:spacing w:after="0" w:line="144" w:lineRule="exact"/>
        <w:rPr>
          <w:sz w:val="20"/>
          <w:szCs w:val="20"/>
          <w:color w:val="auto"/>
        </w:rPr>
      </w:pPr>
    </w:p>
    <w:p>
      <w:pPr>
        <w:jc w:val="both"/>
        <w:ind w:firstLine="464"/>
        <w:spacing w:after="0" w:line="283" w:lineRule="auto"/>
        <w:tabs>
          <w:tab w:leader="none" w:pos="709"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applicable Borrower shall be required to provide Cash Collateral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or (iv) there shall exist a Defaulting Lender, the applicable Borrower shall immediately (in the case of clause (iii) above) or within one Business Day (in all other cases) following any request by the Administrative Agent or the L/C Issuer provide Cash Collateral in an amount not less than the applicable Minimum Collateral Amount (determined in the case of Cash Collateral provided pursuant to clause</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above, after giving effect to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and any Cash Collateral provided by the Defaulting Lender).</w:t>
      </w:r>
    </w:p>
    <w:p>
      <w:pPr>
        <w:spacing w:after="0" w:line="137" w:lineRule="exact"/>
        <w:rPr>
          <w:rFonts w:ascii="Arial" w:cs="Arial" w:eastAsia="Arial" w:hAnsi="Arial"/>
          <w:sz w:val="18"/>
          <w:szCs w:val="18"/>
          <w:color w:val="auto"/>
        </w:rPr>
      </w:pPr>
    </w:p>
    <w:p>
      <w:pPr>
        <w:jc w:val="both"/>
        <w:ind w:firstLine="464"/>
        <w:spacing w:after="0" w:line="290" w:lineRule="auto"/>
        <w:tabs>
          <w:tab w:leader="none" w:pos="705"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Each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2.15(c)</w:t>
      </w:r>
      <w:r>
        <w:rPr>
          <w:rFonts w:ascii="Arial" w:cs="Arial" w:eastAsia="Arial" w:hAnsi="Arial"/>
          <w:sz w:val="16"/>
          <w:szCs w:val="16"/>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Arial" w:cs="Arial" w:eastAsia="Arial" w:hAnsi="Arial"/>
          <w:sz w:val="16"/>
          <w:szCs w:val="16"/>
          <w:u w:val="single" w:color="auto"/>
          <w:color w:val="auto"/>
        </w:rPr>
        <w:t>Section 7.08(a)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7.08(h)</w:t>
      </w:r>
      <w:r>
        <w:rPr>
          <w:rFonts w:ascii="Arial" w:cs="Arial" w:eastAsia="Arial" w:hAnsi="Arial"/>
          <w:sz w:val="16"/>
          <w:szCs w:val="16"/>
          <w:color w:val="auto"/>
        </w:rPr>
        <w:t>), or that the total amount of such Cash Collateral is less than the Minimum Collateral Amount, the applicable Borrower or the relevant Defaulting Lender will,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7" w:name="page58"/>
    <w:bookmarkEnd w:id="5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upon demand by the Administrative Agent (which demand shall include a reasonably detailed accounting of the amount so demanded), pay or provide to the Administrative Agent additional Cash Collateral in an amount sufficient to eliminate such deficiency. All Cash Collateral (other than credit support not constituting funds subject to deposit) shall be maintained in one or more Controlled Accounts at Bank of America. The applicable Borrower or the relevant Defaulting Lender shall pay on demand therefor from time to time all customary account opening, activity and other administrative fees and charges in connection with the maintenance and disbursement of Cash Collateral.</w:t>
      </w:r>
    </w:p>
    <w:p>
      <w:pPr>
        <w:spacing w:after="0" w:line="116" w:lineRule="exact"/>
        <w:rPr>
          <w:sz w:val="20"/>
          <w:szCs w:val="20"/>
          <w:color w:val="auto"/>
        </w:rPr>
      </w:pPr>
    </w:p>
    <w:p>
      <w:pPr>
        <w:jc w:val="both"/>
        <w:ind w:firstLine="464"/>
        <w:spacing w:after="0" w:line="298" w:lineRule="auto"/>
        <w:tabs>
          <w:tab w:leader="none" w:pos="69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w:t>
      </w:r>
      <w:r>
        <w:rPr>
          <w:rFonts w:ascii="Arial" w:cs="Arial" w:eastAsia="Arial" w:hAnsi="Arial"/>
          <w:sz w:val="16"/>
          <w:szCs w:val="16"/>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85" w:lineRule="exact"/>
        <w:rPr>
          <w:rFonts w:ascii="Arial" w:cs="Arial" w:eastAsia="Arial" w:hAnsi="Arial"/>
          <w:sz w:val="16"/>
          <w:szCs w:val="16"/>
          <w:color w:val="auto"/>
        </w:rPr>
      </w:pPr>
    </w:p>
    <w:p>
      <w:pPr>
        <w:jc w:val="both"/>
        <w:ind w:firstLine="464"/>
        <w:spacing w:after="0" w:line="290" w:lineRule="auto"/>
        <w:tabs>
          <w:tab w:leader="none" w:pos="719"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11.06(b)(vi)</w:t>
      </w:r>
      <w:r>
        <w:rPr>
          <w:rFonts w:ascii="Arial" w:cs="Arial" w:eastAsia="Arial" w:hAnsi="Arial"/>
          <w:sz w:val="16"/>
          <w:szCs w:val="16"/>
          <w:color w:val="auto"/>
        </w:rPr>
        <w:t xml:space="preserve">)) or (ii) the good faith determination by the Administrative Agent and, to the extent the Cash Collateral was provided for the benefit of the L/C Issuer, the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144" w:lineRule="exact"/>
        <w:rPr>
          <w:sz w:val="20"/>
          <w:szCs w:val="20"/>
          <w:color w:val="auto"/>
        </w:rPr>
      </w:pPr>
    </w:p>
    <w:p>
      <w:pPr>
        <w:ind w:firstLine="464"/>
        <w:spacing w:after="0" w:line="268"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or any other Loan Document, if any Lender becomes a Defaulting Lender, then, until such time as that Lender is no longer a Defaulting Lender, to the extent permitted by applicable Law:</w:t>
      </w:r>
    </w:p>
    <w:p>
      <w:pPr>
        <w:spacing w:after="0" w:line="104" w:lineRule="exact"/>
        <w:rPr>
          <w:rFonts w:ascii="Arial" w:cs="Arial" w:eastAsia="Arial" w:hAnsi="Arial"/>
          <w:sz w:val="18"/>
          <w:szCs w:val="18"/>
          <w:color w:val="auto"/>
        </w:rPr>
      </w:pPr>
    </w:p>
    <w:p>
      <w:pPr>
        <w:ind w:left="460" w:firstLine="443"/>
        <w:spacing w:after="0" w:line="268" w:lineRule="auto"/>
        <w:tabs>
          <w:tab w:leader="none" w:pos="1121"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04" w:lineRule="exact"/>
        <w:rPr>
          <w:rFonts w:ascii="Arial" w:cs="Arial" w:eastAsia="Arial" w:hAnsi="Arial"/>
          <w:sz w:val="18"/>
          <w:szCs w:val="18"/>
          <w:color w:val="auto"/>
        </w:rPr>
      </w:pPr>
    </w:p>
    <w:p>
      <w:pPr>
        <w:jc w:val="both"/>
        <w:ind w:left="460" w:firstLine="443"/>
        <w:spacing w:after="0" w:line="288" w:lineRule="auto"/>
        <w:tabs>
          <w:tab w:leader="none" w:pos="1156"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the L/C Issuer or Swing 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the L/C Issuer’s Fronting Exposure with respect to such Defaulting Lender in accordance with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if so determined by the Administrative Agent and the Company, to be held in a deposit account and released pro rata in order to (x) satisfy such Defaulting Lender’s potential future funding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8" w:name="page59"/>
    <w:bookmarkEnd w:id="58"/>
    <w:p>
      <w:pPr>
        <w:jc w:val="both"/>
        <w:ind w:left="4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6"/>
          <w:szCs w:val="16"/>
          <w:u w:val="single" w:color="auto"/>
          <w:color w:val="auto"/>
        </w:rPr>
        <w:t>Section 2.16(b)</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2.16(a)(ii)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99" w:lineRule="exact"/>
        <w:rPr>
          <w:sz w:val="20"/>
          <w:szCs w:val="20"/>
          <w:color w:val="auto"/>
        </w:rPr>
      </w:pPr>
    </w:p>
    <w:p>
      <w:pPr>
        <w:ind w:left="1200" w:hanging="297"/>
        <w:spacing w:after="0"/>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920" w:firstLine="421"/>
        <w:spacing w:after="0" w:line="259" w:lineRule="auto"/>
        <w:tabs>
          <w:tab w:leader="none" w:pos="1649"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113" w:lineRule="exact"/>
        <w:rPr>
          <w:rFonts w:ascii="Arial" w:cs="Arial" w:eastAsia="Arial" w:hAnsi="Arial"/>
          <w:sz w:val="18"/>
          <w:szCs w:val="18"/>
          <w:color w:val="auto"/>
        </w:rPr>
      </w:pPr>
    </w:p>
    <w:p>
      <w:pPr>
        <w:jc w:val="both"/>
        <w:ind w:left="920" w:firstLine="421"/>
        <w:spacing w:after="0" w:line="259" w:lineRule="auto"/>
        <w:tabs>
          <w:tab w:leader="none" w:pos="1628"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620" w:hanging="279"/>
        <w:spacing w:after="0"/>
        <w:tabs>
          <w:tab w:leader="none" w:pos="1620" w:val="left"/>
        </w:tabs>
        <w:numPr>
          <w:ilvl w:val="2"/>
          <w:numId w:val="63"/>
        </w:numPr>
        <w:rPr>
          <w:rFonts w:ascii="Arial" w:cs="Arial" w:eastAsia="Arial" w:hAnsi="Arial"/>
          <w:sz w:val="16"/>
          <w:szCs w:val="16"/>
          <w:color w:val="auto"/>
        </w:rPr>
      </w:pPr>
      <w:r>
        <w:rPr>
          <w:rFonts w:ascii="Arial" w:cs="Arial" w:eastAsia="Arial" w:hAnsi="Arial"/>
          <w:sz w:val="16"/>
          <w:szCs w:val="16"/>
          <w:color w:val="auto"/>
        </w:rPr>
        <w:t>With respect to any Letter of Credit Fee not required to be paid to any Defaulting Lender pursuant to clause (B) above, the Borrowers shall</w:t>
      </w:r>
    </w:p>
    <w:p>
      <w:pPr>
        <w:spacing w:after="0" w:line="38" w:lineRule="exact"/>
        <w:rPr>
          <w:rFonts w:ascii="Arial" w:cs="Arial" w:eastAsia="Arial" w:hAnsi="Arial"/>
          <w:sz w:val="16"/>
          <w:szCs w:val="16"/>
          <w:color w:val="auto"/>
        </w:rPr>
      </w:pPr>
    </w:p>
    <w:p>
      <w:pPr>
        <w:jc w:val="both"/>
        <w:ind w:left="92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(x) pay to each Non-Defaulting Lender that portion of any such fee otherwise payable to such Defaulting Lender with respect to such Defaulting Lender’s participation in L/C Obligations that has been reallocated to such Non-Defaulting Lender pursuant to clause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below, (y) pay to the L/C Issuer the amount of any such fee otherwise payable to such Defaulting Lender to the extent allocable to such L/C Issuer’s Fronting Exposure to such Defaulting Lender, and (z) not be required to pay the remaining amount of any such fee.</w:t>
      </w:r>
    </w:p>
    <w:p>
      <w:pPr>
        <w:spacing w:after="0" w:line="88" w:lineRule="exact"/>
        <w:rPr>
          <w:rFonts w:ascii="Arial" w:cs="Arial" w:eastAsia="Arial" w:hAnsi="Arial"/>
          <w:sz w:val="16"/>
          <w:szCs w:val="16"/>
          <w:color w:val="auto"/>
        </w:rPr>
      </w:pPr>
    </w:p>
    <w:p>
      <w:pPr>
        <w:jc w:val="both"/>
        <w:ind w:firstLine="464"/>
        <w:spacing w:after="0" w:line="298"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Reallocation of Pro Rata Shares to Reduce Fronting Exposure</w:t>
      </w:r>
      <w:r>
        <w:rPr>
          <w:rFonts w:ascii="Arial" w:cs="Arial" w:eastAsia="Arial" w:hAnsi="Arial"/>
          <w:sz w:val="16"/>
          <w:szCs w:val="16"/>
          <w:color w:val="auto"/>
        </w:rPr>
        <w:t xml:space="preserve">.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(x)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are satisfied at the time of such reallocation (and, unless the Company shall have otherwise notified the Administrative Agent at such time, the Borrowers shall be deemed to have represented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9" w:name="page60"/>
    <w:bookmarkEnd w:id="59"/>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warranted that such conditions are satisfied at such time), and (y) such reallocation does not cause the portion of the Total Revolving Outstandings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16" w:lineRule="exact"/>
        <w:rPr>
          <w:sz w:val="20"/>
          <w:szCs w:val="20"/>
          <w:color w:val="auto"/>
        </w:rPr>
      </w:pPr>
    </w:p>
    <w:p>
      <w:pPr>
        <w:jc w:val="both"/>
        <w:ind w:firstLine="464"/>
        <w:spacing w:after="0" w:line="256" w:lineRule="auto"/>
        <w:tabs>
          <w:tab w:leader="none" w:pos="72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cannot, or can only partially, be effected, the Borrowers shall, without prejudice to any right or remedy available to it hereunder or under applicable Law,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Swing Line Loans in an amount equal to the Swing Line Lenders’ Fronting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the L/C Issuers’ Fronting Exposure in accordance with the procedures set forth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firstLine="464"/>
        <w:spacing w:after="0" w:line="286" w:lineRule="auto"/>
        <w:tabs>
          <w:tab w:leader="none" w:pos="70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The Administrative Agent agrees to promptly notify the Company upon the Administrative Agent’s actual knowledge of any Lender becoming a Defaulting Lender and the Administrative Agent’s actual knowledge of the occurrence of any Lender ceasing to be a Defaulting Lender. If the Company,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Pro Rata Shares (without giving effect to </w:t>
      </w:r>
      <w:r>
        <w:rPr>
          <w:rFonts w:ascii="Arial" w:cs="Arial" w:eastAsia="Arial" w:hAnsi="Arial"/>
          <w:sz w:val="16"/>
          <w:szCs w:val="16"/>
          <w:u w:val="single" w:color="auto"/>
          <w:color w:val="auto"/>
        </w:rPr>
        <w:t>Section 2.16(b)</w:t>
      </w:r>
      <w:r>
        <w:rPr>
          <w:rFonts w:ascii="Arial" w:cs="Arial" w:eastAsia="Arial" w:hAnsi="Arial"/>
          <w:sz w:val="16"/>
          <w:szCs w:val="16"/>
          <w:color w:val="auto"/>
        </w:rPr>
        <w:t xml:space="preserve"> as to such Lender),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TAXES, YIELD PROTECTION AND ILLEGALITY</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144" w:lineRule="exact"/>
        <w:rPr>
          <w:sz w:val="20"/>
          <w:szCs w:val="20"/>
          <w:color w:val="auto"/>
        </w:rPr>
      </w:pPr>
    </w:p>
    <w:p>
      <w:pPr>
        <w:ind w:left="700" w:hanging="23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460" w:firstLine="443"/>
        <w:spacing w:after="0" w:line="255" w:lineRule="auto"/>
        <w:tabs>
          <w:tab w:leader="none" w:pos="113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115" w:lineRule="exact"/>
        <w:rPr>
          <w:rFonts w:ascii="Arial" w:cs="Arial" w:eastAsia="Arial" w:hAnsi="Arial"/>
          <w:sz w:val="18"/>
          <w:szCs w:val="18"/>
          <w:color w:val="auto"/>
        </w:rPr>
      </w:pPr>
    </w:p>
    <w:p>
      <w:pPr>
        <w:ind w:left="460" w:firstLine="443"/>
        <w:spacing w:after="0" w:line="332" w:lineRule="auto"/>
        <w:tabs>
          <w:tab w:leader="none" w:pos="1167"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any Loan Party or the Administrative Agent shall be required by the Internal Revenue Code to withhold or deduct any Taxes, including both United States Federal backup withholding and withholding taxes, from any payment, then (A) the Administrative Agent shall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60" w:name="page61"/>
    <w:bookmarkEnd w:id="60"/>
    <w:p>
      <w:pPr>
        <w:jc w:val="both"/>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withhold or make such deductions as are determined by the Administrative Agent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93" w:lineRule="exact"/>
        <w:rPr>
          <w:sz w:val="20"/>
          <w:szCs w:val="20"/>
          <w:color w:val="auto"/>
        </w:rPr>
      </w:pPr>
    </w:p>
    <w:p>
      <w:pPr>
        <w:jc w:val="both"/>
        <w:ind w:left="460" w:firstLine="443"/>
        <w:spacing w:after="0" w:line="289" w:lineRule="auto"/>
        <w:tabs>
          <w:tab w:leader="none" w:pos="1219"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91" w:lineRule="exact"/>
        <w:rPr>
          <w:rFonts w:ascii="Arial" w:cs="Arial" w:eastAsia="Arial" w:hAnsi="Arial"/>
          <w:sz w:val="16"/>
          <w:szCs w:val="16"/>
          <w:color w:val="auto"/>
        </w:rPr>
      </w:pPr>
    </w:p>
    <w:p>
      <w:pPr>
        <w:jc w:val="both"/>
        <w:ind w:firstLine="464"/>
        <w:spacing w:after="0" w:line="259"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113" w:lineRule="exact"/>
        <w:rPr>
          <w:rFonts w:ascii="Arial" w:cs="Arial" w:eastAsia="Arial" w:hAnsi="Arial"/>
          <w:sz w:val="18"/>
          <w:szCs w:val="18"/>
          <w:color w:val="auto"/>
        </w:rPr>
      </w:pPr>
    </w:p>
    <w:p>
      <w:pPr>
        <w:jc w:val="both"/>
        <w:ind w:firstLine="464"/>
        <w:spacing w:after="0" w:line="288"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(i) Each of the Loan Parties shall, and does hereby, jointly and severally indemnify each Recipient, and shall make payment in respect thereof within ten Business Days after written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the L/C Issuer (with a copy to the Administrative Agent), or by the Administrative Agent on its own behalf or on behalf of a Lender or the L/C Issuer, shall be conclusive absent demonstrable error. Each of the Loan Parties shall, and does hereby, jointly and severally indemnify the Administrative Agent, and shall make payment in respect thereof within ten Business Days after demand therefor, for any amount which a Lender or the L/C Issuer for any reason fails to pay indefeasibly to the Administrative Agent as required pursuant to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below.</w:t>
      </w:r>
    </w:p>
    <w:p>
      <w:pPr>
        <w:spacing w:after="0" w:line="92" w:lineRule="exact"/>
        <w:rPr>
          <w:rFonts w:ascii="Arial" w:cs="Arial" w:eastAsia="Arial" w:hAnsi="Arial"/>
          <w:sz w:val="16"/>
          <w:szCs w:val="16"/>
          <w:color w:val="auto"/>
        </w:rPr>
      </w:pPr>
    </w:p>
    <w:p>
      <w:pPr>
        <w:jc w:val="both"/>
        <w:ind w:left="460" w:firstLine="443"/>
        <w:spacing w:after="0" w:line="255" w:lineRule="auto"/>
        <w:tabs>
          <w:tab w:leader="none" w:pos="1176"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relating to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61" w:name="page62"/>
    <w:bookmarkEnd w:id="61"/>
    <w:p>
      <w:pPr>
        <w:jc w:val="both"/>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shall be conclusive absent demonstrable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91" w:lineRule="exact"/>
        <w:rPr>
          <w:sz w:val="20"/>
          <w:szCs w:val="20"/>
          <w:color w:val="auto"/>
        </w:rPr>
      </w:pPr>
    </w:p>
    <w:p>
      <w:pPr>
        <w:jc w:val="both"/>
        <w:ind w:firstLine="464"/>
        <w:spacing w:after="0" w:line="255" w:lineRule="auto"/>
        <w:tabs>
          <w:tab w:leader="none" w:pos="71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any Loan Party or the Administrative Agent, as the case may be, after any payment of Taxes by such Loan Party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115" w:lineRule="exact"/>
        <w:rPr>
          <w:rFonts w:ascii="Arial" w:cs="Arial" w:eastAsia="Arial" w:hAnsi="Arial"/>
          <w:sz w:val="18"/>
          <w:szCs w:val="18"/>
          <w:color w:val="auto"/>
        </w:rPr>
      </w:pPr>
    </w:p>
    <w:p>
      <w:pPr>
        <w:ind w:left="700" w:hanging="23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460" w:firstLine="443"/>
        <w:spacing w:after="0" w:line="286" w:lineRule="auto"/>
        <w:tabs>
          <w:tab w:leader="none" w:pos="1119"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Any Lender and, to the extent the L/C Issuer is not also a Lender under this Agreement, the L/C Issuer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and, to the extent the L/C Issuer is not also a Lender under this Agreement, the L/C Issuer,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or the L/C Issuer, as applicable,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3.01(e)(ii)(B)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shall not be required if in the Lender’s or the L/C Issuer’s reasonable judgment such completion, execution or submission would subject such Lender or the L/C Issuer, as applicable, to any material unreimbursed cost or expense or would materially prejudice the legal or commercial position of such Lender or the L/C Issuer, as applicable.</w:t>
      </w:r>
    </w:p>
    <w:p>
      <w:pPr>
        <w:spacing w:after="0" w:line="97" w:lineRule="exact"/>
        <w:rPr>
          <w:rFonts w:ascii="Arial" w:cs="Arial" w:eastAsia="Arial" w:hAnsi="Arial"/>
          <w:sz w:val="16"/>
          <w:szCs w:val="16"/>
          <w:color w:val="auto"/>
        </w:rPr>
      </w:pPr>
    </w:p>
    <w:p>
      <w:pPr>
        <w:ind w:left="1160" w:hanging="257"/>
        <w:spacing w:after="0"/>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a U.S. Person,</w:t>
      </w:r>
    </w:p>
    <w:p>
      <w:pPr>
        <w:spacing w:after="0" w:line="144" w:lineRule="exact"/>
        <w:rPr>
          <w:rFonts w:ascii="Arial" w:cs="Arial" w:eastAsia="Arial" w:hAnsi="Arial"/>
          <w:sz w:val="18"/>
          <w:szCs w:val="18"/>
          <w:color w:val="auto"/>
        </w:rPr>
      </w:pPr>
    </w:p>
    <w:p>
      <w:pPr>
        <w:jc w:val="both"/>
        <w:ind w:left="920" w:firstLine="421"/>
        <w:spacing w:after="0" w:line="298" w:lineRule="auto"/>
        <w:tabs>
          <w:tab w:leader="none" w:pos="1630" w:val="left"/>
        </w:tabs>
        <w:numPr>
          <w:ilvl w:val="2"/>
          <w:numId w:val="69"/>
        </w:numPr>
        <w:rPr>
          <w:rFonts w:ascii="Arial" w:cs="Arial" w:eastAsia="Arial" w:hAnsi="Arial"/>
          <w:sz w:val="16"/>
          <w:szCs w:val="16"/>
          <w:color w:val="auto"/>
        </w:rPr>
      </w:pPr>
      <w:r>
        <w:rPr>
          <w:rFonts w:ascii="Arial" w:cs="Arial" w:eastAsia="Arial" w:hAnsi="Arial"/>
          <w:sz w:val="16"/>
          <w:szCs w:val="16"/>
          <w:color w:val="auto"/>
        </w:rPr>
        <w:t>any Lender and, to the extent the L/C Issuer is not also a Lender under this Agreement, the L/C Issuer that is a U.S. Person shall deliver to such Borrower and the Administrative Agent on or prior to the date on which such Lender becomes a Lender under this Agreement (and from time to time thereafter upon the reasonable request of such Borrower or the Administrative Agent), duly completed and executed originals of IRS Form W-9 certifying that such Lender is exempt from U.S. federal backup withholding tax;</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62" w:name="page63"/>
    <w:bookmarkEnd w:id="62"/>
    <w:p>
      <w:pPr>
        <w:jc w:val="both"/>
        <w:ind w:left="-280" w:firstLine="421"/>
        <w:spacing w:after="0" w:line="256" w:lineRule="auto"/>
        <w:tabs>
          <w:tab w:leader="none" w:pos="439"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16" w:lineRule="exact"/>
        <w:rPr>
          <w:rFonts w:ascii="Arial" w:cs="Arial" w:eastAsia="Arial" w:hAnsi="Arial"/>
          <w:sz w:val="18"/>
          <w:szCs w:val="18"/>
          <w:color w:val="auto"/>
        </w:rPr>
      </w:pPr>
    </w:p>
    <w:p>
      <w:pPr>
        <w:jc w:val="both"/>
        <w:ind w:left="300" w:firstLine="389"/>
        <w:spacing w:after="0" w:line="294" w:lineRule="auto"/>
        <w:tabs>
          <w:tab w:leader="none" w:pos="946"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duly completed and executed originals of IRS Form W-8BEN establishing an exemption from, or reduction of, U.S. federal withholding Tax pursuant to the “interest” article of such tax treaty and (y) with respect to any other applicable payments under any Loan Document, duly completed and executed originals of IRS Form W-8BEN establishing an exemption from, or reduction of, U.S. federal withholding Tax pursuant to the “business profits” or “other income” article of such tax treaty;</w:t>
      </w:r>
    </w:p>
    <w:p>
      <w:pPr>
        <w:spacing w:after="0" w:line="88" w:lineRule="exact"/>
        <w:rPr>
          <w:rFonts w:ascii="Arial" w:cs="Arial" w:eastAsia="Arial" w:hAnsi="Arial"/>
          <w:sz w:val="16"/>
          <w:szCs w:val="16"/>
          <w:color w:val="auto"/>
        </w:rPr>
      </w:pPr>
    </w:p>
    <w:p>
      <w:pPr>
        <w:ind w:left="940" w:hanging="251"/>
        <w:spacing w:after="0"/>
        <w:tabs>
          <w:tab w:leader="none" w:pos="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44" w:lineRule="exact"/>
        <w:rPr>
          <w:rFonts w:ascii="Arial" w:cs="Arial" w:eastAsia="Arial" w:hAnsi="Arial"/>
          <w:sz w:val="18"/>
          <w:szCs w:val="18"/>
          <w:color w:val="auto"/>
        </w:rPr>
      </w:pPr>
    </w:p>
    <w:p>
      <w:pPr>
        <w:jc w:val="both"/>
        <w:ind w:left="300" w:firstLine="389"/>
        <w:spacing w:after="0" w:line="294" w:lineRule="auto"/>
        <w:tabs>
          <w:tab w:leader="none" w:pos="9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Internal Revenue Code, (x) a certificate substantially in the form of </w:t>
      </w:r>
      <w:r>
        <w:rPr>
          <w:rFonts w:ascii="Arial" w:cs="Arial" w:eastAsia="Arial" w:hAnsi="Arial"/>
          <w:sz w:val="16"/>
          <w:szCs w:val="16"/>
          <w:u w:val="single" w:color="auto"/>
          <w:color w:val="auto"/>
        </w:rPr>
        <w:t>Exhibit 3.01-A</w:t>
      </w:r>
      <w:r>
        <w:rPr>
          <w:rFonts w:ascii="Arial" w:cs="Arial" w:eastAsia="Arial" w:hAnsi="Arial"/>
          <w:sz w:val="16"/>
          <w:szCs w:val="16"/>
          <w:color w:val="auto"/>
        </w:rPr>
        <w:t xml:space="preserve"> to the effect that such Foreign Lender is not a “bank” within the meaning of Section 881(c)(3)(A) of the Internal Revenue Code, a “10 percent shareholder” of such Borrower within the meaning of Section 881(c)(3)(B) of the Internal Revenue Code, or a “controlled foreign corporation” described in Section 881(c)(3)(C) of the Internal Revenue Code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 (y) duly completed and executed originals of IRS Form W-8BEN; or</w:t>
      </w:r>
    </w:p>
    <w:p>
      <w:pPr>
        <w:spacing w:after="0" w:line="88" w:lineRule="exact"/>
        <w:rPr>
          <w:rFonts w:ascii="Arial" w:cs="Arial" w:eastAsia="Arial" w:hAnsi="Arial"/>
          <w:sz w:val="16"/>
          <w:szCs w:val="16"/>
          <w:color w:val="auto"/>
        </w:rPr>
      </w:pPr>
    </w:p>
    <w:p>
      <w:pPr>
        <w:jc w:val="both"/>
        <w:ind w:left="300" w:firstLine="389"/>
        <w:spacing w:after="0" w:line="254" w:lineRule="auto"/>
        <w:tabs>
          <w:tab w:leader="none" w:pos="987"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duly completed and executed originals of IRS Form W-8IMY, accompanied by IRS Form W-8ECI, IRS Form W-8BEN, a U.S. Tax Compliance Certificate substantially in the form of </w:t>
      </w:r>
      <w:r>
        <w:rPr>
          <w:rFonts w:ascii="Arial" w:cs="Arial" w:eastAsia="Arial" w:hAnsi="Arial"/>
          <w:sz w:val="18"/>
          <w:szCs w:val="18"/>
          <w:u w:val="single" w:color="auto"/>
          <w:color w:val="auto"/>
        </w:rPr>
        <w:t>Exhibit 3.01-B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3.01-C</w:t>
      </w:r>
      <w:r>
        <w:rPr>
          <w:rFonts w:ascii="Arial" w:cs="Arial" w:eastAsia="Arial" w:hAnsi="Arial"/>
          <w:sz w:val="18"/>
          <w:szCs w:val="18"/>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3.01-D</w:t>
      </w:r>
      <w:r>
        <w:rPr>
          <w:rFonts w:ascii="Arial" w:cs="Arial" w:eastAsia="Arial" w:hAnsi="Arial"/>
          <w:sz w:val="18"/>
          <w:szCs w:val="18"/>
          <w:color w:val="auto"/>
        </w:rPr>
        <w:t xml:space="preserve"> on behalf of each such direct and indirect partner;</w:t>
      </w:r>
    </w:p>
    <w:p>
      <w:pPr>
        <w:spacing w:after="0" w:line="117" w:lineRule="exact"/>
        <w:rPr>
          <w:rFonts w:ascii="Arial" w:cs="Arial" w:eastAsia="Arial" w:hAnsi="Arial"/>
          <w:sz w:val="18"/>
          <w:szCs w:val="18"/>
          <w:color w:val="auto"/>
        </w:rPr>
      </w:pPr>
    </w:p>
    <w:p>
      <w:pPr>
        <w:jc w:val="both"/>
        <w:ind w:left="-280" w:firstLine="421"/>
        <w:spacing w:after="0" w:line="254" w:lineRule="auto"/>
        <w:tabs>
          <w:tab w:leader="none" w:pos="4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20"/>
          </w:cols>
          <w:pgMar w:left="1440" w:top="280" w:right="239" w:bottom="1440" w:gutter="0" w:footer="0" w:header="0"/>
        </w:sectPr>
      </w:pPr>
    </w:p>
    <w:bookmarkStart w:id="63" w:name="page64"/>
    <w:bookmarkEnd w:id="63"/>
    <w:p>
      <w:pPr>
        <w:jc w:val="both"/>
        <w:ind w:left="920" w:firstLine="421"/>
        <w:spacing w:after="0" w:line="287" w:lineRule="auto"/>
        <w:tabs>
          <w:tab w:leader="none" w:pos="1633" w:val="left"/>
        </w:tabs>
        <w:numPr>
          <w:ilvl w:val="2"/>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payment made to a Lender or the L/C Issuer under any Loan Document would be subject to U.S. federal withholding Tax imposed by FATCA if such Lender or the L/C Issuer were to fail to comply with the applicable reporting requirements of FATCA (including those contained in Section 1471(b) or 1472(b) of the Internal Revenue Code, as applicable), such Lender and, to the extent the L/C Issuer is not also a Lender under this Agreement, the L/C Issuer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and the Administrative Agent to comply with their obligations under FATCA and to determine that such Lender or the L/C Issuer, as applicable, has complied with such Lender’s or the L/C Issuer’s, as applicable, obligations under FATCA or to determine the amount to deduct and withhold from such payment. Solely for purposes of this clause (D), “FATCA” shall include any amendments made to FATCA after the Closing Date.</w:t>
      </w:r>
    </w:p>
    <w:p>
      <w:pPr>
        <w:spacing w:after="0" w:line="95" w:lineRule="exact"/>
        <w:rPr>
          <w:rFonts w:ascii="Arial" w:cs="Arial" w:eastAsia="Arial" w:hAnsi="Arial"/>
          <w:sz w:val="16"/>
          <w:szCs w:val="16"/>
          <w:color w:val="auto"/>
        </w:rPr>
      </w:pPr>
    </w:p>
    <w:p>
      <w:pPr>
        <w:jc w:val="both"/>
        <w:ind w:left="460" w:firstLine="443"/>
        <w:spacing w:after="0" w:line="259" w:lineRule="auto"/>
        <w:tabs>
          <w:tab w:leader="none" w:pos="1209"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Each Lender and, to the extent the L/C Issuer is not also a Lender under this Agreement, the L/C Issuer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13" w:lineRule="exact"/>
        <w:rPr>
          <w:rFonts w:ascii="Arial" w:cs="Arial" w:eastAsia="Arial" w:hAnsi="Arial"/>
          <w:sz w:val="18"/>
          <w:szCs w:val="18"/>
          <w:color w:val="auto"/>
        </w:rPr>
      </w:pPr>
    </w:p>
    <w:p>
      <w:pPr>
        <w:jc w:val="both"/>
        <w:ind w:firstLine="464"/>
        <w:spacing w:after="0" w:line="285" w:lineRule="auto"/>
        <w:tabs>
          <w:tab w:leader="none" w:pos="70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or Other Taxes as to which it has been indemnified by any Loan Party or with respect to which any Loan Party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or Other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to the extent that the payment of such amount would place the Recipient in a less favorable net after-Tax position than such Recipient would have been in if the indemnification payments or additional amounts giving rise to such refund had never been paid. This subsection shall not be construed to require any Recipient to make available its tax returns (or any other information relating to its taxes that it deems confidential) to any Loan Party or any other Person.</w:t>
      </w:r>
    </w:p>
    <w:p>
      <w:pPr>
        <w:spacing w:after="0" w:line="101" w:lineRule="exact"/>
        <w:rPr>
          <w:rFonts w:ascii="Arial" w:cs="Arial" w:eastAsia="Arial" w:hAnsi="Arial"/>
          <w:sz w:val="16"/>
          <w:szCs w:val="16"/>
          <w:color w:val="auto"/>
        </w:rPr>
      </w:pPr>
    </w:p>
    <w:p>
      <w:pPr>
        <w:jc w:val="both"/>
        <w:ind w:firstLine="464"/>
        <w:spacing w:after="0" w:line="259"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64" w:name="page65"/>
    <w:bookmarkEnd w:id="6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3.02</w:t>
      </w:r>
      <w:r>
        <w:rPr>
          <w:sz w:val="20"/>
          <w:szCs w:val="20"/>
          <w:color w:val="auto"/>
        </w:rPr>
        <w:tab/>
      </w:r>
      <w:r>
        <w:rPr>
          <w:rFonts w:ascii="Arial" w:cs="Arial" w:eastAsia="Arial" w:hAnsi="Arial"/>
          <w:sz w:val="16"/>
          <w:szCs w:val="16"/>
          <w:u w:val="single" w:color="auto"/>
          <w:color w:val="auto"/>
        </w:rPr>
        <w:t>Illegality</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applicable Lending Office to make, maintain or fund Loans whose interest rate is determined by reference to the Eurocurrency Base Rate (whether denominated in Dollars or an Alternative Currency), or to determine or charge interest rates based upon the Eurocurrency Base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Eurocurrency Rate Loans in the affected currency or currencies or, in the case of Eurocurrency Rate Loans denominated in Dollars, to convert Base Rate Loans to Eurocurrency Rate Loans shall be suspended and (ii) if such notice asserts the illegality of such Lender making or maintaining Base Rate Loans the interest rate on which is determined by reference to the Eurocurrency Base Rate component of the Base Rate, the interest rate on which Base Rate Loans of such Lender, shall, if necessary to avoid such illegality, be determined by the Administrative Agent without reference to the Eurocurrency Base Rate component of the Base Rate, in each case until such Lender notifies the Administrative Agent and the Company that the circumstances giving rise to such determination no longer exist (and each Lender hereby agrees to provide such notice when such circumstances no longer exist). Upon receipt of such notice by the Company, (x) the Borrowers shall,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Eurocurrency Base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Base Rate, the Administrative Agent shall during the period of such suspension compute the Base Rate applicable to such Lender without reference to the Eurocurrency Base Rate component thereof until the Administrative Agent is advised in writing by such Lender that it is no longer illegal for such Lender to determine or charge interest rates based upon the Eurocurrency Base Rate (and each Lender hereby agrees to provide notice to the Administrative Agent and the Company when such illegality ceases to exist). Upon any such prepayment or conversion, the Borrowers shall also pay accrued interest on the amount so prepaid or converted.</w:t>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If the Required Lenders determine that for any reason in connection with any request for a Eurocurrency Rate Loan or a conversion to or continuation thereof that (i) deposits (whether in Dollars or an Alternative Currency) are not being offered to banks in the applicable offshore interbank market for such currency for the applicable amount and Interest Period of such Eurocurrency Rate Loan, (ii) adequate and reasonable means do not exist for determining the Eurocurrency Base Rate for any requested Interest Period with respect to a proposed Eurocurrency Rate Loan (whether denominated in Dollars or an Alternative Currency) or in connection with an existing or proposed Base Rate Loan, or (iii) that the Eurocurrency Base Rate for any requested Interest Period with respect to a proposed Eurocurrency Rate Loan does not adequately and fairly reflect the cost to the Lenders of funding such Loan, the Administrative Agent will promptly notify the Company and all Lenders. Thereafter, (x) the obligation of the Lenders to make or maintain Eurocurrency Rate Loans in the affected currency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65" w:name="page66"/>
    <w:bookmarkEnd w:id="65"/>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currencies shall be suspended and (y) in the event of a determination described in the preceding sentence with respect to the Eurocurrency Base Rate component of the Base Rate, the utilization of the Eurocurrency Base Rate component in determining the Base Rate shall be suspended, in each case until the Administrative Agent (upon the instruction of the Required Lenders, who hereby agree to revoke such notice when the applicable circumstances no longer exist) revokes such notice. Upon receipt of such notice, any Borrower may revoke any pending request for a Borrowing, conversion or continuation of Eurocurrency Rate Loans in the affected currency or currencies or, failing that, will be deemed to have converted such request into a request for a Borrowing of Base Rate Loans in the amount specified therein.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5"/>
          <w:szCs w:val="15"/>
          <w:u w:val="single" w:color="auto"/>
          <w:color w:val="auto"/>
        </w:rPr>
        <w:t>Increased Cost and Reduced Return; Capital Adequacy</w:t>
      </w:r>
      <w:r>
        <w:rPr>
          <w:rFonts w:ascii="Arial" w:cs="Arial" w:eastAsia="Arial" w:hAnsi="Arial"/>
          <w:sz w:val="15"/>
          <w:szCs w:val="15"/>
          <w:color w:val="auto"/>
        </w:rPr>
        <w:t>.</w:t>
      </w:r>
    </w:p>
    <w:p>
      <w:pPr>
        <w:spacing w:after="0" w:line="144" w:lineRule="exact"/>
        <w:rPr>
          <w:sz w:val="20"/>
          <w:szCs w:val="20"/>
          <w:color w:val="auto"/>
        </w:rPr>
      </w:pPr>
    </w:p>
    <w:p>
      <w:pPr>
        <w:ind w:left="700" w:hanging="23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44" w:lineRule="exact"/>
        <w:rPr>
          <w:rFonts w:ascii="Arial" w:cs="Arial" w:eastAsia="Arial" w:hAnsi="Arial"/>
          <w:sz w:val="18"/>
          <w:szCs w:val="18"/>
          <w:color w:val="auto"/>
        </w:rPr>
      </w:pPr>
    </w:p>
    <w:p>
      <w:pPr>
        <w:jc w:val="both"/>
        <w:ind w:left="460" w:firstLine="443"/>
        <w:spacing w:after="0" w:line="256" w:lineRule="auto"/>
        <w:tabs>
          <w:tab w:leader="none" w:pos="1133" w:val="left"/>
        </w:tabs>
        <w:numPr>
          <w:ilvl w:val="1"/>
          <w:numId w:val="7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 any reserve requirement reflected in the Eurocurrency Rate and (B) the requirements of the Bank of England and the Financial Services Authority or the European Central Bank reflected in the Mandatory Cost, other than as set forth below) or the L/C Issuer;</w:t>
      </w:r>
    </w:p>
    <w:p>
      <w:pPr>
        <w:spacing w:after="0" w:line="116" w:lineRule="exact"/>
        <w:rPr>
          <w:rFonts w:ascii="Arial" w:cs="Arial" w:eastAsia="Arial" w:hAnsi="Arial"/>
          <w:sz w:val="18"/>
          <w:szCs w:val="18"/>
          <w:color w:val="auto"/>
        </w:rPr>
      </w:pPr>
    </w:p>
    <w:p>
      <w:pPr>
        <w:jc w:val="both"/>
        <w:ind w:left="460" w:firstLine="443"/>
        <w:spacing w:after="0" w:line="259" w:lineRule="auto"/>
        <w:tabs>
          <w:tab w:leader="none" w:pos="1186"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13" w:lineRule="exact"/>
        <w:rPr>
          <w:rFonts w:ascii="Arial" w:cs="Arial" w:eastAsia="Arial" w:hAnsi="Arial"/>
          <w:sz w:val="18"/>
          <w:szCs w:val="18"/>
          <w:color w:val="auto"/>
        </w:rPr>
      </w:pPr>
    </w:p>
    <w:p>
      <w:pPr>
        <w:jc w:val="both"/>
        <w:ind w:left="460" w:firstLine="443"/>
        <w:spacing w:after="0" w:line="259" w:lineRule="auto"/>
        <w:tabs>
          <w:tab w:leader="none" w:pos="1216"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result in the failure of the Mandatory Cost, as calculated hereunder, to represent the cost to any Lender of complying with the requirements of the Bank of England and/or the Financial Services Authority or the European Central Bank in relation to its making, funding or maintaining Eurocurrency Rate Loans; or</w:t>
      </w:r>
    </w:p>
    <w:p>
      <w:pPr>
        <w:spacing w:after="0" w:line="113" w:lineRule="exact"/>
        <w:rPr>
          <w:rFonts w:ascii="Arial" w:cs="Arial" w:eastAsia="Arial" w:hAnsi="Arial"/>
          <w:sz w:val="18"/>
          <w:szCs w:val="18"/>
          <w:color w:val="auto"/>
        </w:rPr>
      </w:pPr>
    </w:p>
    <w:p>
      <w:pPr>
        <w:ind w:left="460" w:firstLine="443"/>
        <w:spacing w:after="0" w:line="268" w:lineRule="auto"/>
        <w:tabs>
          <w:tab w:leader="none" w:pos="1221" w:val="left"/>
        </w:tabs>
        <w:numPr>
          <w:ilvl w:val="1"/>
          <w:numId w:val="74"/>
        </w:numPr>
        <w:rPr>
          <w:rFonts w:ascii="Arial" w:cs="Arial" w:eastAsia="Arial" w:hAnsi="Arial"/>
          <w:sz w:val="18"/>
          <w:szCs w:val="18"/>
          <w:color w:val="auto"/>
        </w:rPr>
      </w:pPr>
      <w:r>
        <w:rPr>
          <w:rFonts w:ascii="Arial" w:cs="Arial" w:eastAsia="Arial" w:hAnsi="Arial"/>
          <w:sz w:val="18"/>
          <w:szCs w:val="18"/>
          <w:color w:val="auto"/>
        </w:rPr>
        <w:t>impose on any Lender or the L/C Issuer or the London interbank market any other condition, cost or expense affecting this Agreement or Eurocurrency Rate Loans made by such Lender or any Letter of Credit or participation therein;</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and the result of any of the foregoing shall be to increase the cost to such Lender of making, converting to, continuing or maintaining any Loan the interest on which is determined by reference to the Eurocurrency Base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within ten days after receipt of the request of such Lender or the L/C Issuer (accompanied by a certificate as contemplated by </w:t>
      </w:r>
      <w:r>
        <w:rPr>
          <w:rFonts w:ascii="Arial" w:cs="Arial" w:eastAsia="Arial" w:hAnsi="Arial"/>
          <w:sz w:val="16"/>
          <w:szCs w:val="16"/>
          <w:u w:val="single" w:color="auto"/>
          <w:color w:val="auto"/>
        </w:rPr>
        <w:t>Section 3.06(a)</w:t>
      </w:r>
      <w:r>
        <w:rPr>
          <w:rFonts w:ascii="Arial" w:cs="Arial" w:eastAsia="Arial" w:hAnsi="Arial"/>
          <w:sz w:val="16"/>
          <w:szCs w:val="16"/>
          <w:color w:val="auto"/>
        </w:rPr>
        <w:t>), the Borrowers will pay to such Lender or the L/C Issuer, as the case may be, such additional amount or amounts as will compensate such Lender or the L/C Issuer, as the case may be, for such additional costs incurred or reduction suffered.</w:t>
      </w:r>
    </w:p>
    <w:p>
      <w:pPr>
        <w:spacing w:after="0" w:line="91" w:lineRule="exact"/>
        <w:rPr>
          <w:sz w:val="20"/>
          <w:szCs w:val="20"/>
          <w:color w:val="auto"/>
        </w:rPr>
      </w:pPr>
    </w:p>
    <w:p>
      <w:pPr>
        <w:jc w:val="both"/>
        <w:ind w:right="20" w:firstLine="464"/>
        <w:spacing w:after="0" w:line="298" w:lineRule="auto"/>
        <w:tabs>
          <w:tab w:leader="none" w:pos="719"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66" w:name="page67"/>
    <w:bookmarkEnd w:id="66"/>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Borrowers will pay to such Lender or the L/C Issuer, as the case may be, within ten days after receipt of the request of such Lender or the L/C Issuer (accompanied by a certificate as contemplated by </w:t>
      </w:r>
      <w:r>
        <w:rPr>
          <w:rFonts w:ascii="Arial" w:cs="Arial" w:eastAsia="Arial" w:hAnsi="Arial"/>
          <w:sz w:val="18"/>
          <w:szCs w:val="18"/>
          <w:u w:val="single" w:color="auto"/>
          <w:color w:val="auto"/>
        </w:rPr>
        <w:t>Section 3.06(a)</w:t>
      </w:r>
      <w:r>
        <w:rPr>
          <w:rFonts w:ascii="Arial" w:cs="Arial" w:eastAsia="Arial" w:hAnsi="Arial"/>
          <w:sz w:val="18"/>
          <w:szCs w:val="18"/>
          <w:color w:val="auto"/>
        </w:rPr>
        <w:t>), such additional amount or amounts as will compensate such Lender or the L/C Issuer or such Lender’s or the L/C Issuer’s holding company for any such reduction suffered.</w:t>
      </w:r>
    </w:p>
    <w:p>
      <w:pPr>
        <w:spacing w:after="0" w:line="117" w:lineRule="exact"/>
        <w:rPr>
          <w:sz w:val="20"/>
          <w:szCs w:val="20"/>
          <w:color w:val="auto"/>
        </w:rPr>
      </w:pPr>
    </w:p>
    <w:p>
      <w:pPr>
        <w:jc w:val="both"/>
        <w:ind w:firstLine="464"/>
        <w:spacing w:after="0" w:line="291" w:lineRule="auto"/>
        <w:tabs>
          <w:tab w:leader="none" w:pos="713"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be required to compensate a Lender or the L/C Issuer pursuant to the foregoing provisions of this Section for any increased costs incurred or reductions suffered more than 120 days prior to the date that such Lender or the L/C Issuer, as the case may be, demands compensation pursuant to this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in respect of the Change in Law giving rise to such increased costs or reductions (except that, if the Change in Law giving rise to such increased costs or reductions is retroactive, then the 120 day period referred to above shall be extended to include the period of retroactive effect thereof).</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5"/>
          <w:szCs w:val="15"/>
          <w:u w:val="single" w:color="auto"/>
          <w:color w:val="auto"/>
        </w:rPr>
        <w:t>Compensation for Losses.</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Upon written demand of any Lender (with a copy to the Administrative Agent) from time to time, the Borrowers shall promptly compensate such Lender for and hold such Lender harmless from any loss, cost or expense incurred by it as a result of:</w:t>
      </w:r>
    </w:p>
    <w:p>
      <w:pPr>
        <w:spacing w:after="0" w:line="105" w:lineRule="exact"/>
        <w:rPr>
          <w:sz w:val="20"/>
          <w:szCs w:val="20"/>
          <w:color w:val="auto"/>
        </w:rPr>
      </w:pPr>
    </w:p>
    <w:p>
      <w:pPr>
        <w:ind w:left="460" w:firstLine="443"/>
        <w:spacing w:after="0" w:line="268" w:lineRule="auto"/>
        <w:tabs>
          <w:tab w:leader="none" w:pos="11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04" w:lineRule="exact"/>
        <w:rPr>
          <w:rFonts w:ascii="Arial" w:cs="Arial" w:eastAsia="Arial" w:hAnsi="Arial"/>
          <w:sz w:val="18"/>
          <w:szCs w:val="18"/>
          <w:color w:val="auto"/>
        </w:rPr>
      </w:pPr>
    </w:p>
    <w:p>
      <w:pPr>
        <w:ind w:left="460" w:firstLine="443"/>
        <w:spacing w:after="0" w:line="268" w:lineRule="auto"/>
        <w:tabs>
          <w:tab w:leader="none" w:pos="11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failure by a Borrower (for a reason other than the failure of such Lender to make a Loan) to prepay, borrow, continue or convert any Loan other than a Base Rate Loan on the date or in the amount notified by such Borrower;</w:t>
      </w:r>
    </w:p>
    <w:p>
      <w:pPr>
        <w:spacing w:after="0" w:line="104" w:lineRule="exact"/>
        <w:rPr>
          <w:rFonts w:ascii="Arial" w:cs="Arial" w:eastAsia="Arial" w:hAnsi="Arial"/>
          <w:sz w:val="18"/>
          <w:szCs w:val="18"/>
          <w:color w:val="auto"/>
        </w:rPr>
      </w:pPr>
    </w:p>
    <w:p>
      <w:pPr>
        <w:ind w:left="460" w:firstLine="443"/>
        <w:spacing w:after="0" w:line="268" w:lineRule="auto"/>
        <w:tabs>
          <w:tab w:leader="none" w:pos="115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failure by a Borrower to make payment of any Loan or drawing under any Letter of Credit (or interest due thereon) denominated in an Alternative Currency on its scheduled due date or any payment thereof in a different currency; or</w:t>
      </w:r>
    </w:p>
    <w:p>
      <w:pPr>
        <w:spacing w:after="0" w:line="104" w:lineRule="exact"/>
        <w:rPr>
          <w:rFonts w:ascii="Arial" w:cs="Arial" w:eastAsia="Arial" w:hAnsi="Arial"/>
          <w:sz w:val="18"/>
          <w:szCs w:val="18"/>
          <w:color w:val="auto"/>
        </w:rPr>
      </w:pPr>
    </w:p>
    <w:p>
      <w:pPr>
        <w:ind w:left="460" w:right="20" w:firstLine="443"/>
        <w:spacing w:after="0" w:line="268" w:lineRule="auto"/>
        <w:tabs>
          <w:tab w:leader="none" w:pos="11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any assignment of a Eurocurrency Rate Loan on a day other than the last day of the Interest Period therefor as a result of a request by the Company pursuant to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10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Borrowers shall also pay any customary administrative fees charged by such Lender in connection with the foregoing.</w:t>
      </w:r>
    </w:p>
    <w:p>
      <w:pPr>
        <w:spacing w:after="0" w:line="8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For purposes of calculating amounts payable by the Borrowers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Eurocurrency Rate Loan made by it at the Eurocurrency Base Rate used in determining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67" w:name="page68"/>
    <w:bookmarkEnd w:id="6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3.06</w:t>
      </w:r>
      <w:r>
        <w:rPr>
          <w:sz w:val="20"/>
          <w:szCs w:val="20"/>
          <w:color w:val="auto"/>
        </w:rPr>
        <w:tab/>
      </w:r>
      <w:r>
        <w:rPr>
          <w:rFonts w:ascii="Arial" w:cs="Arial" w:eastAsia="Arial" w:hAnsi="Arial"/>
          <w:sz w:val="16"/>
          <w:szCs w:val="16"/>
          <w:u w:val="single" w:color="auto"/>
          <w:color w:val="auto"/>
        </w:rPr>
        <w:t>Matters Applicable to all Requests for Compensation.</w:t>
      </w:r>
    </w:p>
    <w:p>
      <w:pPr>
        <w:spacing w:after="0" w:line="144" w:lineRule="exact"/>
        <w:rPr>
          <w:sz w:val="20"/>
          <w:szCs w:val="20"/>
          <w:color w:val="auto"/>
        </w:rPr>
      </w:pPr>
    </w:p>
    <w:p>
      <w:pPr>
        <w:jc w:val="both"/>
        <w:ind w:firstLine="464"/>
        <w:spacing w:after="0" w:line="256" w:lineRule="auto"/>
        <w:tabs>
          <w:tab w:leader="none" w:pos="7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 certificate of the Administrative Agent, any Lender or the L/C Issuer claiming compensation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setting forth, in reasonable detail, the basis of any loss, cost or expense and the additional amount or amounts to be paid to it hereunder shall be conclusive in the absence of demonstrable error. In determining such amount, the Administrative Agent, such Lender or the L/C Issuer may use reasonable averaging and attribution methods. Any claim for compensation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must be accompanied by such certificate.</w:t>
      </w:r>
    </w:p>
    <w:p>
      <w:pPr>
        <w:spacing w:after="0" w:line="116" w:lineRule="exact"/>
        <w:rPr>
          <w:rFonts w:ascii="Arial" w:cs="Arial" w:eastAsia="Arial" w:hAnsi="Arial"/>
          <w:sz w:val="18"/>
          <w:szCs w:val="18"/>
          <w:color w:val="auto"/>
        </w:rPr>
      </w:pPr>
    </w:p>
    <w:p>
      <w:pPr>
        <w:jc w:val="both"/>
        <w:ind w:firstLine="464"/>
        <w:spacing w:after="0" w:line="288" w:lineRule="auto"/>
        <w:tabs>
          <w:tab w:leader="none" w:pos="7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If any Lender or the L/C Issuer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any Borrower is required to pay any Indemnified Taxes or additional amounts to any Lender, the L/C Issuer, or any Governmental Authority for the account of any Lender or the L/C Issuer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at the request of the Company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the L/C Issuer, as the case may be, to any unreimbursed cost or expense and would not otherwise be disadvantageous to such Lender or the L/C Issuer, as the case may be. The Borrowers hereby agree to pay all reasonable costs and expenses incurred by any Lender or the L/C Issuer in connection with any such designation or assignment.</w:t>
      </w:r>
    </w:p>
    <w:p>
      <w:pPr>
        <w:spacing w:after="0" w:line="92" w:lineRule="exact"/>
        <w:rPr>
          <w:rFonts w:ascii="Arial" w:cs="Arial" w:eastAsia="Arial" w:hAnsi="Arial"/>
          <w:sz w:val="16"/>
          <w:szCs w:val="16"/>
          <w:color w:val="auto"/>
        </w:rPr>
      </w:pPr>
    </w:p>
    <w:p>
      <w:pPr>
        <w:ind w:right="20" w:firstLine="464"/>
        <w:spacing w:after="0" w:line="268" w:lineRule="auto"/>
        <w:tabs>
          <w:tab w:leader="none" w:pos="697"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Upon any Lender’s making a claim for compensation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or giving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 Company may replace such Lender in accordance with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All of the Loan Parties’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Revolving Commitments and repayment of all other Obligations hereunder and resignation of the Administrative Agent.</w:t>
      </w:r>
    </w:p>
    <w:p>
      <w:pPr>
        <w:spacing w:after="0" w:line="1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GUARANTY</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5"/>
          <w:szCs w:val="15"/>
          <w:u w:val="single" w:color="auto"/>
          <w:color w:val="auto"/>
        </w:rPr>
        <w:t>The Guaranty</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Each of the Guarantors hereby jointly and severally guarantees to each Lender, each Affiliate of a Lender that enters into a Hedging Agreement or a Treasury Management Agreement with a Loan Party, and the Administrative Agent and each of the holders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are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68" w:name="page69"/>
    <w:bookmarkEnd w:id="68"/>
    <w:p>
      <w:pPr>
        <w:jc w:val="both"/>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provision to the contrary contained herein or in any other of the Loan Documents, Hedging Agreements or Treasury Management Agreements, the obligations of each Guarantor (in its capacity as such) under this Agreement and the other Loan Documents shall be limited to an aggregate amount equal to the largest amount that would not render such obligations subject to avoidance under applicable Debtor Relief Laws or any comparable provisions of any applicable Law.</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Obligations Unconditional</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The obligations of the Guarantors under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joint and several, absolute and unconditional, irrespective of the value, genuineness, validity, regularity or enforceability of any of the Loan Documents, Hedging Agreements or Treasury Management Agreements,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Borrowers or any other Guarantor for amounts paid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until such time as the Obligations (other than contingent obligations that survive termination of this Agreement)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96" w:lineRule="exact"/>
        <w:rPr>
          <w:sz w:val="20"/>
          <w:szCs w:val="20"/>
          <w:color w:val="auto"/>
        </w:rPr>
      </w:pPr>
    </w:p>
    <w:p>
      <w:pPr>
        <w:ind w:left="460" w:firstLine="443"/>
        <w:spacing w:after="0" w:line="268" w:lineRule="auto"/>
        <w:tabs>
          <w:tab w:leader="none" w:pos="115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pacing w:after="0" w:line="104"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any of the Loan Documents, any Hedging Agreement or Treasury Management Agreement between any Loan Party and any Lender, or any Affiliate of a Lender, or any other agreement or instrument referred to in the Loan Documents, such Hedging Agreements or such Treasury Management Agreements shall be done or omitted;</w:t>
      </w:r>
    </w:p>
    <w:p>
      <w:pPr>
        <w:spacing w:after="0" w:line="113" w:lineRule="exact"/>
        <w:rPr>
          <w:rFonts w:ascii="Arial" w:cs="Arial" w:eastAsia="Arial" w:hAnsi="Arial"/>
          <w:sz w:val="18"/>
          <w:szCs w:val="18"/>
          <w:color w:val="auto"/>
        </w:rPr>
      </w:pPr>
    </w:p>
    <w:p>
      <w:pPr>
        <w:jc w:val="both"/>
        <w:ind w:left="460" w:firstLine="443"/>
        <w:spacing w:after="0" w:line="291" w:lineRule="auto"/>
        <w:tabs>
          <w:tab w:leader="none" w:pos="1141"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maturity of any of the Obligations shall be accelerated, or any of the Obligations shall be modified, supplemented or amended in any respect, or any right under any of the Loan Documents, any Hedging Agreement or Treasury Management Agreement between any Loan Party and any Lender, or any Affiliate of a Lender, or any other agreement or instrument referred to in the Loan Documents, such Hedging Agreements or such Treasury Management Agreements shall be waived or any other guarantee of any of the Obligations or any security therefor shall be released, impaired or exchanged in whole or in part or otherwise dealt with (except to the extent such Guarantor has been expressly released in writing from its obligations under this Guaranty by the requisite Lenders in accordance with the express terms of this Agreement);</w:t>
      </w:r>
    </w:p>
    <w:p>
      <w:pPr>
        <w:spacing w:after="0" w:line="93" w:lineRule="exact"/>
        <w:rPr>
          <w:rFonts w:ascii="Arial" w:cs="Arial" w:eastAsia="Arial" w:hAnsi="Arial"/>
          <w:sz w:val="16"/>
          <w:szCs w:val="16"/>
          <w:color w:val="auto"/>
        </w:rPr>
      </w:pPr>
    </w:p>
    <w:p>
      <w:pPr>
        <w:ind w:left="460" w:firstLine="443"/>
        <w:spacing w:after="0" w:line="268" w:lineRule="auto"/>
        <w:tabs>
          <w:tab w:leader="none" w:pos="11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Lien granted to, or in favor of, the Administrative Agent or any holder of Obligations as security for any of the Obligations shall fail to attach or be perfected;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9" w:name="page70"/>
    <w:bookmarkEnd w:id="69"/>
    <w:p>
      <w:pPr>
        <w:ind w:left="460" w:right="20" w:firstLine="443"/>
        <w:spacing w:after="0" w:line="268" w:lineRule="auto"/>
        <w:tabs>
          <w:tab w:leader="none" w:pos="1142"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0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With respect to its obligations hereunder, each Guarantor hereby expressly waives diligence, presentment, demand of payment, protest and all notices whatsoever (other than any notice any Guarantor has the express right to receive under any Loan Document), and any requirement that the Administrative Agent or any holder of the Obligations exhaust any right, power or remedy or proceed against any Person under any of the Loan Documents, any Hedging Agreement or any Treasury Management Agreement between any Loan Party and any Lender, or any Affiliate of a Lender, or any other agreement or instrument referred to in the Loan Documents, such Hedging Agreements or such Treasury Management Agreements, or against any other Person under any other guarantee of, or security for, any of the Obligations.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5"/>
          <w:szCs w:val="15"/>
          <w:u w:val="single" w:color="auto"/>
          <w:color w:val="auto"/>
        </w:rPr>
        <w:t>Reinstatement</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The obligations of the Guarantors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holder of the Obligations on demand for all reasonable costs and expenses (including, without limitation, the reasonable and documented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u w:val="single" w:color="auto"/>
          <w:color w:val="auto"/>
        </w:rPr>
        <w:t>Certain Additional Waivers</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through the exercise of rights of contribution pursuant to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The Guarantors agree that, to the fullest extent permitted by Law, as between the Guarantors, on the one hand, and the holders of the Obligations, on the other hand, the Obligations may be declared to be forthwith due and payable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shall be deemed to have become automatically due and payable in the circumstances provided in said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6"/>
          <w:szCs w:val="16"/>
          <w:u w:val="single" w:color="auto"/>
          <w:color w:val="auto"/>
        </w:rPr>
        <w:t>Section 4.01</w:t>
      </w:r>
      <w:r>
        <w:rPr>
          <w:rFonts w:ascii="Arial" w:cs="Arial" w:eastAsia="Arial" w:hAnsi="Arial"/>
          <w:sz w:val="16"/>
          <w:szCs w:val="16"/>
          <w:color w:val="auto"/>
        </w:rPr>
        <w:t>.</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u w:val="single" w:color="auto"/>
          <w:color w:val="auto"/>
        </w:rPr>
        <w:t>Rights of Contribution</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(other than contingent obligations that survive the termination of this Agreement) have been paid in full and the Commitments have terminated.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70" w:name="page71"/>
    <w:bookmarkEnd w:id="7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4.07</w:t>
      </w:r>
      <w:r>
        <w:rPr>
          <w:sz w:val="20"/>
          <w:szCs w:val="20"/>
          <w:color w:val="auto"/>
        </w:rPr>
        <w:tab/>
      </w:r>
      <w:r>
        <w:rPr>
          <w:rFonts w:ascii="Arial" w:cs="Arial" w:eastAsia="Arial" w:hAnsi="Arial"/>
          <w:sz w:val="15"/>
          <w:szCs w:val="15"/>
          <w:u w:val="single" w:color="auto"/>
          <w:color w:val="auto"/>
        </w:rPr>
        <w:t>Guarantee of Payment; Continuing Guarantee</w:t>
      </w:r>
      <w:r>
        <w:rPr>
          <w:rFonts w:ascii="Arial" w:cs="Arial" w:eastAsia="Arial" w:hAnsi="Arial"/>
          <w:sz w:val="15"/>
          <w:szCs w:val="15"/>
          <w:color w:val="auto"/>
        </w:rPr>
        <w:t>.</w:t>
      </w:r>
    </w:p>
    <w:p>
      <w:pPr>
        <w:spacing w:after="0" w:line="144" w:lineRule="exact"/>
        <w:rPr>
          <w:sz w:val="20"/>
          <w:szCs w:val="20"/>
          <w:color w:val="auto"/>
        </w:rPr>
      </w:pPr>
    </w:p>
    <w:p>
      <w:pPr>
        <w:ind w:left="720" w:hanging="256"/>
        <w:spacing w:after="0"/>
        <w:tabs>
          <w:tab w:leader="none" w:pos="7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guarantee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a guaranty of payment and not of collection, is a continuing guarantee, and shall apply to all Obligations whenever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arising.</w:t>
      </w:r>
    </w:p>
    <w:p>
      <w:pPr>
        <w:spacing w:after="0" w:line="137" w:lineRule="exact"/>
        <w:rPr>
          <w:rFonts w:ascii="Arial" w:cs="Arial" w:eastAsia="Arial" w:hAnsi="Arial"/>
          <w:sz w:val="16"/>
          <w:szCs w:val="16"/>
          <w:color w:val="auto"/>
        </w:rPr>
      </w:pPr>
    </w:p>
    <w:p>
      <w:pPr>
        <w:jc w:val="both"/>
        <w:ind w:firstLine="464"/>
        <w:spacing w:after="0" w:line="256" w:lineRule="auto"/>
        <w:tabs>
          <w:tab w:leader="none" w:pos="7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anything to the contrary, a Guarantor shall automatically be released from its obligations hereunder and its Guaranty shall be automatically released upon the consummation of any transaction permitted hereunder as a result of which such Guarantor ceases to be a Subsidiary. In connection with any such release, the Administrative Agent shall execute and deliver to any such Guarantor, at such Guarantor’s expense, all documents that such Guarantor shall reasonably request to evidence termination or release.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 TO CREDIT EXTENSIONS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Conditions of Initial Credit Extension</w:t>
      </w:r>
      <w:r>
        <w:rPr>
          <w:rFonts w:ascii="Arial" w:cs="Arial" w:eastAsia="Arial" w:hAnsi="Arial"/>
          <w:sz w:val="16"/>
          <w:szCs w:val="16"/>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Lender to make its initial Credit Extension hereunder is subject to satisfaction of the following conditions precedent:</w:t>
      </w:r>
    </w:p>
    <w:p>
      <w:pPr>
        <w:spacing w:after="0" w:line="167" w:lineRule="exact"/>
        <w:rPr>
          <w:sz w:val="20"/>
          <w:szCs w:val="20"/>
          <w:color w:val="auto"/>
        </w:rPr>
      </w:pPr>
    </w:p>
    <w:p>
      <w:pPr>
        <w:ind w:left="460" w:right="20" w:firstLine="443"/>
        <w:spacing w:after="0" w:line="332" w:lineRule="auto"/>
        <w:tabs>
          <w:tab w:leader="none" w:pos="113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Loan Documents</w:t>
      </w:r>
      <w:r>
        <w:rPr>
          <w:rFonts w:ascii="Arial" w:cs="Arial" w:eastAsia="Arial" w:hAnsi="Arial"/>
          <w:sz w:val="16"/>
          <w:szCs w:val="16"/>
          <w:color w:val="auto"/>
        </w:rPr>
        <w:t>. Receipt by the Administrative Agent of executed counterparts of this Agreement and the other Loan Documents, each properly executed by a Responsible Officer of the signing Loan Party and, in the case of this Agreement, by each Lender.</w:t>
      </w:r>
    </w:p>
    <w:p>
      <w:pPr>
        <w:spacing w:after="0" w:line="58" w:lineRule="exact"/>
        <w:rPr>
          <w:rFonts w:ascii="Arial" w:cs="Arial" w:eastAsia="Arial" w:hAnsi="Arial"/>
          <w:sz w:val="16"/>
          <w:szCs w:val="16"/>
          <w:color w:val="auto"/>
        </w:rPr>
      </w:pPr>
    </w:p>
    <w:p>
      <w:pPr>
        <w:ind w:left="460" w:firstLine="443"/>
        <w:spacing w:after="0" w:line="332" w:lineRule="auto"/>
        <w:tabs>
          <w:tab w:leader="none" w:pos="118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Receipt by the Administrative Agent of favorable opinions of legal counsel to the Loan Parties, addressed to the Administrative Agent and each Lender, dated as of the Closing Date, and in form and substance reasonably satisfactory to the Administrative Agent.</w:t>
      </w:r>
    </w:p>
    <w:p>
      <w:pPr>
        <w:spacing w:after="0" w:line="58" w:lineRule="exact"/>
        <w:rPr>
          <w:rFonts w:ascii="Arial" w:cs="Arial" w:eastAsia="Arial" w:hAnsi="Arial"/>
          <w:sz w:val="16"/>
          <w:szCs w:val="16"/>
          <w:color w:val="auto"/>
        </w:rPr>
      </w:pPr>
    </w:p>
    <w:p>
      <w:pPr>
        <w:jc w:val="both"/>
        <w:ind w:left="460" w:firstLine="443"/>
        <w:spacing w:after="0" w:line="306" w:lineRule="auto"/>
        <w:tabs>
          <w:tab w:leader="none" w:pos="115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There shall not have occurred a material adverse change since July 31, 2011 in the business, assets, liabilities (actual or contingent), operations or condition (financial or otherwise) of the Company and its Subsidiaries, taken as a whole (excluding that certain item disclosed in writing to the Administrative Agent and the Lenders prior to the date of this Agreement for purposes of this exclusion).</w:t>
      </w:r>
    </w:p>
    <w:p>
      <w:pPr>
        <w:spacing w:after="0" w:line="79" w:lineRule="exact"/>
        <w:rPr>
          <w:rFonts w:ascii="Arial" w:cs="Arial" w:eastAsia="Arial" w:hAnsi="Arial"/>
          <w:sz w:val="16"/>
          <w:szCs w:val="16"/>
          <w:color w:val="auto"/>
        </w:rPr>
      </w:pPr>
    </w:p>
    <w:p>
      <w:pPr>
        <w:ind w:left="460" w:firstLine="443"/>
        <w:spacing w:after="0" w:line="332"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shall not exist any action, suit, investigation or proceeding pending or threatened in writing against the Company or any of its Subsidiaries in any court or before an arbitrator or Governmental Authority that could reasonably be expected to have a Material Adverse Effect.</w:t>
      </w:r>
    </w:p>
    <w:p>
      <w:pPr>
        <w:spacing w:after="0" w:line="58" w:lineRule="exact"/>
        <w:rPr>
          <w:rFonts w:ascii="Arial" w:cs="Arial" w:eastAsia="Arial" w:hAnsi="Arial"/>
          <w:sz w:val="16"/>
          <w:szCs w:val="16"/>
          <w:color w:val="auto"/>
        </w:rPr>
      </w:pPr>
    </w:p>
    <w:p>
      <w:pPr>
        <w:ind w:left="460" w:right="20" w:firstLine="443"/>
        <w:spacing w:after="0" w:line="332" w:lineRule="auto"/>
        <w:tabs>
          <w:tab w:leader="none" w:pos="115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Organization Documents, Resolutions, Etc.</w:t>
      </w:r>
      <w:r>
        <w:rPr>
          <w:rFonts w:ascii="Arial" w:cs="Arial" w:eastAsia="Arial" w:hAnsi="Arial"/>
          <w:sz w:val="16"/>
          <w:szCs w:val="16"/>
          <w:color w:val="auto"/>
        </w:rPr>
        <w:t xml:space="preserve"> Receipt by the Administrative Agent of the following, each of which shall be originals or .pdf or facsimiles (in each case, followed promptly by originals), in form and substance satisfactory to the Administrative Agent and its legal counsel:</w:t>
      </w:r>
    </w:p>
    <w:p>
      <w:pPr>
        <w:spacing w:after="0" w:line="58" w:lineRule="exact"/>
        <w:rPr>
          <w:rFonts w:ascii="Arial" w:cs="Arial" w:eastAsia="Arial" w:hAnsi="Arial"/>
          <w:sz w:val="16"/>
          <w:szCs w:val="16"/>
          <w:color w:val="auto"/>
        </w:rPr>
      </w:pPr>
    </w:p>
    <w:p>
      <w:pPr>
        <w:jc w:val="both"/>
        <w:ind w:left="920" w:firstLine="421"/>
        <w:spacing w:after="0" w:line="259" w:lineRule="auto"/>
        <w:tabs>
          <w:tab w:leader="none" w:pos="1586"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71" w:name="page72"/>
    <w:bookmarkEnd w:id="71"/>
    <w:p>
      <w:pPr>
        <w:ind w:left="460" w:firstLine="421"/>
        <w:spacing w:after="0" w:line="268" w:lineRule="auto"/>
        <w:tabs>
          <w:tab w:leader="none" w:pos="1142"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copies of the consolidated articles of association of each Luxembourg Loan Party, certified to be true and complete as of a recent date by a manager or director (where applicable) of such Luxembourg Loan Party;</w:t>
      </w:r>
    </w:p>
    <w:p>
      <w:pPr>
        <w:spacing w:after="0" w:line="104" w:lineRule="exact"/>
        <w:rPr>
          <w:rFonts w:ascii="Arial" w:cs="Arial" w:eastAsia="Arial" w:hAnsi="Arial"/>
          <w:sz w:val="18"/>
          <w:szCs w:val="18"/>
          <w:color w:val="auto"/>
        </w:rPr>
      </w:pPr>
    </w:p>
    <w:p>
      <w:pPr>
        <w:jc w:val="both"/>
        <w:ind w:left="460" w:firstLine="421"/>
        <w:spacing w:after="0" w:line="286" w:lineRule="auto"/>
        <w:tabs>
          <w:tab w:leader="none" w:pos="1193"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or the equivalent with respect to any non-U.S. jurisdiction (including, with respect to a Luxembourg Loan Party, a true and complete copy of an extract from the Luxembourg Companies Register, and a true and complete copy of a certificate of non-registration of judgments, issued by the Luxembourg Companies Register on the date of this agreement and reflecting the situation of one day prior to the date of this agreement, stating that such Luxembourg Loan Party incorporated in Luxembourg has not been declared bankrupt (</w:t>
      </w:r>
      <w:r>
        <w:rPr>
          <w:rFonts w:ascii="Arial" w:cs="Arial" w:eastAsia="Arial" w:hAnsi="Arial"/>
          <w:sz w:val="16"/>
          <w:szCs w:val="16"/>
          <w:i w:val="1"/>
          <w:iCs w:val="1"/>
          <w:color w:val="auto"/>
        </w:rPr>
        <w:t>en faillite</w:t>
      </w:r>
      <w:r>
        <w:rPr>
          <w:rFonts w:ascii="Arial" w:cs="Arial" w:eastAsia="Arial" w:hAnsi="Arial"/>
          <w:sz w:val="16"/>
          <w:szCs w:val="16"/>
          <w:color w:val="auto"/>
        </w:rPr>
        <w:t>) and that it has not applied for general settlement or composition with creditors (</w:t>
      </w:r>
      <w:r>
        <w:rPr>
          <w:rFonts w:ascii="Arial" w:cs="Arial" w:eastAsia="Arial" w:hAnsi="Arial"/>
          <w:sz w:val="16"/>
          <w:szCs w:val="16"/>
          <w:i w:val="1"/>
          <w:iCs w:val="1"/>
          <w:color w:val="auto"/>
        </w:rPr>
        <w:t>concordat préventif de faillite</w:t>
      </w:r>
      <w:r>
        <w:rPr>
          <w:rFonts w:ascii="Arial" w:cs="Arial" w:eastAsia="Arial" w:hAnsi="Arial"/>
          <w:sz w:val="16"/>
          <w:szCs w:val="16"/>
          <w:color w:val="auto"/>
        </w:rPr>
        <w:t>), controlled management (</w:t>
      </w:r>
      <w:r>
        <w:rPr>
          <w:rFonts w:ascii="Arial" w:cs="Arial" w:eastAsia="Arial" w:hAnsi="Arial"/>
          <w:sz w:val="16"/>
          <w:szCs w:val="16"/>
          <w:i w:val="1"/>
          <w:iCs w:val="1"/>
          <w:color w:val="auto"/>
        </w:rPr>
        <w:t>gestion contrôlée</w:t>
      </w:r>
      <w:r>
        <w:rPr>
          <w:rFonts w:ascii="Arial" w:cs="Arial" w:eastAsia="Arial" w:hAnsi="Arial"/>
          <w:sz w:val="16"/>
          <w:szCs w:val="16"/>
          <w:color w:val="auto"/>
        </w:rPr>
        <w:t>) or reprieve from payment (</w:t>
      </w:r>
      <w:r>
        <w:rPr>
          <w:rFonts w:ascii="Arial" w:cs="Arial" w:eastAsia="Arial" w:hAnsi="Arial"/>
          <w:sz w:val="16"/>
          <w:szCs w:val="16"/>
          <w:i w:val="1"/>
          <w:iCs w:val="1"/>
          <w:color w:val="auto"/>
        </w:rPr>
        <w:t>sursis de</w:t>
      </w:r>
      <w:r>
        <w:rPr>
          <w:rFonts w:ascii="Arial" w:cs="Arial" w:eastAsia="Arial" w:hAnsi="Arial"/>
          <w:sz w:val="16"/>
          <w:szCs w:val="16"/>
          <w:color w:val="auto"/>
        </w:rPr>
        <w:t xml:space="preserve"> </w:t>
      </w:r>
      <w:r>
        <w:rPr>
          <w:rFonts w:ascii="Arial" w:cs="Arial" w:eastAsia="Arial" w:hAnsi="Arial"/>
          <w:sz w:val="16"/>
          <w:szCs w:val="16"/>
          <w:i w:val="1"/>
          <w:iCs w:val="1"/>
          <w:color w:val="auto"/>
        </w:rPr>
        <w:t>paiement</w:t>
      </w:r>
      <w:r>
        <w:rPr>
          <w:rFonts w:ascii="Arial" w:cs="Arial" w:eastAsia="Arial" w:hAnsi="Arial"/>
          <w:sz w:val="16"/>
          <w:szCs w:val="16"/>
          <w:color w:val="auto"/>
        </w:rPr>
        <w:t>) or such other proceedings listed at Article 13, items 2 to 11 and Article 14 of the Luxembourg Act dated 19 December 2002 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 of Commerce and Companies, on Accounting and on Annual Accounts of the Companies (as amended from time to time)),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 the approval by the board of managers of a Luxembourg Loan Party for such Luxembourg Loan Party to enter into this Agreement and the other Loan Documents to which it is a party; and</w:t>
      </w:r>
    </w:p>
    <w:p>
      <w:pPr>
        <w:spacing w:after="0" w:line="97" w:lineRule="exact"/>
        <w:rPr>
          <w:rFonts w:ascii="Arial" w:cs="Arial" w:eastAsia="Arial" w:hAnsi="Arial"/>
          <w:sz w:val="16"/>
          <w:szCs w:val="16"/>
          <w:color w:val="auto"/>
        </w:rPr>
      </w:pPr>
    </w:p>
    <w:p>
      <w:pPr>
        <w:ind w:left="460" w:firstLine="421"/>
        <w:spacing w:after="0" w:line="332" w:lineRule="auto"/>
        <w:tabs>
          <w:tab w:leader="none" w:pos="1182"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such documents and certifications as the Administrative Agent may reasonably require to evidence that each Loan Party is duly organized or formed, and is validly existing, in good standing (or similar status) and qualified to engage in business in its state of organization or formation.</w:t>
      </w:r>
    </w:p>
    <w:p>
      <w:pPr>
        <w:spacing w:after="0" w:line="58" w:lineRule="exact"/>
        <w:rPr>
          <w:rFonts w:ascii="Arial" w:cs="Arial" w:eastAsia="Arial" w:hAnsi="Arial"/>
          <w:sz w:val="16"/>
          <w:szCs w:val="16"/>
          <w:color w:val="auto"/>
        </w:rPr>
      </w:pPr>
    </w:p>
    <w:p>
      <w:pPr>
        <w:ind w:firstLine="443"/>
        <w:spacing w:after="0" w:line="268" w:lineRule="auto"/>
        <w:tabs>
          <w:tab w:leader="none" w:pos="67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xml:space="preserve">. Receipt by the Administrative Agent of a certificate signed by a Responsible Officer of the Company certifying that the conditions specified in </w:t>
      </w:r>
      <w:r>
        <w:rPr>
          <w:rFonts w:ascii="Arial" w:cs="Arial" w:eastAsia="Arial" w:hAnsi="Arial"/>
          <w:sz w:val="18"/>
          <w:szCs w:val="18"/>
          <w:u w:val="single" w:color="auto"/>
          <w:color w:val="auto"/>
        </w:rPr>
        <w:t>Sections 5.01(c)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w:t>
      </w:r>
    </w:p>
    <w:p>
      <w:pPr>
        <w:spacing w:after="0" w:line="104" w:lineRule="exact"/>
        <w:rPr>
          <w:rFonts w:ascii="Arial" w:cs="Arial" w:eastAsia="Arial" w:hAnsi="Arial"/>
          <w:sz w:val="18"/>
          <w:szCs w:val="18"/>
          <w:color w:val="auto"/>
        </w:rPr>
      </w:pPr>
    </w:p>
    <w:p>
      <w:pPr>
        <w:jc w:val="both"/>
        <w:ind w:right="20" w:firstLine="443"/>
        <w:spacing w:after="0" w:line="306" w:lineRule="auto"/>
        <w:tabs>
          <w:tab w:leader="none" w:pos="68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Termination of Existing Credit Agreement</w:t>
      </w:r>
      <w:r>
        <w:rPr>
          <w:rFonts w:ascii="Arial" w:cs="Arial" w:eastAsia="Arial" w:hAnsi="Arial"/>
          <w:sz w:val="16"/>
          <w:szCs w:val="16"/>
          <w:color w:val="auto"/>
        </w:rPr>
        <w:t>. Receipt by the Administrative Agent of evidence reasonably satisfactory to the Administrative Agent that all obligations (other than contingent obligations surviving the termination of the Existing Credit Agreement) owing under the Existing Credit Agreement have been repaid in full, all commitments thereunder have been terminated and all Liens (if any) in connection therewith have been released.</w:t>
      </w:r>
    </w:p>
    <w:p>
      <w:pPr>
        <w:spacing w:after="0" w:line="79" w:lineRule="exact"/>
        <w:rPr>
          <w:rFonts w:ascii="Arial" w:cs="Arial" w:eastAsia="Arial" w:hAnsi="Arial"/>
          <w:sz w:val="16"/>
          <w:szCs w:val="16"/>
          <w:color w:val="auto"/>
        </w:rPr>
      </w:pPr>
    </w:p>
    <w:p>
      <w:pPr>
        <w:ind w:left="700" w:hanging="257"/>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Receipt by the Administrative Agent and the Lenders of any fees required to be paid on or before the Closing Date.</w:t>
      </w:r>
    </w:p>
    <w:p>
      <w:pPr>
        <w:spacing w:after="0" w:line="144" w:lineRule="exact"/>
        <w:rPr>
          <w:rFonts w:ascii="Arial" w:cs="Arial" w:eastAsia="Arial" w:hAnsi="Arial"/>
          <w:sz w:val="18"/>
          <w:szCs w:val="18"/>
          <w:color w:val="auto"/>
        </w:rPr>
      </w:pPr>
    </w:p>
    <w:p>
      <w:pPr>
        <w:jc w:val="both"/>
        <w:ind w:firstLine="443"/>
        <w:spacing w:after="0" w:line="294" w:lineRule="auto"/>
        <w:tabs>
          <w:tab w:leader="none" w:pos="648"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Attorney Costs</w:t>
      </w:r>
      <w:r>
        <w:rPr>
          <w:rFonts w:ascii="Arial" w:cs="Arial" w:eastAsia="Arial" w:hAnsi="Arial"/>
          <w:sz w:val="16"/>
          <w:szCs w:val="16"/>
          <w:color w:val="auto"/>
        </w:rPr>
        <w:t>. Unless waived by the Administrative Agent, the Company shall have paid all the reasonable fees, charges and disbursements of counsel of the Administrative Agent to the extent invoices have been received at least one Business Day in advance prior to the Closing Date, plus such additional amounts of such fees, charges and disbursements of such counsel as shall constitute its reasonable estimate of such fees, charges and disbursements of such counsel incurred or to be incurred by it through the closing proceedings (provided that such estimate shall not thereafter preclude a final settling of accounts between the Company and the Administrative Agent).</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700" w:top="280" w:right="239" w:bottom="1440" w:gutter="0" w:footer="0" w:header="0"/>
        </w:sectPr>
      </w:pPr>
    </w:p>
    <w:bookmarkStart w:id="72" w:name="page73"/>
    <w:bookmarkEnd w:id="72"/>
    <w:p>
      <w:pPr>
        <w:jc w:val="both"/>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limiting the generality of the provisions of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u w:val="single" w:color="auto"/>
          <w:color w:val="auto"/>
        </w:rPr>
        <w:t>Conditions to all Credit Extensions</w:t>
      </w:r>
      <w:r>
        <w:rPr>
          <w:rFonts w:ascii="Arial" w:cs="Arial" w:eastAsia="Arial" w:hAnsi="Arial"/>
          <w:sz w:val="16"/>
          <w:szCs w:val="16"/>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 of each Lender to honor any Request for Credit Extension is subject to the following conditions precedent:</w:t>
      </w:r>
    </w:p>
    <w:p>
      <w:pPr>
        <w:spacing w:after="0" w:line="144" w:lineRule="exact"/>
        <w:rPr>
          <w:sz w:val="20"/>
          <w:szCs w:val="20"/>
          <w:color w:val="auto"/>
        </w:rPr>
      </w:pPr>
    </w:p>
    <w:p>
      <w:pPr>
        <w:jc w:val="both"/>
        <w:ind w:left="460" w:firstLine="443"/>
        <w:spacing w:after="0" w:line="298" w:lineRule="auto"/>
        <w:tabs>
          <w:tab w:leader="none" w:pos="1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Loan Parties contained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(excluding the representation and warranty contained in </w:t>
      </w:r>
      <w:r>
        <w:rPr>
          <w:rFonts w:ascii="Arial" w:cs="Arial" w:eastAsia="Arial" w:hAnsi="Arial"/>
          <w:sz w:val="16"/>
          <w:szCs w:val="16"/>
          <w:u w:val="single" w:color="auto"/>
          <w:color w:val="auto"/>
        </w:rPr>
        <w:t>Section 6.05</w:t>
      </w:r>
      <w:r>
        <w:rPr>
          <w:rFonts w:ascii="Arial" w:cs="Arial" w:eastAsia="Arial" w:hAnsi="Arial"/>
          <w:sz w:val="16"/>
          <w:szCs w:val="16"/>
          <w:color w:val="auto"/>
        </w:rPr>
        <w:t>) or any other Loan Document, or which are 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w:t>
      </w:r>
    </w:p>
    <w:p>
      <w:pPr>
        <w:spacing w:after="0" w:line="85" w:lineRule="exact"/>
        <w:rPr>
          <w:rFonts w:ascii="Arial" w:cs="Arial" w:eastAsia="Arial" w:hAnsi="Arial"/>
          <w:sz w:val="16"/>
          <w:szCs w:val="16"/>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w:t>
      </w:r>
    </w:p>
    <w:p>
      <w:pPr>
        <w:spacing w:after="0" w:line="144" w:lineRule="exact"/>
        <w:rPr>
          <w:rFonts w:ascii="Arial" w:cs="Arial" w:eastAsia="Arial" w:hAnsi="Arial"/>
          <w:sz w:val="18"/>
          <w:szCs w:val="18"/>
          <w:color w:val="auto"/>
        </w:rPr>
      </w:pPr>
    </w:p>
    <w:p>
      <w:pPr>
        <w:ind w:left="460" w:firstLine="443"/>
        <w:spacing w:after="0" w:line="268" w:lineRule="auto"/>
        <w:tabs>
          <w:tab w:leader="none" w:pos="11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104" w:lineRule="exact"/>
        <w:rPr>
          <w:rFonts w:ascii="Arial" w:cs="Arial" w:eastAsia="Arial" w:hAnsi="Arial"/>
          <w:sz w:val="18"/>
          <w:szCs w:val="18"/>
          <w:color w:val="auto"/>
        </w:rPr>
      </w:pPr>
    </w:p>
    <w:p>
      <w:pPr>
        <w:ind w:left="460" w:firstLine="443"/>
        <w:spacing w:after="0" w:line="268" w:lineRule="auto"/>
        <w:tabs>
          <w:tab w:leader="none" w:pos="1189"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the applicable Borrower is a Designated Borrower, such Borrower shall have been designated as a Designated Borrower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04" w:lineRule="exact"/>
        <w:rPr>
          <w:rFonts w:ascii="Arial" w:cs="Arial" w:eastAsia="Arial" w:hAnsi="Arial"/>
          <w:sz w:val="18"/>
          <w:szCs w:val="18"/>
          <w:color w:val="auto"/>
        </w:rPr>
      </w:pPr>
    </w:p>
    <w:p>
      <w:pPr>
        <w:jc w:val="both"/>
        <w:ind w:left="460" w:firstLine="443"/>
        <w:spacing w:after="0" w:line="255" w:lineRule="auto"/>
        <w:tabs>
          <w:tab w:leader="none" w:pos="117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Each Request for Credit Extension submitted by a Borrower shall be deemed to be a representation and warranty that the conditions specified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induce the Administrative Agent and the Lenders to enter into this Agreement and to induce the Lenders to make Loans and issue or participate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hereunder, the Loan Parties represent and warrant to the Administrative Agent and the Lenders that: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73" w:name="page74"/>
    <w:bookmarkEnd w:id="7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6.01</w:t>
      </w:r>
      <w:r>
        <w:rPr>
          <w:sz w:val="20"/>
          <w:szCs w:val="20"/>
          <w:color w:val="auto"/>
        </w:rPr>
        <w:tab/>
      </w:r>
      <w:r>
        <w:rPr>
          <w:rFonts w:ascii="Arial" w:cs="Arial" w:eastAsia="Arial" w:hAnsi="Arial"/>
          <w:sz w:val="15"/>
          <w:szCs w:val="15"/>
          <w:u w:val="single" w:color="auto"/>
          <w:color w:val="auto"/>
        </w:rPr>
        <w:t>Organization, etc.</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is a corporation duly organized, validly existing and in good standing (or equivalent status) under the Laws of the State of Wisconsin; each Designated Borrower and Significant Subsidiary is duly organized, validly existing and in good standing (or equivalent status) under the Laws of the jurisdiction of its organization; and the Company, each Designated Borrower and each Significant Subsidiary is duly qualified to do business in each jurisdiction where the nature of its business makes such qualification necessary (except to the extent the failure to be so qualified or in good standing could not reasonably be expected to have a Material Adverse Effect) and has full power and authority to own its property and conduct its business as presently conducted by it (except to the extent the failure to have such authority could not reasonably be expected to have a Material Adverse Effect).</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Authorization; No Conflict</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execution, delivery and performance by each Loan Party of each Loan Document to which it is a party and the Credit Extensions hereunder are within the organizational powers of the Company and each Loan Party, have been duly authorized by all necessary organizational action on the part of such Loan Party (including any necessary shareholder, partner or member action), have received all necessary governmental and other third-party approvals (if any shall be required), and do not and will not (a) violate any provision of Law or any order, decree or judgment of any court or other Governmental Authority which is binding on the Company or any other Loan Party, (b) contravene or conflict with, or result in a breach of, any provision of the Organization Documents of the Company or any other Loan Party or (c) contravene or conflict with, or result in a Lien under, any material agreement, indenture, instrument or other document which is binding on the Company or any other Loan Party.</w:t>
      </w:r>
    </w:p>
    <w:p>
      <w:pPr>
        <w:spacing w:after="0" w:line="1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u w:val="single" w:color="auto"/>
          <w:color w:val="auto"/>
        </w:rPr>
        <w:t>Validity and Binding Nature</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Each Loan Document to which a Loan Party is a party is the legal, valid and binding obligation of such Loan Party, enforceable against such Loan Party in accordance with its terms, subject to Debtor Relief Laws and to general principles of equity.</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u w:val="single" w:color="auto"/>
          <w:color w:val="auto"/>
        </w:rPr>
        <w:t>Financial Condition</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Audited Financial Statements were prepared in accordance with GAAP and present fairly the consolidated financial condition of the Company and its Subsidiaries as at such date and the results of their operations for the period then ended.</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Since July 31, 2011, there has been no material adverse change in the financial condition, operations, assets, business or properties of the Company and its Subsidiaries taken as a whole (excluding that certain item disclosed in writing to the Administrative Agent and the Lenders prior to the date of this Agreement for purposes of this exclusion).</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6"/>
          <w:szCs w:val="16"/>
          <w:u w:val="single" w:color="auto"/>
          <w:color w:val="auto"/>
        </w:rPr>
        <w:t>Litigation</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No litigation (including derivative actions), arbitration proceeding, labor controversy or governmental investigation or proceeding is pending or, to the Company’s knowledge, threatened in writing against the Company or any Subsidiary which could reasonably be expected to (a) have a Material Adverse Effect;</w:t>
      </w:r>
    </w:p>
    <w:p>
      <w:pPr>
        <w:ind w:firstLine="8"/>
        <w:spacing w:after="0" w:line="261" w:lineRule="auto"/>
        <w:tabs>
          <w:tab w:leader="none" w:pos="2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materially and adversely affect the ability of the Borrowers or any Guarantor to perform its obligations under the Loan Documents; or (c) materially and adversely affect the rights and remedies of the Administrative Agent or the Lenders under the Loan Documents.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74" w:name="page75"/>
    <w:bookmarkEnd w:id="7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6.07</w:t>
      </w:r>
      <w:r>
        <w:rPr>
          <w:sz w:val="20"/>
          <w:szCs w:val="20"/>
          <w:color w:val="auto"/>
        </w:rPr>
        <w:tab/>
      </w:r>
      <w:r>
        <w:rPr>
          <w:rFonts w:ascii="Arial" w:cs="Arial" w:eastAsia="Arial" w:hAnsi="Arial"/>
          <w:sz w:val="15"/>
          <w:szCs w:val="15"/>
          <w:u w:val="single" w:color="auto"/>
          <w:color w:val="auto"/>
        </w:rPr>
        <w:t>Ownership of Properties</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Each of the Company and each Significant Subsidiary owns good and, in the case of real property, indefeasible title to all of its properties and assets, real and personal, tangible and intangible, of any nature whatsoever (including patents, trademarks, trade names, service marks and copyrights), except for such defects in title or interest that could not reasonably be expected to have a Material Adverse Effect.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5"/>
          <w:szCs w:val="15"/>
          <w:u w:val="single" w:color="auto"/>
          <w:color w:val="auto"/>
        </w:rPr>
        <w:t>Subsidiaries</w:t>
      </w:r>
      <w:r>
        <w:rPr>
          <w:rFonts w:ascii="Arial" w:cs="Arial" w:eastAsia="Arial" w:hAnsi="Arial"/>
          <w:sz w:val="15"/>
          <w:szCs w:val="15"/>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As of the Closing Date, the Company has no Subsidiaries except those listed in </w:t>
      </w:r>
      <w:r>
        <w:rPr>
          <w:rFonts w:ascii="Arial" w:cs="Arial" w:eastAsia="Arial" w:hAnsi="Arial"/>
          <w:sz w:val="18"/>
          <w:szCs w:val="18"/>
          <w:u w:val="single" w:color="auto"/>
          <w:color w:val="auto"/>
        </w:rPr>
        <w:t>Schedule 6.08</w:t>
      </w:r>
      <w:r>
        <w:rPr>
          <w:rFonts w:ascii="Arial" w:cs="Arial" w:eastAsia="Arial" w:hAnsi="Arial"/>
          <w:sz w:val="18"/>
          <w:szCs w:val="18"/>
          <w:color w:val="auto"/>
        </w:rPr>
        <w:t>.</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5"/>
          <w:szCs w:val="15"/>
          <w:u w:val="single" w:color="auto"/>
          <w:color w:val="auto"/>
        </w:rPr>
        <w:t>Pension Plans and Plan Assets</w:t>
      </w:r>
      <w:r>
        <w:rPr>
          <w:rFonts w:ascii="Arial" w:cs="Arial" w:eastAsia="Arial" w:hAnsi="Arial"/>
          <w:sz w:val="15"/>
          <w:szCs w:val="15"/>
          <w:color w:val="auto"/>
        </w:rPr>
        <w:t>.</w:t>
      </w:r>
    </w:p>
    <w:p>
      <w:pPr>
        <w:spacing w:after="0" w:line="144" w:lineRule="exact"/>
        <w:rPr>
          <w:sz w:val="20"/>
          <w:szCs w:val="20"/>
          <w:color w:val="auto"/>
        </w:rPr>
      </w:pPr>
    </w:p>
    <w:p>
      <w:pPr>
        <w:jc w:val="both"/>
        <w:ind w:left="460" w:firstLine="443"/>
        <w:spacing w:after="0" w:line="298" w:lineRule="auto"/>
        <w:tabs>
          <w:tab w:leader="none" w:pos="1147" w:val="left"/>
        </w:tabs>
        <w:numPr>
          <w:ilvl w:val="1"/>
          <w:numId w:val="87"/>
        </w:numPr>
        <w:rPr>
          <w:rFonts w:ascii="Arial" w:cs="Arial" w:eastAsia="Arial" w:hAnsi="Arial"/>
          <w:sz w:val="16"/>
          <w:szCs w:val="16"/>
          <w:color w:val="auto"/>
        </w:rPr>
      </w:pPr>
      <w:r>
        <w:rPr>
          <w:rFonts w:ascii="Arial" w:cs="Arial" w:eastAsia="Arial" w:hAnsi="Arial"/>
          <w:sz w:val="16"/>
          <w:szCs w:val="16"/>
          <w:color w:val="auto"/>
        </w:rPr>
        <w:t>During the twelve-consecutive-month period prior to the Closing Date or the making of any Credit Extension hereunder, (i) no steps have been taken to terminate any Pension Plan other than a “standard termination” in accordance with Section 4041(b) of ERISA and (ii) no contribution failure has occurred with respect to any Pension Plan sufficient to give rise to a Lien under Section 303(k) of ERISA. No condition exists or event or transaction has occurred with respect to any Pension Plan which could reasonably be expected to have a Material Adverse Effect.</w:t>
      </w:r>
    </w:p>
    <w:p>
      <w:pPr>
        <w:spacing w:after="0" w:line="85" w:lineRule="exact"/>
        <w:rPr>
          <w:rFonts w:ascii="Arial" w:cs="Arial" w:eastAsia="Arial" w:hAnsi="Arial"/>
          <w:sz w:val="16"/>
          <w:szCs w:val="16"/>
          <w:color w:val="auto"/>
        </w:rPr>
      </w:pPr>
    </w:p>
    <w:p>
      <w:pPr>
        <w:jc w:val="both"/>
        <w:ind w:left="460" w:firstLine="443"/>
        <w:spacing w:after="0" w:line="288" w:lineRule="auto"/>
        <w:tabs>
          <w:tab w:leader="none" w:pos="1149"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All contributions (if any) have been made to any Multiemployer Pension Plan that are required to be made by the Company or any other member of the Controlled Group under the terms of the plan or of any collective bargaining agreement or by applicable Law; neither the Company nor any member of the Controlled Group has withdrawn or partially withdrawn from any Multiemployer Pension Plan, incurred any material withdrawal liability with respect to any such plan or received notice of any claim or demand for material withdrawal liability or partial withdrawal liability from any such plan; and neither the Company nor any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Internal Revenue Code, that any such plan is or may be involuntarily terminated, or that any such plan is or may become insolvent; except, in each case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to the extent that the facts and circumstances causing such representation and warranty to be inaccurate could not reasonably be expected to have a Material Adverse Effect.</w:t>
      </w:r>
    </w:p>
    <w:p>
      <w:pPr>
        <w:spacing w:after="0" w:line="92" w:lineRule="exact"/>
        <w:rPr>
          <w:rFonts w:ascii="Arial" w:cs="Arial" w:eastAsia="Arial" w:hAnsi="Arial"/>
          <w:sz w:val="16"/>
          <w:szCs w:val="16"/>
          <w:color w:val="auto"/>
        </w:rPr>
      </w:pPr>
    </w:p>
    <w:p>
      <w:pPr>
        <w:ind w:left="700" w:hanging="23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Neither the Company nor any other Loan Party is an entity deemed to hold Plan Assets.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Investment Company Act</w:t>
      </w:r>
      <w:r>
        <w:rPr>
          <w:rFonts w:ascii="Arial" w:cs="Arial" w:eastAsia="Arial" w:hAnsi="Arial"/>
          <w:sz w:val="16"/>
          <w:szCs w:val="16"/>
          <w:color w:val="auto"/>
        </w:rPr>
        <w:t>.</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Neither the Company nor any Subsidiary is an “investment company” or a company “controlled” by an “investment company”, within the meaning of the Investment Company Act of 1940.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75" w:name="page76"/>
    <w:bookmarkEnd w:id="7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6.11</w:t>
      </w:r>
      <w:r>
        <w:rPr>
          <w:sz w:val="20"/>
          <w:szCs w:val="20"/>
          <w:color w:val="auto"/>
        </w:rPr>
        <w:tab/>
      </w:r>
      <w:r>
        <w:rPr>
          <w:rFonts w:ascii="Arial" w:cs="Arial" w:eastAsia="Arial" w:hAnsi="Arial"/>
          <w:sz w:val="16"/>
          <w:szCs w:val="16"/>
          <w:u w:val="single" w:color="auto"/>
          <w:color w:val="auto"/>
        </w:rPr>
        <w:t>Regulation U</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No Borrower is engaged principally, or as one of its important activities, in the business of extending credit for the purpose of purchasing or carrying Margin Stock.</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of the Company and each Significant Subsidiary has filed all federal tax returns and other material tax returns and tax reports required by Law to have been filed by it and has paid all taxes and governmental charges thereby shown to be owing, except any such taxes or charges which are being diligently contested in good faith by appropriate action and for which adequate reserves in accordance with GAAP shall have been set aside on its books.</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The Company conducts, in the ordinary course of business (in a manner sufficient to enable the Company to make the representation and warranty set forth in this </w:t>
      </w:r>
      <w:r>
        <w:rPr>
          <w:rFonts w:ascii="Arial" w:cs="Arial" w:eastAsia="Arial" w:hAnsi="Arial"/>
          <w:sz w:val="18"/>
          <w:szCs w:val="18"/>
          <w:u w:val="single" w:color="auto"/>
          <w:color w:val="auto"/>
        </w:rPr>
        <w:t>Section 6.13</w:t>
      </w:r>
      <w:r>
        <w:rPr>
          <w:rFonts w:ascii="Arial" w:cs="Arial" w:eastAsia="Arial" w:hAnsi="Arial"/>
          <w:sz w:val="18"/>
          <w:szCs w:val="18"/>
          <w:color w:val="auto"/>
        </w:rPr>
        <w:t>), a review of the effect of existing Environmental Laws (excluding health, safety and land use matters) and existing Environmental Claims (excluding health, safety and land use matters) on its business, operation and properties, and as a result thereof, the Company has reasonably concluded that, except for matters for which adequate reserves are maintained, the aggregate effect of such Environmental Laws and Environmental Claims, could not reasonably be expected to have a Material Adverse Effect.</w:t>
      </w:r>
    </w:p>
    <w:p>
      <w:pPr>
        <w:spacing w:after="0" w:line="1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Information</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All information heretofore or contemporaneously herewith furnished in writing by the Company or any Subsidiary to the Administrative Agent or any Lender for purposes of or in connection with this Agreement and the transactions contemplated hereby is, and all written information hereafter furnished by or on behalf of the Company or any Subsidiary to any Lender pursuant hereto or in connection herewith will be, true and accurate in every material respect on the date as of which such information is dated or certified, and none of such information is or will be incomplete by omitting to state any material fact necessary to make such information not misleading in light of the circumstances under which made (it being recognized by the Administrative Agent and the Lenders that (a) any projections and forecasts provided by the Company are based on good faith estimates and assumptions believed by the Company to be reasonable as of the date of the applicable projections or assumptions and that actual results during the period or periods covered by any such projections and forecasts will likely differ from projected or forecasted results and (b) any information provided by the Company or any Subsidiary with respect to any Person or assets acquired or to be acquired by the Company or any Subsidiary shall, for all periods prior to the date of such Acquisition, be limited to the knowledge of the Company or the acquiring Subsidiary after reasonable inquiry).</w:t>
      </w:r>
    </w:p>
    <w:p>
      <w:pPr>
        <w:spacing w:after="0" w:line="1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No Default has occurred and is continuing or would result from the consummation of any transaction contemplated by this Agreement or any other Loan Document.</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5"/>
          <w:szCs w:val="15"/>
          <w:u w:val="single" w:color="auto"/>
          <w:color w:val="auto"/>
        </w:rPr>
        <w:t>Designated Borrower Joinder Agreement</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For as long as any Subsidiary shall be a Borrower, the representations and warranties of such Subsidiary in such Borrower’s Designated Borrower Joinder Agreement are true and correct in all material respects as of the date such representations and warranties are made or deemed to be made.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76" w:name="page77"/>
    <w:bookmarkEnd w:id="76"/>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4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COVENANTS</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Until the expiration or termination of the Commitments and thereafter until all Obligations of the Loan Parties hereunder and under the other Loan Documents (other than any contingent indemnification or similar obligations not yet due and payable) are paid in full and all Letters of Credit (other than any Letter of Credit that has been Cash Collateralized or with respect to which other arrangements satisfactory to the L/C Issuer have been made) have been terminated, the Loan Parties agree that, unless at any time the Required Lenders shall otherwise expressly consent in writing, they will:</w:t>
      </w:r>
    </w:p>
    <w:p>
      <w:pPr>
        <w:spacing w:after="0" w:line="99" w:lineRule="exact"/>
        <w:rPr>
          <w:sz w:val="20"/>
          <w:szCs w:val="20"/>
          <w:color w:val="auto"/>
        </w:rPr>
      </w:pPr>
    </w:p>
    <w:p>
      <w:pPr>
        <w:jc w:val="center"/>
        <w:ind w:right="7860"/>
        <w:spacing w:after="0"/>
        <w:tabs>
          <w:tab w:leader="none" w:pos="12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6"/>
          <w:szCs w:val="16"/>
          <w:u w:val="single" w:color="auto"/>
          <w:color w:val="auto"/>
        </w:rPr>
        <w:t>Reports, Certificates and Other Information</w:t>
      </w:r>
      <w:r>
        <w:rPr>
          <w:rFonts w:ascii="Arial" w:cs="Arial" w:eastAsia="Arial" w:hAnsi="Arial"/>
          <w:sz w:val="16"/>
          <w:szCs w:val="16"/>
          <w:color w:val="auto"/>
        </w:rPr>
        <w:t>.</w:t>
      </w:r>
    </w:p>
    <w:p>
      <w:pPr>
        <w:spacing w:after="0" w:line="144" w:lineRule="exact"/>
        <w:rPr>
          <w:sz w:val="20"/>
          <w:szCs w:val="20"/>
          <w:color w:val="auto"/>
        </w:rPr>
      </w:pPr>
    </w:p>
    <w:p>
      <w:pPr>
        <w:jc w:val="center"/>
        <w:ind w:right="7900"/>
        <w:spacing w:after="0"/>
        <w:rPr>
          <w:sz w:val="20"/>
          <w:szCs w:val="20"/>
          <w:color w:val="auto"/>
        </w:rPr>
      </w:pPr>
      <w:r>
        <w:rPr>
          <w:rFonts w:ascii="Arial" w:cs="Arial" w:eastAsia="Arial" w:hAnsi="Arial"/>
          <w:sz w:val="18"/>
          <w:szCs w:val="18"/>
          <w:color w:val="auto"/>
        </w:rPr>
        <w:t>Furnish to the Administrative Agent:</w:t>
      </w:r>
    </w:p>
    <w:p>
      <w:pPr>
        <w:spacing w:after="0" w:line="144" w:lineRule="exact"/>
        <w:rPr>
          <w:sz w:val="20"/>
          <w:szCs w:val="20"/>
          <w:color w:val="auto"/>
        </w:rPr>
      </w:pPr>
    </w:p>
    <w:p>
      <w:pPr>
        <w:jc w:val="both"/>
        <w:ind w:left="460" w:firstLine="443"/>
        <w:spacing w:after="0" w:line="285" w:lineRule="auto"/>
        <w:tabs>
          <w:tab w:leader="none" w:pos="1137"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Audit Report</w:t>
      </w:r>
      <w:r>
        <w:rPr>
          <w:rFonts w:ascii="Arial" w:cs="Arial" w:eastAsia="Arial" w:hAnsi="Arial"/>
          <w:sz w:val="16"/>
          <w:szCs w:val="16"/>
          <w:color w:val="auto"/>
        </w:rPr>
        <w:t>. Promptly when available, and in any event not later than the earlier of (i) five Business Days after the filing thereof with the SEC and (ii) 105 days after the end of each Fiscal Year (commencing with the Fiscal Year ending on or about July 31, 2012), a copy of the audited consolidated balance sheet of the Company and its consolidated Subsidiaries for such Fiscal Year together with audited consolidated statements of earnings and cash flows for such Fiscal Year, accompanied by (x) the report of Deloitte &amp; Touche LLP or another nationally-recognized independent registered public accounting firm (the “</w:t>
      </w:r>
      <w:r>
        <w:rPr>
          <w:rFonts w:ascii="Arial" w:cs="Arial" w:eastAsia="Arial" w:hAnsi="Arial"/>
          <w:sz w:val="16"/>
          <w:szCs w:val="16"/>
          <w:u w:val="single" w:color="auto"/>
          <w:color w:val="auto"/>
        </w:rPr>
        <w:t>Independent Auditor</w:t>
      </w:r>
      <w:r>
        <w:rPr>
          <w:rFonts w:ascii="Arial" w:cs="Arial" w:eastAsia="Arial" w:hAnsi="Arial"/>
          <w:sz w:val="16"/>
          <w:szCs w:val="16"/>
          <w:color w:val="auto"/>
        </w:rPr>
        <w:t xml:space="preserve">”), which report shall (A) state that such consolidated financial statements present fairly the financial position for the periods indicated in conformity with GAAP and (B) not be qualified or limited because of a restricted or limited examination by the Independent Auditor of any material portion of the Company’s or any Subsidiary’s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report of the Independent Auditor is a combined report (that is, one report containing an opinion on such consolidated financial statements, an opinion on internal controls over financial reporting and an opinion on management’s assessment of internal controls over financial reporting), then such report may include a qualification or limitation relating to the Company’s system of internal controls over financial reporting due to the exclusion of any acquired business from the scope of management’s assessment of internal controls over financial reporting to the extent such exclusion is permitted under provisions published by the Public Company Accounting Oversight Board, the SEC or another applicable Governmental Authority; and (y) a written statement from such accountants to the effect that in making the examination necessary for the signing of such annual audit report by such accountants, they have not become aware of any Default that has occurred and is continuing or, if they have become aware of any such event, describing it in reasonable detail.</w:t>
      </w:r>
    </w:p>
    <w:p>
      <w:pPr>
        <w:spacing w:after="0" w:line="101" w:lineRule="exact"/>
        <w:rPr>
          <w:rFonts w:ascii="Arial" w:cs="Arial" w:eastAsia="Arial" w:hAnsi="Arial"/>
          <w:sz w:val="16"/>
          <w:szCs w:val="16"/>
          <w:color w:val="auto"/>
        </w:rPr>
      </w:pPr>
    </w:p>
    <w:p>
      <w:pPr>
        <w:jc w:val="both"/>
        <w:ind w:left="460" w:firstLine="443"/>
        <w:spacing w:after="0" w:line="291" w:lineRule="auto"/>
        <w:tabs>
          <w:tab w:leader="none" w:pos="1147"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Quarterly Reports</w:t>
      </w:r>
      <w:r>
        <w:rPr>
          <w:rFonts w:ascii="Arial" w:cs="Arial" w:eastAsia="Arial" w:hAnsi="Arial"/>
          <w:sz w:val="16"/>
          <w:szCs w:val="16"/>
          <w:color w:val="auto"/>
        </w:rPr>
        <w:t>. Promptly when available, and in any event not later than (i) five Business Days after the filing thereof with the SEC and (ii) 45 days after the end of each Fiscal Quarter (except the last Fiscal Quarter of each Fiscal Year), consolidated balance sheets of the Company and its consolidated Subsidiaries as of the end of such Fiscal Quarter, together with a consolidated statement of earnings for such Fiscal Quarter and consolidated statements of earnings and cash flows for the period beginning with the first day of such Fiscal Year and ending on the last day of such Fiscal Quarter, certified by an Executive Officer as fairly presenting, in accordance with GAAP (subject to normal year-end audit adjustments and the absence of footnotes), the consolidated financial position and results of operations for the Company and its consolidated Subsidiaries for such periods.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77" w:name="page78"/>
    <w:bookmarkEnd w:id="77"/>
    <w:p>
      <w:pPr>
        <w:jc w:val="both"/>
        <w:ind w:firstLine="443"/>
        <w:spacing w:after="0" w:line="294" w:lineRule="auto"/>
        <w:tabs>
          <w:tab w:leader="none" w:pos="677"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Certificates</w:t>
      </w:r>
      <w:r>
        <w:rPr>
          <w:rFonts w:ascii="Arial" w:cs="Arial" w:eastAsia="Arial" w:hAnsi="Arial"/>
          <w:sz w:val="16"/>
          <w:szCs w:val="16"/>
          <w:color w:val="auto"/>
        </w:rPr>
        <w:t xml:space="preserve">. Contemporaneously with the furnishing of a copy of each annual audit report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and of each set of quarterly statements pursuant to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a duly completed Compliance Certificate, with appropriate insertions, dated the date of such annual report or such quarterly statements and signed by an Executive Officer, containing a computation of each of the financial covenants set forth in </w:t>
      </w:r>
      <w:r>
        <w:rPr>
          <w:rFonts w:ascii="Arial" w:cs="Arial" w:eastAsia="Arial" w:hAnsi="Arial"/>
          <w:sz w:val="16"/>
          <w:szCs w:val="16"/>
          <w:u w:val="single" w:color="auto"/>
          <w:color w:val="auto"/>
        </w:rPr>
        <w:t>Section 7.06</w:t>
      </w:r>
      <w:r>
        <w:rPr>
          <w:rFonts w:ascii="Arial" w:cs="Arial" w:eastAsia="Arial" w:hAnsi="Arial"/>
          <w:sz w:val="16"/>
          <w:szCs w:val="16"/>
          <w:color w:val="auto"/>
        </w:rPr>
        <w:t>, a computation of the Consolidated Net Leverage Ratio and to the effect that such officer has not become aware of any Default that has occurred and is continuing or, if there is any such event, describing it and the steps, if any, being taken to cure it.</w:t>
      </w:r>
    </w:p>
    <w:p>
      <w:pPr>
        <w:spacing w:after="0" w:line="88" w:lineRule="exact"/>
        <w:rPr>
          <w:rFonts w:ascii="Arial" w:cs="Arial" w:eastAsia="Arial" w:hAnsi="Arial"/>
          <w:sz w:val="16"/>
          <w:szCs w:val="16"/>
          <w:color w:val="auto"/>
        </w:rPr>
      </w:pPr>
    </w:p>
    <w:p>
      <w:pPr>
        <w:jc w:val="both"/>
        <w:ind w:firstLine="443"/>
        <w:spacing w:after="0" w:line="294" w:lineRule="auto"/>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Reports to SEC and to Shareholders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Sections 7.01(a)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7.01(b)</w:t>
      </w:r>
      <w:r>
        <w:rPr>
          <w:rFonts w:ascii="Arial" w:cs="Arial" w:eastAsia="Arial" w:hAnsi="Arial"/>
          <w:sz w:val="16"/>
          <w:szCs w:val="16"/>
          <w:color w:val="auto"/>
        </w:rPr>
        <w:t>, within 15 days after the filing or sending thereof, copies of all reports on Form 10-K, 10-Q or 8-K (including any amendment thereto) of any Loan Party filed with the SEC (excluding exhibits thereto, provided that the Company shall promptly deliver any such exhibit to the Administrative Agent or any Lender upon request therefor); copies of all registration statements of any Loan Party filed with the SEC (other than on Form S-8); and copies of all proxy statements or other communications made generally to shareholders as a whole concerning material developments in the business of any Loan Party.</w:t>
      </w:r>
    </w:p>
    <w:p>
      <w:pPr>
        <w:spacing w:after="0" w:line="88" w:lineRule="exact"/>
        <w:rPr>
          <w:rFonts w:ascii="Arial" w:cs="Arial" w:eastAsia="Arial" w:hAnsi="Arial"/>
          <w:sz w:val="16"/>
          <w:szCs w:val="16"/>
          <w:color w:val="auto"/>
        </w:rPr>
      </w:pPr>
    </w:p>
    <w:p>
      <w:pPr>
        <w:ind w:firstLine="443"/>
        <w:spacing w:after="0" w:line="268" w:lineRule="auto"/>
        <w:tabs>
          <w:tab w:leader="none" w:pos="67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Notice of Default, Litigation and ERISA Matters</w:t>
      </w:r>
      <w:r>
        <w:rPr>
          <w:rFonts w:ascii="Arial" w:cs="Arial" w:eastAsia="Arial" w:hAnsi="Arial"/>
          <w:sz w:val="18"/>
          <w:szCs w:val="18"/>
          <w:color w:val="auto"/>
        </w:rPr>
        <w:t>. Promptly upon any Executive Officer becoming aware of any of the following, written notice describing the same and the steps being taken by the Company or the Subsidiary affected thereby with respect thereto:</w:t>
      </w:r>
    </w:p>
    <w:p>
      <w:pPr>
        <w:spacing w:after="0" w:line="104" w:lineRule="exact"/>
        <w:rPr>
          <w:rFonts w:ascii="Arial" w:cs="Arial" w:eastAsia="Arial" w:hAnsi="Arial"/>
          <w:sz w:val="18"/>
          <w:szCs w:val="18"/>
          <w:color w:val="auto"/>
        </w:rPr>
      </w:pPr>
    </w:p>
    <w:p>
      <w:pPr>
        <w:ind w:left="1100" w:hanging="219"/>
        <w:spacing w:after="0"/>
        <w:tabs>
          <w:tab w:leader="none" w:pos="11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occurrence of a Default;</w:t>
      </w:r>
    </w:p>
    <w:p>
      <w:pPr>
        <w:spacing w:after="0" w:line="144" w:lineRule="exact"/>
        <w:rPr>
          <w:rFonts w:ascii="Arial" w:cs="Arial" w:eastAsia="Arial" w:hAnsi="Arial"/>
          <w:sz w:val="18"/>
          <w:szCs w:val="18"/>
          <w:color w:val="auto"/>
        </w:rPr>
      </w:pPr>
    </w:p>
    <w:p>
      <w:pPr>
        <w:jc w:val="both"/>
        <w:ind w:left="460" w:firstLine="421"/>
        <w:spacing w:after="0" w:line="306" w:lineRule="auto"/>
        <w:tabs>
          <w:tab w:leader="none" w:pos="1146"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litigation, arbitration or governmental investigation or proceeding not previously disclosed by the Company to the Lenders which has been instituted or, to the knowledge of the Company, is threatened in writing against the Company or any Subsidiary or to which any of the properties of any thereof is subject which could reasonably be expected to have a Material Adverse Effect;</w:t>
      </w:r>
    </w:p>
    <w:p>
      <w:pPr>
        <w:spacing w:after="0" w:line="79" w:lineRule="exact"/>
        <w:rPr>
          <w:rFonts w:ascii="Arial" w:cs="Arial" w:eastAsia="Arial" w:hAnsi="Arial"/>
          <w:sz w:val="16"/>
          <w:szCs w:val="16"/>
          <w:color w:val="auto"/>
        </w:rPr>
      </w:pPr>
    </w:p>
    <w:p>
      <w:pPr>
        <w:jc w:val="both"/>
        <w:ind w:left="460" w:firstLine="421"/>
        <w:spacing w:after="0" w:line="287" w:lineRule="auto"/>
        <w:tabs>
          <w:tab w:leader="none" w:pos="1212"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institution of any steps by any member of the Controlled Group or any other Person to terminate any Pension Plan other than a “standard termination” in accordance with Section 4041(b) of ERISA, or the failure of any member of the Controlled Group to make a required contribution to any Pension Plan (if such failure is sufficient to give rise to a lien under Section 303(k) of ERISA) or to any Multiemployer Pension Plan (in each case if such failure could reasonably be expected to have a Material Adverse Effect), or the taking of any action with respect to a Pension Plan which could reasonably be expected to result in the requirement that the Company furnish a bond or other security to the PBGC or such Pension Plan, or the occurrence of any event with respect to any Pension Plan or Multiemployer Pension Plan which could reasonably be expected to have a Material Adverse Effect, or any notice that any Multiemployer Pension Plan is in reorganization, that material increased contributions may be required to avoid a reduction in plan benefits or the imposition of an excise tax, that any such plan is or has been funded at a rate less materially than that required under Section 412 of the Internal Revenue Code, that any such plan is or may be involuntarily terminated, or that any such plan is or may become insolvent;</w:t>
      </w:r>
    </w:p>
    <w:p>
      <w:pPr>
        <w:spacing w:after="0" w:line="95" w:lineRule="exact"/>
        <w:rPr>
          <w:rFonts w:ascii="Arial" w:cs="Arial" w:eastAsia="Arial" w:hAnsi="Arial"/>
          <w:sz w:val="16"/>
          <w:szCs w:val="16"/>
          <w:color w:val="auto"/>
        </w:rPr>
      </w:pPr>
    </w:p>
    <w:p>
      <w:pPr>
        <w:ind w:left="1180" w:hanging="299"/>
        <w:spacing w:after="0"/>
        <w:tabs>
          <w:tab w:leader="none" w:pos="11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Loan Party becomes an entity deemed to hold Plan Assets; and</w:t>
      </w:r>
    </w:p>
    <w:p>
      <w:pPr>
        <w:spacing w:after="0" w:line="144" w:lineRule="exact"/>
        <w:rPr>
          <w:rFonts w:ascii="Arial" w:cs="Arial" w:eastAsia="Arial" w:hAnsi="Arial"/>
          <w:sz w:val="18"/>
          <w:szCs w:val="18"/>
          <w:color w:val="auto"/>
        </w:rPr>
      </w:pPr>
    </w:p>
    <w:p>
      <w:pPr>
        <w:ind w:left="460" w:firstLine="421"/>
        <w:spacing w:after="0" w:line="268" w:lineRule="auto"/>
        <w:tabs>
          <w:tab w:leader="none" w:pos="1136"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other event (including any violation of any Environmental Law or the assertion of any Environmental Claim) which could reasonably be expected to have a Material Adverse Effect.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700" w:top="280" w:right="239" w:bottom="1440" w:gutter="0" w:footer="0" w:header="0"/>
        </w:sectPr>
      </w:pPr>
    </w:p>
    <w:bookmarkStart w:id="78" w:name="page79"/>
    <w:bookmarkEnd w:id="78"/>
    <w:p>
      <w:pPr>
        <w:jc w:val="both"/>
        <w:ind w:firstLine="443"/>
        <w:spacing w:after="0" w:line="306" w:lineRule="auto"/>
        <w:tabs>
          <w:tab w:leader="none" w:pos="671"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Information</w:t>
      </w:r>
      <w:r>
        <w:rPr>
          <w:rFonts w:ascii="Arial" w:cs="Arial" w:eastAsia="Arial" w:hAnsi="Arial"/>
          <w:sz w:val="16"/>
          <w:szCs w:val="16"/>
          <w:color w:val="auto"/>
        </w:rPr>
        <w:t>. From time to time such other information concerning the Company and its Subsidiaries (including material financial and management reports submitted to the Company by independent auditors in connection with each annual or interim audit made by such auditors of the books of the Company) as the Administrative Agent or any Lender through the Administrative Agent may reasonably request.</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 xml:space="preserve">Documents required to be delivered pursuant to </w:t>
      </w:r>
      <w:r>
        <w:rPr>
          <w:rFonts w:ascii="Arial" w:cs="Arial" w:eastAsia="Arial" w:hAnsi="Arial"/>
          <w:sz w:val="15"/>
          <w:szCs w:val="15"/>
          <w:u w:val="single" w:color="auto"/>
          <w:color w:val="auto"/>
        </w:rPr>
        <w:t>Section 7.01(a)</w:t>
      </w:r>
      <w:r>
        <w:rPr>
          <w:rFonts w:ascii="Arial" w:cs="Arial" w:eastAsia="Arial" w:hAnsi="Arial"/>
          <w:sz w:val="15"/>
          <w:szCs w:val="15"/>
          <w:color w:val="auto"/>
        </w:rPr>
        <w:t xml:space="preserve">, </w:t>
      </w:r>
      <w:r>
        <w:rPr>
          <w:rFonts w:ascii="Arial" w:cs="Arial" w:eastAsia="Arial" w:hAnsi="Arial"/>
          <w:sz w:val="15"/>
          <w:szCs w:val="15"/>
          <w:u w:val="single" w:color="auto"/>
          <w:color w:val="auto"/>
        </w:rPr>
        <w:t>7.01(b)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7.01(d)</w:t>
      </w:r>
      <w:r>
        <w:rPr>
          <w:rFonts w:ascii="Arial" w:cs="Arial" w:eastAsia="Arial" w:hAnsi="Arial"/>
          <w:sz w:val="15"/>
          <w:szCs w:val="15"/>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5"/>
          <w:szCs w:val="15"/>
          <w:u w:val="single" w:color="auto"/>
          <w:color w:val="auto"/>
        </w:rPr>
        <w:t>Schedule 11.02</w:t>
      </w:r>
      <w:r>
        <w:rPr>
          <w:rFonts w:ascii="Arial" w:cs="Arial" w:eastAsia="Arial" w:hAnsi="Arial"/>
          <w:sz w:val="15"/>
          <w:szCs w:val="15"/>
          <w:color w:val="auto"/>
        </w:rPr>
        <w:t xml:space="preserve"> or publicly files such documents with the SEC;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shall notify (which may be by facsimile or electronic mail) the Administrative Agent (which shall notify each Lender) of the posting of any such document and, promptly upon request by the Administrative Agent, provide to the Administrative Agent by electronic mail an electronic version (i.e., a soft copy) of any such document specifically requested by the Administrative Agent.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hereby acknowledges that (a) the Administrative Agent and/or the Lead Arranger may, but shall not be obligated to, make available to the Lenders and the L/C Issuer materials and/or information provided by or on behalf of the Company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Debt Domain, IntraLinks, Syndtrak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Lead Arranger, the L/C Issuer and the Lenders to treat such Borrower Materials as not containing any material non-public information with respect to the Company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and shall only post such Borrower Materials on, a portion of the Platform not designated as “Public Side Information.” Notwithstanding the foregoing, the Company shall be under no obligation to mark any Borrower Materials “PUBLIC.”</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0"/>
          </w:cols>
          <w:pgMar w:left="700" w:top="280" w:right="239" w:bottom="1440" w:gutter="0" w:footer="0" w:header="0"/>
        </w:sectPr>
      </w:pPr>
    </w:p>
    <w:bookmarkStart w:id="79" w:name="page80"/>
    <w:bookmarkEnd w:id="7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7.02</w:t>
      </w:r>
      <w:r>
        <w:rPr>
          <w:sz w:val="20"/>
          <w:szCs w:val="20"/>
          <w:color w:val="auto"/>
        </w:rPr>
        <w:tab/>
      </w:r>
      <w:r>
        <w:rPr>
          <w:rFonts w:ascii="Arial" w:cs="Arial" w:eastAsia="Arial" w:hAnsi="Arial"/>
          <w:sz w:val="15"/>
          <w:szCs w:val="15"/>
          <w:u w:val="single" w:color="auto"/>
          <w:color w:val="auto"/>
        </w:rPr>
        <w:t>Books, Records and Inspections</w:t>
      </w:r>
      <w:r>
        <w:rPr>
          <w:rFonts w:ascii="Arial" w:cs="Arial" w:eastAsia="Arial" w:hAnsi="Arial"/>
          <w:sz w:val="15"/>
          <w:szCs w:val="15"/>
          <w:color w:val="auto"/>
        </w:rPr>
        <w:t>.</w:t>
      </w:r>
    </w:p>
    <w:p>
      <w:pPr>
        <w:spacing w:after="0" w:line="144" w:lineRule="exact"/>
        <w:rPr>
          <w:sz w:val="20"/>
          <w:szCs w:val="20"/>
          <w:color w:val="auto"/>
        </w:rPr>
      </w:pPr>
    </w:p>
    <w:p>
      <w:pPr>
        <w:jc w:val="both"/>
        <w:ind w:firstLine="464"/>
        <w:spacing w:after="0" w:line="301" w:lineRule="auto"/>
        <w:tabs>
          <w:tab w:leader="none" w:pos="718" w:val="left"/>
        </w:tabs>
        <w:numPr>
          <w:ilvl w:val="1"/>
          <w:numId w:val="92"/>
        </w:numPr>
        <w:rPr>
          <w:rFonts w:ascii="Arial" w:cs="Arial" w:eastAsia="Arial" w:hAnsi="Arial"/>
          <w:sz w:val="15"/>
          <w:szCs w:val="15"/>
          <w:color w:val="auto"/>
        </w:rPr>
      </w:pPr>
      <w:r>
        <w:rPr>
          <w:rFonts w:ascii="Arial" w:cs="Arial" w:eastAsia="Arial" w:hAnsi="Arial"/>
          <w:sz w:val="15"/>
          <w:szCs w:val="15"/>
          <w:color w:val="auto"/>
        </w:rPr>
        <w:t xml:space="preserve">Keep, and cause each Subsidiary to keep, its books and records in accordance with sound business practices sufficient to allow the preparation of financial statements in accordance with GAAP; (b) permit, and cause each Significant Subsidiary and each Domestic Subsidiary (other than Excluded Subsidiaries) to permit, the Administrative Agent (which may be accompanied by any Lender) or any representative thereof upon reasonable prior notice to inspect the properties and operations of the Company and of such Subsidiary; and (c) permit, and cause each Significant Subsidiary and each Domestic Subsidiary (other than Excluded Subsidiaries) to permit, at any reasonable time during normal business hours and with reasonable notice (or at any time without notice if an Event of Default exists), the Administrative Agent (which may be accompanied by any Lender) or any representative thereof to visit any or all of its offices, to discuss its financial matters with its officers and its independent auditors (and the Company hereby authorizes such independent auditors to discuss such financial matters with the Administrative Agent (which may be accompanied by any Lender) or any representative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shall have the right to be present at any such discussions so long as no Event of Default exists), to examine (and photocopy extracts from) any of its books or other financial or operating records,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unless an Event of Default exists, the costs and expenses associated with any visit or inspection made pursuant to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or</w:t>
      </w:r>
    </w:p>
    <w:p>
      <w:pPr>
        <w:spacing w:after="0" w:line="3" w:lineRule="exact"/>
        <w:rPr>
          <w:rFonts w:ascii="Arial" w:cs="Arial" w:eastAsia="Arial" w:hAnsi="Arial"/>
          <w:sz w:val="15"/>
          <w:szCs w:val="15"/>
          <w:color w:val="auto"/>
        </w:rPr>
      </w:pPr>
    </w:p>
    <w:p>
      <w:pPr>
        <w:ind w:left="240" w:hanging="232"/>
        <w:spacing w:after="0"/>
        <w:tabs>
          <w:tab w:leader="none" w:pos="240"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color w:val="auto"/>
        </w:rPr>
        <w:t>shall be for the account of the Administrative Agent (or, if acting upon the request of or accompanied by any Lender, such Lender).</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Maintain, and cause each Significant Subsidiary and each Domestic Subsidiary (other than Excluded Subsidiaries) to maintain, with responsible insurance companies, such insurance as may be required by any Law or governmental regulation or court decree or order applicable to it and such other insurance, to such extent and against such hazards and liabilities, as is customarily maintained by companies similarly situated; and, upon request of the Administrative Agent or any Lender through the Administrative Agent, furnish to the Administrative Agent or the Administrative Agent for delivery to such Lender a certificate setting forth in reasonable detail the nature and extent of all insurance maintained by the Company, the Significant Subsidiaries and the Domestic Subsidiaries (other than Excluded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self insurance of risks and in amounts customary in the industry of the Company and its Subsidiaries shall be permitted.</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Compliance with Laws; Payment of Taxes</w:t>
      </w:r>
      <w:r>
        <w:rPr>
          <w:rFonts w:ascii="Arial" w:cs="Arial" w:eastAsia="Arial" w:hAnsi="Arial"/>
          <w:sz w:val="16"/>
          <w:szCs w:val="16"/>
          <w:color w:val="auto"/>
        </w:rPr>
        <w:t>.</w:t>
      </w:r>
    </w:p>
    <w:p>
      <w:pPr>
        <w:spacing w:after="0" w:line="144" w:lineRule="exact"/>
        <w:rPr>
          <w:sz w:val="20"/>
          <w:szCs w:val="20"/>
          <w:color w:val="auto"/>
        </w:rPr>
      </w:pPr>
    </w:p>
    <w:p>
      <w:pPr>
        <w:jc w:val="both"/>
        <w:ind w:firstLine="464"/>
        <w:spacing w:after="0" w:line="254"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Comply, and cause each Subsidiary to comply, with all applicable Laws (including Environmental Laws and ERISA), rules, regulations, decrees, orders, judgments, licenses and permits, except to the extent the failure to comply therewith, either individually or in the aggregate with all other such failures, could not reasonably be expected to have a Material Adverse Effect; and (b) pay, and cause each Subsidiary to pay, prior to delinquency, all federal taxes and all other material taxes and governmental charges against it or any of its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or any Subsidiary to pay any such tax or charge so long as it shall contest the validity thereof in good faith by appropriate action and shall set aside on its books adequate reserves with respect thereto.</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5"/>
          <w:szCs w:val="15"/>
          <w:u w:val="single" w:color="auto"/>
          <w:color w:val="auto"/>
        </w:rPr>
        <w:t>Maintenance of Existence, etc.</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Maintain and preserve, and (subject to </w:t>
      </w:r>
      <w:r>
        <w:rPr>
          <w:rFonts w:ascii="Arial" w:cs="Arial" w:eastAsia="Arial" w:hAnsi="Arial"/>
          <w:sz w:val="16"/>
          <w:szCs w:val="16"/>
          <w:u w:val="single" w:color="auto"/>
          <w:color w:val="auto"/>
        </w:rPr>
        <w:t>Section 7.09</w:t>
      </w:r>
      <w:r>
        <w:rPr>
          <w:rFonts w:ascii="Arial" w:cs="Arial" w:eastAsia="Arial" w:hAnsi="Arial"/>
          <w:sz w:val="16"/>
          <w:szCs w:val="16"/>
          <w:color w:val="auto"/>
        </w:rPr>
        <w:t>) cause each Significant Subsidiary and each Domestic Subsidiary (other than Excluded Subsidiaries) to maintain and preserve, (a) its existence and good standing (or equivalent status) in the jurisdiction of its formation and (b) its qualification and good standing (or equivalent status) as a foreign entity in each jurisdiction where the nature of its business makes such qualification necessary (except in those instances in which the failure to be qualified or in good standing (or equivalent status) could not reasonably be expected to have a Material Adverse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80" w:name="page81"/>
    <w:bookmarkEnd w:id="8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7.06</w:t>
      </w:r>
      <w:r>
        <w:rPr>
          <w:sz w:val="20"/>
          <w:szCs w:val="20"/>
          <w:color w:val="auto"/>
        </w:rPr>
        <w:tab/>
      </w:r>
      <w:r>
        <w:rPr>
          <w:rFonts w:ascii="Arial" w:cs="Arial" w:eastAsia="Arial" w:hAnsi="Arial"/>
          <w:sz w:val="15"/>
          <w:szCs w:val="15"/>
          <w:u w:val="single" w:color="auto"/>
          <w:color w:val="auto"/>
        </w:rPr>
        <w:t>Financial Covenants</w:t>
      </w:r>
      <w:r>
        <w:rPr>
          <w:rFonts w:ascii="Arial" w:cs="Arial" w:eastAsia="Arial" w:hAnsi="Arial"/>
          <w:sz w:val="15"/>
          <w:szCs w:val="15"/>
          <w:color w:val="auto"/>
        </w:rPr>
        <w:t>.</w:t>
      </w:r>
    </w:p>
    <w:p>
      <w:pPr>
        <w:spacing w:after="0" w:line="144" w:lineRule="exact"/>
        <w:rPr>
          <w:sz w:val="20"/>
          <w:szCs w:val="20"/>
          <w:color w:val="auto"/>
        </w:rPr>
      </w:pPr>
    </w:p>
    <w:p>
      <w:pPr>
        <w:jc w:val="both"/>
        <w:ind w:left="460" w:firstLine="443"/>
        <w:spacing w:after="0" w:line="287" w:lineRule="auto"/>
        <w:tabs>
          <w:tab w:leader="none" w:pos="1137"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xml:space="preserve">. Not permit the Consolidated Leverage Ratio as of the last day of any Computation Period to exceed 3.25 to 1.0;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connection with any individual Permitted Acquisition (or any series of Permitted Acquisitions occurring in any four Fiscal Quarter period) for which the aggregate purchase consideration equals or exceeds $200,000,000, the maximum Consolidated Leverage Ratio, with prior notice to the Administrative Agent, shall increase to 3.50 to 1.0 for the three consecutive Fiscal Quarter period beginning with, if an individual Permitted Acquisition, the quarter in which such Permitted Acquisition occurs, or, if a series of Permitted Acquisitions, the quarter in which the last Permitted Acquisition occurs, so long as (i) the Company is in compliance on a pro forma basis with this </w:t>
      </w:r>
      <w:r>
        <w:rPr>
          <w:rFonts w:ascii="Arial" w:cs="Arial" w:eastAsia="Arial" w:hAnsi="Arial"/>
          <w:sz w:val="16"/>
          <w:szCs w:val="16"/>
          <w:u w:val="single" w:color="auto"/>
          <w:color w:val="auto"/>
        </w:rPr>
        <w:t>Section 7.06(a)</w:t>
      </w:r>
      <w:r>
        <w:rPr>
          <w:rFonts w:ascii="Arial" w:cs="Arial" w:eastAsia="Arial" w:hAnsi="Arial"/>
          <w:sz w:val="16"/>
          <w:szCs w:val="16"/>
          <w:color w:val="auto"/>
        </w:rPr>
        <w:t xml:space="preserve"> at such 3.50 to 1.0 level after giving effect to such Permitted Acquisition and (ii) after any such Permitted Acquisition that results in an increase to the 3.50 to 1.0 level, the Consolidated Leverage Ratio permitted under this </w:t>
      </w:r>
      <w:r>
        <w:rPr>
          <w:rFonts w:ascii="Arial" w:cs="Arial" w:eastAsia="Arial" w:hAnsi="Arial"/>
          <w:sz w:val="16"/>
          <w:szCs w:val="16"/>
          <w:u w:val="single" w:color="auto"/>
          <w:color w:val="auto"/>
        </w:rPr>
        <w:t>Section 7.06(a)</w:t>
      </w:r>
      <w:r>
        <w:rPr>
          <w:rFonts w:ascii="Arial" w:cs="Arial" w:eastAsia="Arial" w:hAnsi="Arial"/>
          <w:sz w:val="16"/>
          <w:szCs w:val="16"/>
          <w:color w:val="auto"/>
        </w:rPr>
        <w:t xml:space="preserve"> shall decrease to 3.25 to 1.0 for at least one Fiscal Quarter before becoming eligible to again increase to 3.50 to 1.0 for a new period of three consecutive Fiscal Quarters (with the understanding that any Permitted Acquisition occurring during such Fiscal Quarter would be required to comply with the 3.25 to 1.0 ratio).</w:t>
      </w:r>
    </w:p>
    <w:p>
      <w:pPr>
        <w:spacing w:after="0" w:line="9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Not permit the Consolidated Interest Coverage Ratio as of the last day of any Computation Period to be less than 3.00 to 1.0.</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6"/>
          <w:szCs w:val="16"/>
          <w:u w:val="single" w:color="auto"/>
          <w:color w:val="auto"/>
        </w:rPr>
        <w:t>Limitations on Debt</w:t>
      </w:r>
      <w:r>
        <w:rPr>
          <w:rFonts w:ascii="Arial" w:cs="Arial" w:eastAsia="Arial" w:hAnsi="Arial"/>
          <w:sz w:val="16"/>
          <w:szCs w:val="16"/>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and not permit any Significant Subsidiary, any Securitization Subsidiary or any Domestic Subsidiary (other than an Excluded Subsidiary that is not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Subsidiary) to, create, incur, assume or suffer to exist any Debt, except:</w:t>
      </w:r>
    </w:p>
    <w:p>
      <w:pPr>
        <w:spacing w:after="0" w:line="138" w:lineRule="exact"/>
        <w:rPr>
          <w:sz w:val="20"/>
          <w:szCs w:val="20"/>
          <w:color w:val="auto"/>
        </w:rPr>
      </w:pPr>
    </w:p>
    <w:p>
      <w:pPr>
        <w:ind w:left="1140" w:hanging="237"/>
        <w:spacing w:after="0"/>
        <w:tabs>
          <w:tab w:leader="none" w:pos="11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Debt arising under the Loan Documents;</w:t>
      </w:r>
    </w:p>
    <w:p>
      <w:pPr>
        <w:spacing w:after="0" w:line="144" w:lineRule="exact"/>
        <w:rPr>
          <w:rFonts w:ascii="Arial" w:cs="Arial" w:eastAsia="Arial" w:hAnsi="Arial"/>
          <w:sz w:val="18"/>
          <w:szCs w:val="18"/>
          <w:color w:val="auto"/>
        </w:rPr>
      </w:pPr>
    </w:p>
    <w:p>
      <w:pPr>
        <w:jc w:val="both"/>
        <w:ind w:left="460" w:firstLine="443"/>
        <w:spacing w:after="0" w:line="283" w:lineRule="auto"/>
        <w:tabs>
          <w:tab w:leader="none" w:pos="1149"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Debt incurred to finance the acquisition, construction or improvement of any fixed or capital asset (including (i) obligations under Capital Leases and (ii) Debt assumed in connection with the acquisition of any such asset or secured by a Lien on such asset prior to the acquisition thereof (and not incurred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such Debt is incurred prior to or substantially concurrently with such acquisition or not later than 45 days following the completion of such construction or improvement, as the case may be, (y) such Debt does not exceed the cost of such asset as of the date of such acquisition or completion of construction thereof or of such improvement on the date of completion thereof, as the case may be, and</w:t>
      </w:r>
    </w:p>
    <w:p>
      <w:pPr>
        <w:spacing w:after="0" w:line="2" w:lineRule="exact"/>
        <w:rPr>
          <w:rFonts w:ascii="Arial" w:cs="Arial" w:eastAsia="Arial" w:hAnsi="Arial"/>
          <w:sz w:val="16"/>
          <w:szCs w:val="16"/>
          <w:color w:val="auto"/>
        </w:rPr>
      </w:pPr>
    </w:p>
    <w:p>
      <w:pPr>
        <w:jc w:val="both"/>
        <w:ind w:left="460" w:firstLine="4"/>
        <w:spacing w:after="0" w:line="255" w:lineRule="auto"/>
        <w:tabs>
          <w:tab w:leader="none" w:pos="699"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aggregate outstanding principal amount of all Debt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does not at the time of incurrence of any such Debt exceed the greater of (A) $50,000,000 and (B) 5% of the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Debt secured by Liens permitted by </w:t>
      </w:r>
      <w:r>
        <w:rPr>
          <w:rFonts w:ascii="Arial" w:cs="Arial" w:eastAsia="Arial" w:hAnsi="Arial"/>
          <w:sz w:val="18"/>
          <w:szCs w:val="18"/>
          <w:u w:val="single" w:color="auto"/>
          <w:color w:val="auto"/>
        </w:rPr>
        <w:t>Section 7.08(c)</w:t>
      </w:r>
      <w:r>
        <w:rPr>
          <w:rFonts w:ascii="Arial" w:cs="Arial" w:eastAsia="Arial" w:hAnsi="Arial"/>
          <w:sz w:val="18"/>
          <w:szCs w:val="18"/>
          <w:color w:val="auto"/>
        </w:rPr>
        <w:t xml:space="preserve">, </w:t>
      </w:r>
      <w:r>
        <w:rPr>
          <w:rFonts w:ascii="Arial" w:cs="Arial" w:eastAsia="Arial" w:hAnsi="Arial"/>
          <w:sz w:val="18"/>
          <w:szCs w:val="18"/>
          <w:u w:val="single" w:color="auto"/>
          <w:color w:val="auto"/>
        </w:rPr>
        <w:t>7.08(f)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7.08(m)</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Debt (or any undrawn commitment therefor) existing on the Closing Date and listed in </w:t>
      </w:r>
      <w:r>
        <w:rPr>
          <w:rFonts w:ascii="Arial" w:cs="Arial" w:eastAsia="Arial" w:hAnsi="Arial"/>
          <w:sz w:val="18"/>
          <w:szCs w:val="18"/>
          <w:u w:val="single" w:color="auto"/>
          <w:color w:val="auto"/>
        </w:rPr>
        <w:t>Schedule 7.07</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81" w:name="page82"/>
    <w:bookmarkEnd w:id="81"/>
    <w:p>
      <w:pPr>
        <w:jc w:val="both"/>
        <w:ind w:firstLine="443"/>
        <w:spacing w:after="0" w:line="256" w:lineRule="auto"/>
        <w:tabs>
          <w:tab w:leader="none" w:pos="716"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refinancings, extensions or renewals of any of the foregoing Debt to the extent the principal amount thereof is not increased (including extensions, renewals or replacements of guarantees in respect of such Debt as so refinanced, extended or renewed) and so long as the material terms applicable to such refinanced Debt are no less favorable to the Company or the applicable Significant Subsidiary, taken as a whole, than the material terms in effect immediately prior to such refinancing;</w:t>
      </w:r>
    </w:p>
    <w:p>
      <w:pPr>
        <w:spacing w:after="0" w:line="116" w:lineRule="exact"/>
        <w:rPr>
          <w:rFonts w:ascii="Arial" w:cs="Arial" w:eastAsia="Arial" w:hAnsi="Arial"/>
          <w:sz w:val="18"/>
          <w:szCs w:val="18"/>
          <w:color w:val="auto"/>
        </w:rPr>
      </w:pPr>
    </w:p>
    <w:p>
      <w:pPr>
        <w:ind w:left="660" w:hanging="217"/>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44" w:lineRule="exact"/>
        <w:rPr>
          <w:rFonts w:ascii="Arial" w:cs="Arial" w:eastAsia="Arial" w:hAnsi="Arial"/>
          <w:sz w:val="18"/>
          <w:szCs w:val="18"/>
          <w:color w:val="auto"/>
        </w:rPr>
      </w:pPr>
    </w:p>
    <w:p>
      <w:pPr>
        <w:jc w:val="both"/>
        <w:ind w:firstLine="443"/>
        <w:spacing w:after="0" w:line="259" w:lineRule="auto"/>
        <w:tabs>
          <w:tab w:leader="none" w:pos="6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Hedging Obligations incurred in the ordinary course of business for bona fide hedging purposes and not for speculation and Debt in respect of overdraft facilities, employee credit card programs, netting services, automatic clearing house arrangements and other cash management and similar arrangements, in each case in the ordinary course of business;</w:t>
      </w:r>
    </w:p>
    <w:p>
      <w:pPr>
        <w:spacing w:after="0" w:line="113" w:lineRule="exact"/>
        <w:rPr>
          <w:rFonts w:ascii="Arial" w:cs="Arial" w:eastAsia="Arial" w:hAnsi="Arial"/>
          <w:sz w:val="18"/>
          <w:szCs w:val="18"/>
          <w:color w:val="auto"/>
        </w:rPr>
      </w:pPr>
    </w:p>
    <w:p>
      <w:pPr>
        <w:ind w:left="700" w:hanging="257"/>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Debt of a Person acquired in connection with a Permitted Acquisition that was not incurred in contemplation thereof;</w:t>
      </w:r>
    </w:p>
    <w:p>
      <w:pPr>
        <w:spacing w:after="0" w:line="144" w:lineRule="exact"/>
        <w:rPr>
          <w:rFonts w:ascii="Arial" w:cs="Arial" w:eastAsia="Arial" w:hAnsi="Arial"/>
          <w:sz w:val="18"/>
          <w:szCs w:val="18"/>
          <w:color w:val="auto"/>
        </w:rPr>
      </w:pPr>
    </w:p>
    <w:p>
      <w:pPr>
        <w:ind w:left="660" w:hanging="217"/>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Debt of the Company or a Significant Subsidiary as an account party in respect of trade and standby letters of credit;</w:t>
      </w:r>
    </w:p>
    <w:p>
      <w:pPr>
        <w:spacing w:after="0" w:line="144" w:lineRule="exact"/>
        <w:rPr>
          <w:rFonts w:ascii="Arial" w:cs="Arial" w:eastAsia="Arial" w:hAnsi="Arial"/>
          <w:sz w:val="18"/>
          <w:szCs w:val="18"/>
          <w:color w:val="auto"/>
        </w:rPr>
      </w:pPr>
    </w:p>
    <w:p>
      <w:pPr>
        <w:ind w:left="660" w:hanging="217"/>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Debt arising under surety, custom and similar bonds in the ordinary course of business consistent with past practice;</w:t>
      </w:r>
    </w:p>
    <w:p>
      <w:pPr>
        <w:spacing w:after="0" w:line="144" w:lineRule="exact"/>
        <w:rPr>
          <w:rFonts w:ascii="Arial" w:cs="Arial" w:eastAsia="Arial" w:hAnsi="Arial"/>
          <w:sz w:val="18"/>
          <w:szCs w:val="18"/>
          <w:color w:val="auto"/>
        </w:rPr>
      </w:pPr>
    </w:p>
    <w:p>
      <w:pPr>
        <w:jc w:val="both"/>
        <w:ind w:firstLine="443"/>
        <w:spacing w:after="0" w:line="323" w:lineRule="auto"/>
        <w:tabs>
          <w:tab w:leader="none" w:pos="691" w:val="left"/>
        </w:tabs>
        <w:numPr>
          <w:ilvl w:val="0"/>
          <w:numId w:val="98"/>
        </w:numPr>
        <w:rPr>
          <w:rFonts w:ascii="Arial" w:cs="Arial" w:eastAsia="Arial" w:hAnsi="Arial"/>
          <w:sz w:val="15"/>
          <w:szCs w:val="15"/>
          <w:color w:val="auto"/>
        </w:rPr>
      </w:pPr>
      <w:r>
        <w:rPr>
          <w:rFonts w:ascii="Arial" w:cs="Arial" w:eastAsia="Arial" w:hAnsi="Arial"/>
          <w:sz w:val="15"/>
          <w:szCs w:val="15"/>
          <w:color w:val="auto"/>
        </w:rPr>
        <w:t xml:space="preserve">Securitization Obligations in an aggregate outstanding amount not exceeding at the time of incurrence of any such Securitization Obligations the greater of (i) $100,000,000 and (ii) 10% of the consolidated tangible assets of the Company and its Subsidiaries as of the last day of the Fiscal Quarter most recently ended for which financial statements have been delivered pursuant to </w:t>
      </w:r>
      <w:r>
        <w:rPr>
          <w:rFonts w:ascii="Arial" w:cs="Arial" w:eastAsia="Arial" w:hAnsi="Arial"/>
          <w:sz w:val="15"/>
          <w:szCs w:val="15"/>
          <w:u w:val="single" w:color="auto"/>
          <w:color w:val="auto"/>
        </w:rPr>
        <w:t>Section 7.01(a)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7.01(b)</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that the aggregate outstanding amount of all Securitization Obligations of the Domestic Borrowers and the Domestic Subsidiaries of the Company shall not exceed $35,000,000 at any time.</w:t>
      </w:r>
    </w:p>
    <w:p>
      <w:pPr>
        <w:spacing w:after="0" w:line="70" w:lineRule="exact"/>
        <w:rPr>
          <w:rFonts w:ascii="Arial" w:cs="Arial" w:eastAsia="Arial" w:hAnsi="Arial"/>
          <w:sz w:val="15"/>
          <w:szCs w:val="15"/>
          <w:color w:val="auto"/>
        </w:rPr>
      </w:pPr>
    </w:p>
    <w:p>
      <w:pPr>
        <w:ind w:left="660" w:hanging="217"/>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Debt under the Existing Credit Agreement, so long such Debt is repaid concurrently with the making of the initial Credit Extensions hereunder;</w:t>
      </w:r>
    </w:p>
    <w:p>
      <w:pPr>
        <w:spacing w:after="0" w:line="167" w:lineRule="exact"/>
        <w:rPr>
          <w:rFonts w:ascii="Arial" w:cs="Arial" w:eastAsia="Arial" w:hAnsi="Arial"/>
          <w:sz w:val="16"/>
          <w:szCs w:val="16"/>
          <w:color w:val="auto"/>
        </w:rPr>
      </w:pPr>
    </w:p>
    <w:p>
      <w:pPr>
        <w:ind w:firstLine="443"/>
        <w:spacing w:after="0" w:line="268" w:lineRule="auto"/>
        <w:tabs>
          <w:tab w:leader="none" w:pos="76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Debt arising under any Note Purchase Agreement or any Senior Note (and renewals, refinancings and extensions thereof) and, subject to </w:t>
      </w:r>
      <w:r>
        <w:rPr>
          <w:rFonts w:ascii="Arial" w:cs="Arial" w:eastAsia="Arial" w:hAnsi="Arial"/>
          <w:sz w:val="18"/>
          <w:szCs w:val="18"/>
          <w:u w:val="single" w:color="auto"/>
          <w:color w:val="auto"/>
        </w:rPr>
        <w:t>Section 7.16</w:t>
      </w:r>
      <w:r>
        <w:rPr>
          <w:rFonts w:ascii="Arial" w:cs="Arial" w:eastAsia="Arial" w:hAnsi="Arial"/>
          <w:sz w:val="18"/>
          <w:szCs w:val="18"/>
          <w:color w:val="auto"/>
        </w:rPr>
        <w:t>, any guarantee of the foregoing;</w:t>
      </w:r>
    </w:p>
    <w:p>
      <w:pPr>
        <w:spacing w:after="0" w:line="104" w:lineRule="exact"/>
        <w:rPr>
          <w:rFonts w:ascii="Arial" w:cs="Arial" w:eastAsia="Arial" w:hAnsi="Arial"/>
          <w:sz w:val="18"/>
          <w:szCs w:val="18"/>
          <w:color w:val="auto"/>
        </w:rPr>
      </w:pPr>
    </w:p>
    <w:p>
      <w:pPr>
        <w:ind w:firstLine="443"/>
        <w:spacing w:after="0" w:line="268" w:lineRule="auto"/>
        <w:tabs>
          <w:tab w:leader="none" w:pos="716"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Suretyship Liabilities of the Company with respect to Debt permitted hereunder (but subject to any limitations otherwise applicable to the Company to incur such Debt directly);</w:t>
      </w:r>
    </w:p>
    <w:p>
      <w:pPr>
        <w:spacing w:after="0" w:line="104" w:lineRule="exact"/>
        <w:rPr>
          <w:rFonts w:ascii="Arial" w:cs="Arial" w:eastAsia="Arial" w:hAnsi="Arial"/>
          <w:sz w:val="18"/>
          <w:szCs w:val="18"/>
          <w:color w:val="auto"/>
        </w:rPr>
      </w:pPr>
    </w:p>
    <w:p>
      <w:pPr>
        <w:ind w:left="700" w:hanging="257"/>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other unsecured Debt and, subject to </w:t>
      </w:r>
      <w:r>
        <w:rPr>
          <w:rFonts w:ascii="Arial" w:cs="Arial" w:eastAsia="Arial" w:hAnsi="Arial"/>
          <w:sz w:val="18"/>
          <w:szCs w:val="18"/>
          <w:u w:val="single" w:color="auto"/>
          <w:color w:val="auto"/>
        </w:rPr>
        <w:t>Section 7.16</w:t>
      </w:r>
      <w:r>
        <w:rPr>
          <w:rFonts w:ascii="Arial" w:cs="Arial" w:eastAsia="Arial" w:hAnsi="Arial"/>
          <w:sz w:val="18"/>
          <w:szCs w:val="18"/>
          <w:color w:val="auto"/>
        </w:rPr>
        <w:t>, any guaranty thereof; and</w:t>
      </w:r>
    </w:p>
    <w:p>
      <w:pPr>
        <w:spacing w:after="0" w:line="144" w:lineRule="exact"/>
        <w:rPr>
          <w:rFonts w:ascii="Arial" w:cs="Arial" w:eastAsia="Arial" w:hAnsi="Arial"/>
          <w:sz w:val="18"/>
          <w:szCs w:val="18"/>
          <w:color w:val="auto"/>
        </w:rPr>
      </w:pPr>
    </w:p>
    <w:p>
      <w:pPr>
        <w:ind w:left="700" w:hanging="257"/>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to the extent constituting Debt, Investments permitted under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of Debt described in </w:t>
      </w:r>
      <w:r>
        <w:rPr>
          <w:rFonts w:ascii="Arial" w:cs="Arial" w:eastAsia="Arial" w:hAnsi="Arial"/>
          <w:sz w:val="18"/>
          <w:szCs w:val="18"/>
          <w:u w:val="single" w:color="auto"/>
          <w:color w:val="auto"/>
        </w:rPr>
        <w:t>clause (m)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(o)</w:t>
      </w:r>
      <w:r>
        <w:rPr>
          <w:rFonts w:ascii="Arial" w:cs="Arial" w:eastAsia="Arial" w:hAnsi="Arial"/>
          <w:sz w:val="18"/>
          <w:szCs w:val="18"/>
          <w:color w:val="auto"/>
        </w:rPr>
        <w:t xml:space="preserve"> after the Closing Date, (i) the Company is in pro forma compliance with the covenants set forth in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and (ii) no Default shall exist or result from the incurrence of such Debt.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700" w:top="280" w:right="239" w:bottom="1440" w:gutter="0" w:footer="0" w:header="0"/>
        </w:sectPr>
      </w:pPr>
    </w:p>
    <w:bookmarkStart w:id="82" w:name="page83"/>
    <w:bookmarkEnd w:id="8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7.08</w:t>
      </w:r>
      <w:r>
        <w:rPr>
          <w:sz w:val="20"/>
          <w:szCs w:val="20"/>
          <w:color w:val="auto"/>
        </w:rPr>
        <w:tab/>
      </w:r>
      <w:r>
        <w:rPr>
          <w:rFonts w:ascii="Arial" w:cs="Arial" w:eastAsia="Arial" w:hAnsi="Arial"/>
          <w:sz w:val="15"/>
          <w:szCs w:val="15"/>
          <w:u w:val="single" w:color="auto"/>
          <w:color w:val="auto"/>
        </w:rPr>
        <w:t>Liens</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 and not permit any Significant Subsidiary, any Securitization Subsidiary or any Domestic Subsidiary (other than an Excluded Subsidiary that is not a Securitization Subsidiary) to, create or permit to exist any Lien on any of its real or personal properties, assets or rights of whatsoever nature (whether now owned or hereafter acquired), except:</w:t>
      </w:r>
    </w:p>
    <w:p>
      <w:pPr>
        <w:spacing w:after="0" w:line="113" w:lineRule="exact"/>
        <w:rPr>
          <w:sz w:val="20"/>
          <w:szCs w:val="20"/>
          <w:color w:val="auto"/>
        </w:rPr>
      </w:pPr>
    </w:p>
    <w:p>
      <w:pPr>
        <w:jc w:val="both"/>
        <w:ind w:left="460" w:firstLine="443"/>
        <w:spacing w:after="0" w:line="259" w:lineRule="auto"/>
        <w:tabs>
          <w:tab w:leader="none" w:pos="11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Liens for taxes or other governmental charges not at the time delinquent for more than 90 days or thereafter payable without penalty or being contested in good faith by appropriate action and, in each case, for which it maintains adequate reserves,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lien has been filed or recorded under the Internal Revenue Code;</w:t>
      </w:r>
    </w:p>
    <w:p>
      <w:pPr>
        <w:spacing w:after="0" w:line="113" w:lineRule="exact"/>
        <w:rPr>
          <w:rFonts w:ascii="Arial" w:cs="Arial" w:eastAsia="Arial" w:hAnsi="Arial"/>
          <w:sz w:val="18"/>
          <w:szCs w:val="18"/>
          <w:color w:val="auto"/>
        </w:rPr>
      </w:pPr>
    </w:p>
    <w:p>
      <w:pPr>
        <w:jc w:val="both"/>
        <w:ind w:left="460" w:firstLine="443"/>
        <w:spacing w:after="0" w:line="294" w:lineRule="auto"/>
        <w:tabs>
          <w:tab w:leader="none" w:pos="1150" w:val="left"/>
        </w:tabs>
        <w:numPr>
          <w:ilvl w:val="0"/>
          <w:numId w:val="99"/>
        </w:numPr>
        <w:rPr>
          <w:rFonts w:ascii="Arial" w:cs="Arial" w:eastAsia="Arial" w:hAnsi="Arial"/>
          <w:sz w:val="16"/>
          <w:szCs w:val="16"/>
          <w:color w:val="auto"/>
        </w:rPr>
      </w:pPr>
      <w:r>
        <w:rPr>
          <w:rFonts w:ascii="Arial" w:cs="Arial" w:eastAsia="Arial" w:hAnsi="Arial"/>
          <w:sz w:val="16"/>
          <w:szCs w:val="16"/>
          <w:color w:val="auto"/>
        </w:rPr>
        <w:t>Liens arising in the ordinary course of business (such as (i) Liens of carriers, warehousemen, mechanics and materialmen and other similar Liens imposed by Law, (ii) Liens incurred in connection with worker’s compensation, unemployment compensation and other types of social security (excluding Liens arising under ERISA) or in connection with surety bonds, bids, performance bonds and similar obligations and (iii) Liens deemed to exist in connection with investments in repurchase agreements not prohibited by this Agreement) for sums not overdue or being contested in good faith by appropriate action and not involving borrowed money, and, in each case, for which it maintains adequate reserves;</w:t>
      </w:r>
    </w:p>
    <w:p>
      <w:pPr>
        <w:spacing w:after="0" w:line="88" w:lineRule="exact"/>
        <w:rPr>
          <w:rFonts w:ascii="Arial" w:cs="Arial" w:eastAsia="Arial" w:hAnsi="Arial"/>
          <w:sz w:val="16"/>
          <w:szCs w:val="16"/>
          <w:color w:val="auto"/>
        </w:rPr>
      </w:pPr>
    </w:p>
    <w:p>
      <w:pPr>
        <w:ind w:left="460" w:firstLine="443"/>
        <w:spacing w:after="0" w:line="332" w:lineRule="auto"/>
        <w:tabs>
          <w:tab w:leader="none" w:pos="1144"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Liens identified in </w:t>
      </w:r>
      <w:r>
        <w:rPr>
          <w:rFonts w:ascii="Arial" w:cs="Arial" w:eastAsia="Arial" w:hAnsi="Arial"/>
          <w:sz w:val="16"/>
          <w:szCs w:val="16"/>
          <w:u w:val="single" w:color="auto"/>
          <w:color w:val="auto"/>
        </w:rPr>
        <w:t>Schedule 7.08</w:t>
      </w:r>
      <w:r>
        <w:rPr>
          <w:rFonts w:ascii="Arial" w:cs="Arial" w:eastAsia="Arial" w:hAnsi="Arial"/>
          <w:sz w:val="16"/>
          <w:szCs w:val="16"/>
          <w:color w:val="auto"/>
        </w:rPr>
        <w:t xml:space="preserve"> and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58" w:lineRule="exact"/>
        <w:rPr>
          <w:rFonts w:ascii="Arial" w:cs="Arial" w:eastAsia="Arial" w:hAnsi="Arial"/>
          <w:sz w:val="16"/>
          <w:szCs w:val="16"/>
          <w:color w:val="auto"/>
        </w:rPr>
      </w:pPr>
    </w:p>
    <w:p>
      <w:pPr>
        <w:jc w:val="both"/>
        <w:ind w:left="460" w:firstLine="443"/>
        <w:spacing w:after="0" w:line="298" w:lineRule="auto"/>
        <w:tabs>
          <w:tab w:leader="none" w:pos="1158"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attachments, appeal bonds, judgments and other similar Liens arising in connection with court proceedings, for an aggregate amount not at any time exceeding the greater of (i) $25,000,000 and (ii) 2.5% of the consolidated tangible assets of the Company and its Subsidiaries as of the last day of the Fiscal Quarter most recently ended for which financial statements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execution or other enforcement of such Liens is effectively stayed and the claims secured thereby are being actively contested in good faith and by appropriate action;</w:t>
      </w:r>
    </w:p>
    <w:p>
      <w:pPr>
        <w:spacing w:after="0" w:line="85" w:lineRule="exact"/>
        <w:rPr>
          <w:rFonts w:ascii="Arial" w:cs="Arial" w:eastAsia="Arial" w:hAnsi="Arial"/>
          <w:sz w:val="16"/>
          <w:szCs w:val="16"/>
          <w:color w:val="auto"/>
        </w:rPr>
      </w:pPr>
    </w:p>
    <w:p>
      <w:pPr>
        <w:jc w:val="both"/>
        <w:ind w:left="460" w:firstLine="443"/>
        <w:spacing w:after="0" w:line="259" w:lineRule="auto"/>
        <w:tabs>
          <w:tab w:leader="none" w:pos="1151"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leases or subleases or licenses or sublicenses granted to others in the ordinary course of business, easements, rights of way, restrictions, minor defects or irregularities in title and other similar Liens not interfering in any material respect with the ordinary conduct of the business of the Company, any Significant Subsidiary or any Domestic Subsidiary (other than Excluded Subsidiaries);</w:t>
      </w:r>
    </w:p>
    <w:p>
      <w:pPr>
        <w:spacing w:after="0" w:line="113" w:lineRule="exact"/>
        <w:rPr>
          <w:rFonts w:ascii="Arial" w:cs="Arial" w:eastAsia="Arial" w:hAnsi="Arial"/>
          <w:sz w:val="18"/>
          <w:szCs w:val="18"/>
          <w:color w:val="auto"/>
        </w:rPr>
      </w:pPr>
    </w:p>
    <w:p>
      <w:pPr>
        <w:jc w:val="both"/>
        <w:ind w:left="460" w:firstLine="443"/>
        <w:spacing w:after="0" w:line="294" w:lineRule="auto"/>
        <w:tabs>
          <w:tab w:leader="none" w:pos="1148"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Liens on property of a Person immediately prior to its being consolidated with or merged into the Company or a Subsidiary or otherwise becoming a Subsidiary and Liens on assets existing at the time of acquisition (by merger or otherwise) of such property by the Company or a Subsidiary, in each case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do not extend to or cover additional types of assets, and, in each case,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88" w:lineRule="exact"/>
        <w:rPr>
          <w:rFonts w:ascii="Arial" w:cs="Arial" w:eastAsia="Arial" w:hAnsi="Arial"/>
          <w:sz w:val="16"/>
          <w:szCs w:val="16"/>
          <w:color w:val="auto"/>
        </w:rPr>
      </w:pPr>
    </w:p>
    <w:p>
      <w:pPr>
        <w:jc w:val="both"/>
        <w:ind w:left="460" w:firstLine="443"/>
        <w:spacing w:after="0" w:line="294" w:lineRule="auto"/>
        <w:tabs>
          <w:tab w:leader="none" w:pos="115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Liens securing Debt permitted by </w:t>
      </w:r>
      <w:r>
        <w:rPr>
          <w:rFonts w:ascii="Arial" w:cs="Arial" w:eastAsia="Arial" w:hAnsi="Arial"/>
          <w:sz w:val="16"/>
          <w:szCs w:val="16"/>
          <w:u w:val="single" w:color="auto"/>
          <w:color w:val="auto"/>
        </w:rPr>
        <w:t>Section 7.07(b)</w:t>
      </w:r>
      <w:r>
        <w:rPr>
          <w:rFonts w:ascii="Arial" w:cs="Arial" w:eastAsia="Arial" w:hAnsi="Arial"/>
          <w:sz w:val="16"/>
          <w:szCs w:val="16"/>
          <w:color w:val="auto"/>
        </w:rPr>
        <w:t xml:space="preserve"> (including, without limitation, Liens of sellers of goods arising under Article 2 of the Uniform Commercial Code or similar provisions of applicable Law) or any refinancing, renewal, extension or replacement thereof (to the extent the aggregate principal amount of such Debt is not increased);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 attaches solely to the property so acquired, constructed or improved in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individual financings under </w:t>
      </w:r>
      <w:r>
        <w:rPr>
          <w:rFonts w:ascii="Arial" w:cs="Arial" w:eastAsia="Arial" w:hAnsi="Arial"/>
          <w:sz w:val="16"/>
          <w:szCs w:val="16"/>
          <w:u w:val="single" w:color="auto"/>
          <w:color w:val="auto"/>
        </w:rPr>
        <w:t>Section 7.07(b)</w:t>
      </w:r>
      <w:r>
        <w:rPr>
          <w:rFonts w:ascii="Arial" w:cs="Arial" w:eastAsia="Arial" w:hAnsi="Arial"/>
          <w:sz w:val="16"/>
          <w:szCs w:val="16"/>
          <w:color w:val="auto"/>
        </w:rPr>
        <w:t xml:space="preserve"> provided by one Person (or an Affiliate thereof) may be cross-collateralized to other financings provided by such Person and its Affiliates that are permitted by </w:t>
      </w:r>
      <w:r>
        <w:rPr>
          <w:rFonts w:ascii="Arial" w:cs="Arial" w:eastAsia="Arial" w:hAnsi="Arial"/>
          <w:sz w:val="16"/>
          <w:szCs w:val="16"/>
          <w:u w:val="single" w:color="auto"/>
          <w:color w:val="auto"/>
        </w:rPr>
        <w:t>Section 7.07(b)</w:t>
      </w:r>
      <w:r>
        <w:rPr>
          <w:rFonts w:ascii="Arial" w:cs="Arial" w:eastAsia="Arial" w:hAnsi="Arial"/>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83" w:name="page84"/>
    <w:bookmarkEnd w:id="83"/>
    <w:p>
      <w:pPr>
        <w:jc w:val="both"/>
        <w:ind w:left="460" w:firstLine="443"/>
        <w:spacing w:after="0" w:line="253" w:lineRule="auto"/>
        <w:tabs>
          <w:tab w:leader="none" w:pos="1152" w:val="left"/>
        </w:tabs>
        <w:numPr>
          <w:ilvl w:val="1"/>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arising solely by virtue of any statutory or common law provision relating to banker’s liens, rights of set-off or similar rights and remedies as to deposit accounts or other funds maintained with a creditor depository institution (including, without limitation, Liens of a collecting bank arising under Section 4-210 of the Uniform Commercial Code on items in the course of collection) and/or Liens arising in the ordinary course of business with respect to deposit accounts relating to intercompany cash pooling, interest set-off and/or sweeping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deposit account is not a dedicated cash collateral account and is not subject to restrictions against access by the Company or the applicable Subsidiary in excess of those set forth by regulations promulgated by the FRB and (ii) such deposit account is not intended by the Company or the applicable Subsidiary to provide collateral to such depository institution;</w:t>
      </w:r>
    </w:p>
    <w:p>
      <w:pPr>
        <w:spacing w:after="0" w:line="120" w:lineRule="exact"/>
        <w:rPr>
          <w:rFonts w:ascii="Arial" w:cs="Arial" w:eastAsia="Arial" w:hAnsi="Arial"/>
          <w:sz w:val="18"/>
          <w:szCs w:val="18"/>
          <w:color w:val="auto"/>
        </w:rPr>
      </w:pPr>
    </w:p>
    <w:p>
      <w:pPr>
        <w:ind w:left="1120" w:hanging="217"/>
        <w:spacing w:after="0"/>
        <w:tabs>
          <w:tab w:leader="none" w:pos="11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Liens securing Securitization Obligations;</w:t>
      </w:r>
    </w:p>
    <w:p>
      <w:pPr>
        <w:spacing w:after="0" w:line="144" w:lineRule="exact"/>
        <w:rPr>
          <w:rFonts w:ascii="Arial" w:cs="Arial" w:eastAsia="Arial" w:hAnsi="Arial"/>
          <w:sz w:val="18"/>
          <w:szCs w:val="18"/>
          <w:color w:val="auto"/>
        </w:rPr>
      </w:pPr>
    </w:p>
    <w:p>
      <w:pPr>
        <w:jc w:val="both"/>
        <w:ind w:left="460" w:firstLine="443"/>
        <w:spacing w:after="0" w:line="306" w:lineRule="auto"/>
        <w:tabs>
          <w:tab w:leader="none" w:pos="1116"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(i) Liens arising under any Loan Document, (ii) Liens in favor of any Loan Party, (iii) Liens on the assets of any non-Loan Party in favor of the Company or any of its Subsidiaries, (iv) Liens on the assets of any Foreign Subsidiary in favor of any other Foreign Subsidiary; and (v) Liens on the assets of any Subsidiary that is not a Loan Party in connection with an Investment permitted pursuant </w:t>
      </w:r>
      <w:r>
        <w:rPr>
          <w:rFonts w:ascii="Arial" w:cs="Arial" w:eastAsia="Arial" w:hAnsi="Arial"/>
          <w:sz w:val="16"/>
          <w:szCs w:val="16"/>
          <w:u w:val="single" w:color="auto"/>
          <w:color w:val="auto"/>
        </w:rPr>
        <w:t>Section 7.17(d)</w:t>
      </w:r>
      <w:r>
        <w:rPr>
          <w:rFonts w:ascii="Arial" w:cs="Arial" w:eastAsia="Arial" w:hAnsi="Arial"/>
          <w:sz w:val="16"/>
          <w:szCs w:val="16"/>
          <w:color w:val="auto"/>
        </w:rPr>
        <w:t>; and</w:t>
      </w:r>
    </w:p>
    <w:p>
      <w:pPr>
        <w:spacing w:after="0" w:line="79" w:lineRule="exact"/>
        <w:rPr>
          <w:rFonts w:ascii="Arial" w:cs="Arial" w:eastAsia="Arial" w:hAnsi="Arial"/>
          <w:sz w:val="16"/>
          <w:szCs w:val="16"/>
          <w:color w:val="auto"/>
        </w:rPr>
      </w:pPr>
    </w:p>
    <w:p>
      <w:pPr>
        <w:ind w:left="1160" w:hanging="257"/>
        <w:spacing w:after="0"/>
        <w:tabs>
          <w:tab w:leader="none" w:pos="1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interest of title of a lessor under leases permitted by this Agreement;</w:t>
      </w:r>
    </w:p>
    <w:p>
      <w:pPr>
        <w:spacing w:after="0" w:line="144" w:lineRule="exact"/>
        <w:rPr>
          <w:rFonts w:ascii="Arial" w:cs="Arial" w:eastAsia="Arial" w:hAnsi="Arial"/>
          <w:sz w:val="18"/>
          <w:szCs w:val="18"/>
          <w:color w:val="auto"/>
        </w:rPr>
      </w:pPr>
    </w:p>
    <w:p>
      <w:pPr>
        <w:ind w:left="460" w:firstLine="443"/>
        <w:spacing w:after="0" w:line="268" w:lineRule="auto"/>
        <w:tabs>
          <w:tab w:leader="none" w:pos="111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Liens arising out of conditional sale, consignment or similar arrangements for the sale of goods (including Liens arising under Section 2-507 of the Uniform Commercial Code) entered into by the Company or any Subsidiary in the ordinary course of business;</w:t>
      </w:r>
    </w:p>
    <w:p>
      <w:pPr>
        <w:spacing w:after="0" w:line="104" w:lineRule="exact"/>
        <w:rPr>
          <w:rFonts w:ascii="Arial" w:cs="Arial" w:eastAsia="Arial" w:hAnsi="Arial"/>
          <w:sz w:val="18"/>
          <w:szCs w:val="18"/>
          <w:color w:val="auto"/>
        </w:rPr>
      </w:pPr>
    </w:p>
    <w:p>
      <w:pPr>
        <w:jc w:val="both"/>
        <w:ind w:left="460" w:firstLine="443"/>
        <w:spacing w:after="0" w:line="303" w:lineRule="auto"/>
        <w:tabs>
          <w:tab w:leader="none" w:pos="1216" w:val="left"/>
        </w:tabs>
        <w:numPr>
          <w:ilvl w:val="1"/>
          <w:numId w:val="100"/>
        </w:numPr>
        <w:rPr>
          <w:rFonts w:ascii="Arial" w:cs="Arial" w:eastAsia="Arial" w:hAnsi="Arial"/>
          <w:sz w:val="15"/>
          <w:szCs w:val="15"/>
          <w:color w:val="auto"/>
        </w:rPr>
      </w:pPr>
      <w:r>
        <w:rPr>
          <w:rFonts w:ascii="Arial" w:cs="Arial" w:eastAsia="Arial" w:hAnsi="Arial"/>
          <w:sz w:val="15"/>
          <w:szCs w:val="15"/>
          <w:color w:val="auto"/>
        </w:rPr>
        <w:t xml:space="preserve">any other Lien securing obligations at the time of incurrence of any such obligations in an aggregate outstanding amount not exceeding the greater of (i) $35,000,000 and (ii) 3.5% of the consolidated tangible assets of the Company and its Subsidiaries as of the last day of the Fiscal Quarter most recently ended for which financial statements have been delivered pursuant to </w:t>
      </w:r>
      <w:r>
        <w:rPr>
          <w:rFonts w:ascii="Arial" w:cs="Arial" w:eastAsia="Arial" w:hAnsi="Arial"/>
          <w:sz w:val="15"/>
          <w:szCs w:val="15"/>
          <w:u w:val="single" w:color="auto"/>
          <w:color w:val="auto"/>
        </w:rPr>
        <w:t>Section 7.01(a)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7.01(b)</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Lien permitted under this </w:t>
      </w:r>
      <w:r>
        <w:rPr>
          <w:rFonts w:ascii="Arial" w:cs="Arial" w:eastAsia="Arial" w:hAnsi="Arial"/>
          <w:sz w:val="15"/>
          <w:szCs w:val="15"/>
          <w:u w:val="single" w:color="auto"/>
          <w:color w:val="auto"/>
        </w:rPr>
        <w:t>clause</w:t>
      </w:r>
    </w:p>
    <w:p>
      <w:pPr>
        <w:spacing w:after="0" w:line="1" w:lineRule="exact"/>
        <w:rPr>
          <w:rFonts w:ascii="Arial" w:cs="Arial" w:eastAsia="Arial" w:hAnsi="Arial"/>
          <w:sz w:val="15"/>
          <w:szCs w:val="15"/>
          <w:color w:val="auto"/>
        </w:rPr>
      </w:pPr>
    </w:p>
    <w:p>
      <w:pPr>
        <w:ind w:left="760" w:hanging="296"/>
        <w:spacing w:after="0"/>
        <w:tabs>
          <w:tab w:leader="none" w:pos="760" w:val="left"/>
        </w:tabs>
        <w:numPr>
          <w:ilvl w:val="0"/>
          <w:numId w:val="101"/>
        </w:numPr>
        <w:rPr>
          <w:rFonts w:ascii="Arial" w:cs="Arial" w:eastAsia="Arial" w:hAnsi="Arial"/>
          <w:sz w:val="18"/>
          <w:szCs w:val="18"/>
          <w:u w:val="single" w:color="auto"/>
          <w:color w:val="auto"/>
        </w:rPr>
      </w:pPr>
      <w:r>
        <w:rPr>
          <w:rFonts w:ascii="Arial" w:cs="Arial" w:eastAsia="Arial" w:hAnsi="Arial"/>
          <w:sz w:val="18"/>
          <w:szCs w:val="18"/>
          <w:color w:val="auto"/>
        </w:rPr>
        <w:t>may secure any obligations under any Note Purchase Agreement.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Lien permitted above on any property may extend to the identifiable proceeds of such property.</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7.09</w:t>
      </w:r>
      <w:r>
        <w:rPr>
          <w:sz w:val="20"/>
          <w:szCs w:val="20"/>
          <w:color w:val="auto"/>
        </w:rPr>
        <w:tab/>
      </w:r>
      <w:r>
        <w:rPr>
          <w:rFonts w:ascii="Arial" w:cs="Arial" w:eastAsia="Arial" w:hAnsi="Arial"/>
          <w:sz w:val="15"/>
          <w:szCs w:val="15"/>
          <w:u w:val="single" w:color="auto"/>
          <w:color w:val="auto"/>
        </w:rPr>
        <w:t>Fundamental Changes, Consolidations, Sales</w:t>
      </w:r>
      <w:r>
        <w:rPr>
          <w:rFonts w:ascii="Arial" w:cs="Arial" w:eastAsia="Arial" w:hAnsi="Arial"/>
          <w:sz w:val="15"/>
          <w:szCs w:val="15"/>
          <w:color w:val="auto"/>
        </w:rPr>
        <w:t>.</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 and not permit any Subsidiary (other than an Excluded Subsidiary) to, be a party to any merger or consolidation, or sell, transfer, convey or lease any of its assets, or sell or assign with or without recourse any receivables, except for:</w:t>
      </w:r>
    </w:p>
    <w:p>
      <w:pPr>
        <w:spacing w:after="0" w:line="105" w:lineRule="exact"/>
        <w:rPr>
          <w:sz w:val="20"/>
          <w:szCs w:val="20"/>
          <w:color w:val="auto"/>
        </w:rPr>
      </w:pPr>
    </w:p>
    <w:p>
      <w:pPr>
        <w:jc w:val="both"/>
        <w:ind w:left="460" w:firstLine="443"/>
        <w:spacing w:after="0" w:line="256" w:lineRule="auto"/>
        <w:tabs>
          <w:tab w:leader="none" w:pos="115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such merger or consolidation, sale, transfer, conveyance, lease or assignment (i) of or by any Guarantor into, with or to the Company or another Guarantor, (ii) of or by any wholly-owned Subsidiary into the Company or any other Loan Party or into, with or to any other wholly-owned Subsidiary or (iii) of or by any Foreign Subsidiary into, with or to any other Foreign Subsidiary (provided that if a Borrower is party to such transaction, either such Borrower or another Borrower shall be the survivor);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84" w:name="page85"/>
    <w:bookmarkEnd w:id="84"/>
    <w:p>
      <w:pPr>
        <w:ind w:left="700" w:hanging="257"/>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transactions permitted by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firstLine="443"/>
        <w:spacing w:after="0" w:line="268" w:lineRule="auto"/>
        <w:tabs>
          <w:tab w:leader="none" w:pos="72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dispositions of accounts receivable, lease receivables, other financial assets and other rights and related assets pursuant to a Permitted Securitization or any factoring transaction;</w:t>
      </w:r>
    </w:p>
    <w:p>
      <w:pPr>
        <w:spacing w:after="0" w:line="104" w:lineRule="exact"/>
        <w:rPr>
          <w:rFonts w:ascii="Arial" w:cs="Arial" w:eastAsia="Arial" w:hAnsi="Arial"/>
          <w:sz w:val="18"/>
          <w:szCs w:val="18"/>
          <w:color w:val="auto"/>
        </w:rPr>
      </w:pPr>
    </w:p>
    <w:p>
      <w:pPr>
        <w:jc w:val="both"/>
        <w:ind w:firstLine="443"/>
        <w:spacing w:after="0" w:line="259" w:lineRule="auto"/>
        <w:tabs>
          <w:tab w:leader="none" w:pos="6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dispositions of inventory, worn-out, obsolete or surplus equipment and equipment that is no longer used or useful in the conduct of business of the Company and its Subsidiaries, in each case, in the ordinary course of business and cash, Cash Equivalents and marketable securities in the ordinary course of business;</w:t>
      </w:r>
    </w:p>
    <w:p>
      <w:pPr>
        <w:spacing w:after="0" w:line="113" w:lineRule="exact"/>
        <w:rPr>
          <w:rFonts w:ascii="Arial" w:cs="Arial" w:eastAsia="Arial" w:hAnsi="Arial"/>
          <w:sz w:val="18"/>
          <w:szCs w:val="18"/>
          <w:color w:val="auto"/>
        </w:rPr>
      </w:pPr>
    </w:p>
    <w:p>
      <w:pPr>
        <w:jc w:val="both"/>
        <w:ind w:firstLine="443"/>
        <w:spacing w:after="0" w:line="259" w:lineRule="auto"/>
        <w:tabs>
          <w:tab w:leader="none" w:pos="68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dispositions of accounts receivable with extended terms and dispositions of defaulted accounts receivable without credit recourse in transactions that do not constitute securitizations, in each case in the ordinary course of business consistent with past practice of the Company and/or any of its Subsidiaries;</w:t>
      </w:r>
    </w:p>
    <w:p>
      <w:pPr>
        <w:spacing w:after="0" w:line="113" w:lineRule="exact"/>
        <w:rPr>
          <w:rFonts w:ascii="Arial" w:cs="Arial" w:eastAsia="Arial" w:hAnsi="Arial"/>
          <w:sz w:val="18"/>
          <w:szCs w:val="18"/>
          <w:color w:val="auto"/>
        </w:rPr>
      </w:pPr>
    </w:p>
    <w:p>
      <w:pPr>
        <w:ind w:firstLine="443"/>
        <w:spacing w:after="0" w:line="268" w:lineRule="auto"/>
        <w:tabs>
          <w:tab w:leader="none" w:pos="67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sales and dispositions of assets (including Capital Stock of Subsidiaries) purchased in connection with (and as a direct result of) a Permitted Acquisition;</w:t>
      </w:r>
    </w:p>
    <w:p>
      <w:pPr>
        <w:spacing w:after="0" w:line="104" w:lineRule="exact"/>
        <w:rPr>
          <w:rFonts w:ascii="Arial" w:cs="Arial" w:eastAsia="Arial" w:hAnsi="Arial"/>
          <w:sz w:val="18"/>
          <w:szCs w:val="18"/>
          <w:color w:val="auto"/>
        </w:rPr>
      </w:pPr>
    </w:p>
    <w:p>
      <w:pPr>
        <w:ind w:firstLine="443"/>
        <w:spacing w:after="0" w:line="332" w:lineRule="auto"/>
        <w:tabs>
          <w:tab w:leader="none" w:pos="68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dispositions of property in the ordinary course of business to the extent that (i) such property is exchanged for credit against the purchase price of similar replacement property or (ii) the proceeds of such disposition are promptly applied to the purchase price of such replacement property;</w:t>
      </w:r>
    </w:p>
    <w:p>
      <w:pPr>
        <w:spacing w:after="0" w:line="58" w:lineRule="exact"/>
        <w:rPr>
          <w:rFonts w:ascii="Arial" w:cs="Arial" w:eastAsia="Arial" w:hAnsi="Arial"/>
          <w:sz w:val="16"/>
          <w:szCs w:val="16"/>
          <w:color w:val="auto"/>
        </w:rPr>
      </w:pPr>
    </w:p>
    <w:p>
      <w:pPr>
        <w:jc w:val="both"/>
        <w:ind w:firstLine="443"/>
        <w:spacing w:after="0" w:line="259" w:lineRule="auto"/>
        <w:tabs>
          <w:tab w:leader="none" w:pos="7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dispositions of property to the Company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of such Property is a Loan Party (i) the transferee thereof must be a Loan Party (other than a Foreign Loan Party) or (ii) to the extent such transaction constitutes an Investment, such transaction is permitted under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firstLine="443"/>
        <w:spacing w:after="0" w:line="285" w:lineRule="auto"/>
        <w:tabs>
          <w:tab w:leader="none" w:pos="65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other sales and dispositions of assets (including the Capital Stock of Subsidiaries) made for fair market value so long as (i) no Default exists or would exist immediately after giving effect thereto; and (ii) the Net Cash Proceeds of all such sales and dispositions (excluding Net Cash Proceeds that are applied within 180 days after receipt thereof (or with respect to which the Company has entered into binding commitments within 180 days after receipt thereof to apply such Net Cash Proceeds (but only to the extent such Net Cash Proceeds are applied within 270 days after receipt thereof pursuant to such commitments)) to purchase revenue-producing assets used in the business of the Company and its Subsidiaries or to consummate Permitted Acquisitions) in any Fiscal Year do not exceed the greater of (x) $75,000,000 and (y) 10% of the consolidated tangible assets of the Company and its Subsidiaries as of the last day of the Fiscal Quarter most recently ended for which financial statements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Company’s election in writing to the Administrative Agent, the foregoing dollar limitation shall be increased for one Fiscal Year to the greater of (x) $175,000,000 and (y) 20% of the consolidated tangible assets of the Company and its Subsidiaries as of the last day of the Fiscal Quarter most recently ended for which financial statements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7.01(b)</w:t>
      </w:r>
      <w:r>
        <w:rPr>
          <w:rFonts w:ascii="Arial" w:cs="Arial" w:eastAsia="Arial" w:hAnsi="Arial"/>
          <w:sz w:val="16"/>
          <w:szCs w:val="16"/>
          <w:color w:val="auto"/>
        </w:rPr>
        <w:t xml:space="preserve"> (notwithstanding anything to the contrary contained herein, for purposes of calculating Net Cash Proceeds in the Fiscal Year the Company has elected to increase the foregoing dollar limitation, if any disposition occurring during such Fiscal Year involves the disposition of a Foreign Subsidiary, Net Cash Proceeds from such disposition shall exclude the dollar equivalent of the cash and Cash Equivalents of such Foreign Subsidiary that are sold in connection with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Fiscal Year the Company has elected to increase the foregoing dollar limitation, the dollar</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0"/>
          </w:cols>
          <w:pgMar w:left="700" w:top="280" w:right="239" w:bottom="1440" w:gutter="0" w:footer="0" w:header="0"/>
        </w:sectPr>
      </w:pPr>
    </w:p>
    <w:bookmarkStart w:id="85" w:name="page86"/>
    <w:bookmarkEnd w:id="85"/>
    <w:p>
      <w:pPr>
        <w:jc w:val="both"/>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limitation with respect to all such sales and dispositions of domestic assets (i.e., U.S.) shall remain the greater of (x) $75,000,000 and (y) 10% of the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and</w:t>
      </w:r>
    </w:p>
    <w:p>
      <w:pPr>
        <w:spacing w:after="0" w:line="113" w:lineRule="exact"/>
        <w:rPr>
          <w:sz w:val="20"/>
          <w:szCs w:val="20"/>
          <w:color w:val="auto"/>
        </w:rPr>
      </w:pPr>
    </w:p>
    <w:p>
      <w:pPr>
        <w:jc w:val="both"/>
        <w:ind w:left="460" w:right="20" w:firstLine="443"/>
        <w:spacing w:after="0" w:line="259" w:lineRule="auto"/>
        <w:tabs>
          <w:tab w:leader="none" w:pos="111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 sales and dispositions of assets so long as (i) no Default exists or would exist immediately after giving effect thereto; and (ii) the aggregate net book value of all of the assets sold or otherwise disposed of by the Company and its Subsidiaries in all such sales and dispositions in any Fiscal Year shall not exceed $2,500,000.</w:t>
      </w:r>
    </w:p>
    <w:p>
      <w:pPr>
        <w:spacing w:after="0" w:line="11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 xml:space="preserve">For the avoidance of doubt, the granting of a Lien to secure the repayment of Debt or other obligations shall not, in and of itself, constitute a conveyance or transfer of assets pursuant to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Notwithstanding the foregoing, prior to the disposition (including by way of a merger or consolidation), dissolution, liquidation or winding up of any Subsidiary that is a Designated Borrower, the Company shall terminate such Subsidiary’s status as a Designated Borrower in accordance with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and any Loans or other outstanding Obligations of such Subsidiary shall be assumed by the Company.</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Use the proceeds of the Credit Extensions solely (i) to refinance the Existing Credit Agreement in full, (ii) to finance Permitted Acquisitions and (iii) for capital expenditures, working capital and other general corporate purposes, and not use the proceeds of the Loans, directly or indirectly, to purchase or carry Margin Stock.</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Take, execute and deliver, and cause each applicable Subsidiary to take, execute and deliver, any and all such further acts and agreements as the Administrative Agent or the Required Lenders may reasonably request from time to time in order to ensure that the Obligations are guaranteed pursuant to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by the Company and, to the extent required under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the applicable Subsidiaries; and deliver, or cause the applicable Guarantor to deliver, to the Administrative Agent such documents as the Administrative Agent (or the Required Lenders acting through the Administrative Agent) may reasonably request (including opinions of counsel) to confirm that the Guaranty pursuant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the legal, valid and binding obligation of each Guarantor.</w:t>
      </w:r>
    </w:p>
    <w:p>
      <w:pPr>
        <w:spacing w:after="0" w:line="1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Not, and not permit any other Loan Party to, enter into, or cause, suffer or permit to exist any transaction, arrangement or contract with any of its other Affiliates (other than another Loan Party) which is on terms, taken as a whole, which are less favorable than are obtainable from any Person which is not one of its Affiliates under comparable circumstances,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shall not prohibit:</w:t>
      </w:r>
    </w:p>
    <w:p>
      <w:pPr>
        <w:spacing w:after="0" w:line="113" w:lineRule="exact"/>
        <w:rPr>
          <w:sz w:val="20"/>
          <w:szCs w:val="20"/>
          <w:color w:val="auto"/>
        </w:rPr>
      </w:pPr>
    </w:p>
    <w:p>
      <w:pPr>
        <w:ind w:left="460" w:firstLine="443"/>
        <w:spacing w:after="0" w:line="268" w:lineRule="auto"/>
        <w:tabs>
          <w:tab w:leader="none" w:pos="114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capital contributions and distributions with respect to the Capital Stock of the Company or such Loan Party in the ordinary course of business or any other capital contribution to the Company;</w:t>
      </w:r>
    </w:p>
    <w:p>
      <w:pPr>
        <w:spacing w:after="0" w:line="104" w:lineRule="exact"/>
        <w:rPr>
          <w:rFonts w:ascii="Arial" w:cs="Arial" w:eastAsia="Arial" w:hAnsi="Arial"/>
          <w:sz w:val="18"/>
          <w:szCs w:val="18"/>
          <w:color w:val="auto"/>
        </w:rPr>
      </w:pPr>
    </w:p>
    <w:p>
      <w:pPr>
        <w:ind w:left="460" w:firstLine="443"/>
        <w:spacing w:after="0" w:line="268" w:lineRule="auto"/>
        <w:tabs>
          <w:tab w:leader="none" w:pos="11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employment or severance agreement and any amendment thereto entered into by the Company or any other Loan Party in the ordinary course of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86" w:name="page87"/>
    <w:bookmarkEnd w:id="86"/>
    <w:p>
      <w:pPr>
        <w:ind w:left="1140" w:hanging="237"/>
        <w:spacing w:after="0"/>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payment of reasonable directors’ fees and benefits;</w:t>
      </w:r>
    </w:p>
    <w:p>
      <w:pPr>
        <w:spacing w:after="0" w:line="144"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provision of officers’ and directors’ indemnification and insurance in the ordinary course of business to the extent permitted by applicable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Law;</w:t>
      </w:r>
    </w:p>
    <w:p>
      <w:pPr>
        <w:spacing w:after="0" w:line="138" w:lineRule="exact"/>
        <w:rPr>
          <w:sz w:val="20"/>
          <w:szCs w:val="20"/>
          <w:color w:val="auto"/>
        </w:rPr>
      </w:pPr>
    </w:p>
    <w:p>
      <w:pPr>
        <w:ind w:left="460" w:right="20" w:firstLine="443"/>
        <w:spacing w:after="0" w:line="268" w:lineRule="auto"/>
        <w:tabs>
          <w:tab w:leader="none" w:pos="11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non-interest bearing (or below-market interest-bearing) intercompany loans or other advances in the ordinary course of business and consistent with past practice;</w:t>
      </w:r>
    </w:p>
    <w:p>
      <w:pPr>
        <w:spacing w:after="0" w:line="104" w:lineRule="exact"/>
        <w:rPr>
          <w:rFonts w:ascii="Arial" w:cs="Arial" w:eastAsia="Arial" w:hAnsi="Arial"/>
          <w:sz w:val="18"/>
          <w:szCs w:val="18"/>
          <w:color w:val="auto"/>
        </w:rPr>
      </w:pPr>
    </w:p>
    <w:p>
      <w:pPr>
        <w:ind w:left="1120" w:hanging="217"/>
        <w:spacing w:after="0"/>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payment of employee salaries, bonuses and employee benefits in the ordinary course of business;</w:t>
      </w:r>
    </w:p>
    <w:p>
      <w:pPr>
        <w:spacing w:after="0" w:line="144" w:lineRule="exact"/>
        <w:rPr>
          <w:rFonts w:ascii="Arial" w:cs="Arial" w:eastAsia="Arial" w:hAnsi="Arial"/>
          <w:sz w:val="18"/>
          <w:szCs w:val="18"/>
          <w:color w:val="auto"/>
        </w:rPr>
      </w:pPr>
    </w:p>
    <w:p>
      <w:pPr>
        <w:ind w:left="1160" w:hanging="257"/>
        <w:spacing w:after="0"/>
        <w:tabs>
          <w:tab w:leader="none" w:pos="11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sales or leases of goods to Affiliates in the ordinary course of business for less than fair market value, but for not less than cost; or</w:t>
      </w:r>
    </w:p>
    <w:p>
      <w:pPr>
        <w:spacing w:after="0" w:line="167" w:lineRule="exact"/>
        <w:rPr>
          <w:rFonts w:ascii="Arial" w:cs="Arial" w:eastAsia="Arial" w:hAnsi="Arial"/>
          <w:sz w:val="16"/>
          <w:szCs w:val="16"/>
          <w:color w:val="auto"/>
        </w:rPr>
      </w:pPr>
    </w:p>
    <w:p>
      <w:pPr>
        <w:ind w:left="460" w:right="20" w:firstLine="443"/>
        <w:spacing w:after="0" w:line="268" w:lineRule="auto"/>
        <w:tabs>
          <w:tab w:leader="none" w:pos="11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any transaction permitted under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Party may forgive Debt owing to it by an Affiliate that is not a Loan Party), </w:t>
      </w:r>
      <w:r>
        <w:rPr>
          <w:rFonts w:ascii="Arial" w:cs="Arial" w:eastAsia="Arial" w:hAnsi="Arial"/>
          <w:sz w:val="18"/>
          <w:szCs w:val="18"/>
          <w:u w:val="single" w:color="auto"/>
          <w:color w:val="auto"/>
        </w:rPr>
        <w:t>7.09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7.17</w:t>
      </w:r>
      <w:r>
        <w:rPr>
          <w:rFonts w:ascii="Arial" w:cs="Arial" w:eastAsia="Arial" w:hAnsi="Arial"/>
          <w:sz w:val="18"/>
          <w:szCs w:val="18"/>
          <w:color w:val="auto"/>
        </w:rPr>
        <w:t>.</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5"/>
          <w:szCs w:val="15"/>
          <w:u w:val="single" w:color="auto"/>
          <w:color w:val="auto"/>
        </w:rPr>
        <w:t>Employee Benefit Plans</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Maintain, and cause each Subsidiary to maintain, each Pension Plan in compliance with all applicable requirements of Law and regulations, except to the extent non-compliance could not reasonably be expected to have a Material Adverse Effect.</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Conduct, and cause each Subsidiary to conduct, its operations and keep and maintain its property in compliance with all Environmental Laws, except to the extent non-compliance could not reasonably be expected to have a Material Adverse Effect.</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u w:val="single" w:color="auto"/>
          <w:color w:val="auto"/>
        </w:rPr>
        <w:t>Business Activities</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Not, and not permit any Significant Subsidiary or any Domestic Subsidiary (other than an Excluded Subsidiary) to, engage in any line of business other than the same or similar lines of business engaged in by the Company and its Significant Subsidiaries as of the Closing Date and reasonable extensions thereof.</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5"/>
          <w:szCs w:val="15"/>
          <w:u w:val="single" w:color="auto"/>
          <w:color w:val="auto"/>
        </w:rPr>
        <w:t>Non-Guarantor Domestic Subsidiaries</w:t>
      </w:r>
      <w:r>
        <w:rPr>
          <w:rFonts w:ascii="Arial" w:cs="Arial" w:eastAsia="Arial" w:hAnsi="Arial"/>
          <w:sz w:val="15"/>
          <w:szCs w:val="15"/>
          <w:color w:val="auto"/>
        </w:rPr>
        <w:t>.</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 xml:space="preserve">Not later than the date that is sixty (60) days after the end of each Fiscal Quarter (or such later date as agreed by the Administrative Agent in its sole discretion) during which the Company (directly or indirectly) creates, an existing Subsidiary becomes, or the Company acquires (pursuant to a transaction (or series of related transactions)), a Domestic Subsidiary, take all steps necessary to ensure that Domestic Subsidiaries (other than Excluded Subsidiaries) that, together with the Company, account for (i) not less than 80% of the total assets of the Company and its Subsidiaries (other than Excluded Subsidiaries) as of the date of determination and (ii) not less than 80% of the total revenues of the Company and its Subsidiaries (other than Excluded Subsidiaries) for the 12-month period ending on the last day of the calendar quarter ended immediately prior to the date of determination (in each case excluding assets and revenues of any Subsidiary or business unit that has been divested or liquidated on or prior to any date of determination and after giving effect to the elimination of intercompany items) for which financial statements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7.01(b)</w:t>
      </w:r>
      <w:r>
        <w:rPr>
          <w:rFonts w:ascii="Arial" w:cs="Arial" w:eastAsia="Arial" w:hAnsi="Arial"/>
          <w:sz w:val="16"/>
          <w:szCs w:val="16"/>
          <w:color w:val="auto"/>
        </w:rPr>
        <w:t>, are parties to this Agreement 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87" w:name="page88"/>
    <w:bookmarkEnd w:id="87"/>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Guarantors (the thresholds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together, the “</w:t>
      </w:r>
      <w:r>
        <w:rPr>
          <w:rFonts w:ascii="Arial" w:cs="Arial" w:eastAsia="Arial" w:hAnsi="Arial"/>
          <w:sz w:val="16"/>
          <w:szCs w:val="16"/>
          <w:u w:val="single" w:color="auto"/>
          <w:color w:val="auto"/>
        </w:rPr>
        <w:t>Minimum Guarantor Threshold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default shall occur under this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if, notwithstanding the Minimum Guarantor Threshold, all Domestic Subsidiaries (other than Excluded Subsidiaries) as of such date of determination are Guarantors. Without limiting the foregoing, the Company will cause any Subsidiary that guarantees, or that is required by the terms of any Note Purchase Agreement or any Senior Note to guarantee, Debt in respect of any Note Purchase Agreement and/or any Senior Note to be a Guarantor.</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5"/>
          <w:szCs w:val="15"/>
          <w:u w:val="single" w:color="auto"/>
          <w:color w:val="auto"/>
        </w:rPr>
        <w:t>Investments</w:t>
      </w:r>
      <w:r>
        <w:rPr>
          <w:rFonts w:ascii="Arial" w:cs="Arial" w:eastAsia="Arial" w:hAnsi="Arial"/>
          <w:sz w:val="15"/>
          <w:szCs w:val="15"/>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and not permit any Subsidiary (other than an Excluded Subsidiary) to, make any Investments, except:</w:t>
      </w:r>
    </w:p>
    <w:p>
      <w:pPr>
        <w:spacing w:after="0" w:line="144" w:lineRule="exact"/>
        <w:rPr>
          <w:sz w:val="20"/>
          <w:szCs w:val="20"/>
          <w:color w:val="auto"/>
        </w:rPr>
      </w:pPr>
    </w:p>
    <w:p>
      <w:pPr>
        <w:ind w:left="1140" w:hanging="237"/>
        <w:spacing w:after="0"/>
        <w:tabs>
          <w:tab w:leader="none" w:pos="11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Investments held in the form of cash or Cash Equivalents;</w:t>
      </w:r>
    </w:p>
    <w:p>
      <w:pPr>
        <w:spacing w:after="0" w:line="144" w:lineRule="exact"/>
        <w:rPr>
          <w:rFonts w:ascii="Arial" w:cs="Arial" w:eastAsia="Arial" w:hAnsi="Arial"/>
          <w:sz w:val="18"/>
          <w:szCs w:val="18"/>
          <w:color w:val="auto"/>
        </w:rPr>
      </w:pPr>
    </w:p>
    <w:p>
      <w:pPr>
        <w:jc w:val="both"/>
        <w:ind w:left="460" w:firstLine="443"/>
        <w:spacing w:after="0" w:line="259" w:lineRule="auto"/>
        <w:tabs>
          <w:tab w:leader="none" w:pos="117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Investments existing or committed to as of the Closing Date and set forth in </w:t>
      </w:r>
      <w:r>
        <w:rPr>
          <w:rFonts w:ascii="Arial" w:cs="Arial" w:eastAsia="Arial" w:hAnsi="Arial"/>
          <w:sz w:val="18"/>
          <w:szCs w:val="18"/>
          <w:u w:val="single" w:color="auto"/>
          <w:color w:val="auto"/>
        </w:rPr>
        <w:t>Schedule 7.17</w:t>
      </w:r>
      <w:r>
        <w:rPr>
          <w:rFonts w:ascii="Arial" w:cs="Arial" w:eastAsia="Arial" w:hAnsi="Arial"/>
          <w:sz w:val="18"/>
          <w:szCs w:val="18"/>
          <w:color w:val="auto"/>
        </w:rPr>
        <w:t xml:space="preserve"> (and any modification, replacement, renewal or extension thereof, to the extent that the amount of the original Investment is not increased except by the terms of such Investment or as otherwise permitted under this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60" w:firstLine="443"/>
        <w:spacing w:after="0" w:line="332" w:lineRule="auto"/>
        <w:tabs>
          <w:tab w:leader="none" w:pos="114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Investments in any Person that is a Loan Party prior to giving effect to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Investments in Foreign Loan Parties by Loan Parties that are not Foreign Loan Parties shall be limited to the Investments permitted pursuant to </w:t>
      </w:r>
      <w:r>
        <w:rPr>
          <w:rFonts w:ascii="Arial" w:cs="Arial" w:eastAsia="Arial" w:hAnsi="Arial"/>
          <w:sz w:val="16"/>
          <w:szCs w:val="16"/>
          <w:u w:val="single" w:color="auto"/>
          <w:color w:val="auto"/>
        </w:rPr>
        <w:t>Sections 7.17(l)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7.17(m)</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Investments by any Subsidiary that is not a Loan Party in any other Subsidiary;</w:t>
      </w:r>
    </w:p>
    <w:p>
      <w:pPr>
        <w:spacing w:after="0" w:line="144" w:lineRule="exact"/>
        <w:rPr>
          <w:rFonts w:ascii="Arial" w:cs="Arial" w:eastAsia="Arial" w:hAnsi="Arial"/>
          <w:sz w:val="18"/>
          <w:szCs w:val="18"/>
          <w:color w:val="auto"/>
        </w:rPr>
      </w:pPr>
    </w:p>
    <w:p>
      <w:pPr>
        <w:jc w:val="both"/>
        <w:ind w:left="460" w:firstLine="443"/>
        <w:spacing w:after="0" w:line="294" w:lineRule="auto"/>
        <w:tabs>
          <w:tab w:leader="none" w:pos="114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Investments consisting of extensions of credit in the nature of accounts receivable or notes receivable arising from the grant of trade credit in the ordinary course of business and other advances, prepayments and credits to suppliers in the ordinary course of business, and Investments (including debt obligations) received in connection with bankruptcy or reorganization of suppliers, customers and other account debtors (or received in satisfaction or partial satisfaction thereof from financially troubled account debtors) to the extent reasonably necessary to prevent or limit loss and in full or partial settlement of delinquent obligations of, and other disputes with, customers, suppliers and other account debtors arising in the ordinary course of business;</w:t>
      </w:r>
    </w:p>
    <w:p>
      <w:pPr>
        <w:spacing w:after="0" w:line="88" w:lineRule="exact"/>
        <w:rPr>
          <w:rFonts w:ascii="Arial" w:cs="Arial" w:eastAsia="Arial" w:hAnsi="Arial"/>
          <w:sz w:val="16"/>
          <w:szCs w:val="16"/>
          <w:color w:val="auto"/>
        </w:rPr>
      </w:pPr>
    </w:p>
    <w:p>
      <w:pPr>
        <w:ind w:left="460" w:firstLine="443"/>
        <w:spacing w:after="0" w:line="332" w:lineRule="auto"/>
        <w:tabs>
          <w:tab w:leader="none" w:pos="111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loans and advances to officers, directors and employees of the Company or any Subsidiary in connection with travel, entertainment, relocation and analogous ordinary business purposes and advances of payroll payments to employees in the ordinary course of business;</w:t>
      </w:r>
    </w:p>
    <w:p>
      <w:pPr>
        <w:spacing w:after="0" w:line="58" w:lineRule="exact"/>
        <w:rPr>
          <w:rFonts w:ascii="Arial" w:cs="Arial" w:eastAsia="Arial" w:hAnsi="Arial"/>
          <w:sz w:val="16"/>
          <w:szCs w:val="16"/>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Suretyship Liabilities permitted by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44" w:lineRule="exact"/>
        <w:rPr>
          <w:rFonts w:ascii="Arial" w:cs="Arial" w:eastAsia="Arial" w:hAnsi="Arial"/>
          <w:sz w:val="18"/>
          <w:szCs w:val="18"/>
          <w:color w:val="auto"/>
        </w:rPr>
      </w:pPr>
    </w:p>
    <w:p>
      <w:pPr>
        <w:ind w:left="460" w:firstLine="443"/>
        <w:spacing w:after="0" w:line="268" w:lineRule="auto"/>
        <w:tabs>
          <w:tab w:leader="none" w:pos="11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promissory notes and other noncash consideration received from credit-worthy obligors in connection with dispositions permitted under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104" w:lineRule="exact"/>
        <w:rPr>
          <w:rFonts w:ascii="Arial" w:cs="Arial" w:eastAsia="Arial" w:hAnsi="Arial"/>
          <w:sz w:val="18"/>
          <w:szCs w:val="18"/>
          <w:color w:val="auto"/>
        </w:rPr>
      </w:pPr>
    </w:p>
    <w:p>
      <w:pPr>
        <w:ind w:left="1120" w:hanging="217"/>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Investments in non-qualified employee benefit plans, including deferred compensation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88" w:name="page89"/>
    <w:bookmarkEnd w:id="88"/>
    <w:p>
      <w:pPr>
        <w:jc w:val="both"/>
        <w:ind w:left="460" w:firstLine="443"/>
        <w:spacing w:after="0" w:line="255" w:lineRule="auto"/>
        <w:tabs>
          <w:tab w:leader="none" w:pos="1178"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in partnerships, joint ventures and any other non-Wholly Owned Subsidiary where the aggregate amount of such Investments (excluding any such Investment existing or committed for on the Closing Date and listed on </w:t>
      </w:r>
      <w:r>
        <w:rPr>
          <w:rFonts w:ascii="Arial" w:cs="Arial" w:eastAsia="Arial" w:hAnsi="Arial"/>
          <w:sz w:val="18"/>
          <w:szCs w:val="18"/>
          <w:u w:val="single" w:color="auto"/>
          <w:color w:val="auto"/>
        </w:rPr>
        <w:t>Schedule 7.17</w:t>
      </w:r>
      <w:r>
        <w:rPr>
          <w:rFonts w:ascii="Arial" w:cs="Arial" w:eastAsia="Arial" w:hAnsi="Arial"/>
          <w:sz w:val="18"/>
          <w:szCs w:val="18"/>
          <w:color w:val="auto"/>
        </w:rPr>
        <w:t xml:space="preserve">) outstanding at any one time does not exceed the greater of (i) $50,000,000 and (ii) 5% of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Party may become a general partner in any partnership;</w:t>
      </w:r>
    </w:p>
    <w:p>
      <w:pPr>
        <w:spacing w:after="0" w:line="115" w:lineRule="exact"/>
        <w:rPr>
          <w:rFonts w:ascii="Arial" w:cs="Arial" w:eastAsia="Arial" w:hAnsi="Arial"/>
          <w:sz w:val="18"/>
          <w:szCs w:val="18"/>
          <w:color w:val="auto"/>
        </w:rPr>
      </w:pPr>
    </w:p>
    <w:p>
      <w:pPr>
        <w:jc w:val="both"/>
        <w:ind w:left="460" w:firstLine="443"/>
        <w:spacing w:after="0" w:line="259" w:lineRule="auto"/>
        <w:tabs>
          <w:tab w:leader="none" w:pos="11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Investments by a Loan Party in a Foreign Loan Party or a Subsidiary that is not a Loan Party for purposes of funding a Permitted Acquisition so long as the sum of (i) unrestricted cash of the Company and its Domestic Subsidiaries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unutilized availability under the Aggregate Revolving Commitments is at least $175,000,000;</w:t>
      </w:r>
    </w:p>
    <w:p>
      <w:pPr>
        <w:spacing w:after="0" w:line="113" w:lineRule="exact"/>
        <w:rPr>
          <w:rFonts w:ascii="Arial" w:cs="Arial" w:eastAsia="Arial" w:hAnsi="Arial"/>
          <w:sz w:val="18"/>
          <w:szCs w:val="18"/>
          <w:color w:val="auto"/>
        </w:rPr>
      </w:pPr>
    </w:p>
    <w:p>
      <w:pPr>
        <w:ind w:left="460" w:right="20" w:firstLine="443"/>
        <w:spacing w:after="0" w:line="332" w:lineRule="auto"/>
        <w:tabs>
          <w:tab w:leader="none" w:pos="12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Investment made by a Loan Party in a Foreign Loan Party or a Subsidiary that is not a Loan Party with cash proceeds received from distributions from Subsidiaries that are not Loan Parties to the extent such Investment is made within 15 days of the receipt of such cash proceeds; and</w:t>
      </w:r>
    </w:p>
    <w:p>
      <w:pPr>
        <w:spacing w:after="0" w:line="58" w:lineRule="exact"/>
        <w:rPr>
          <w:rFonts w:ascii="Arial" w:cs="Arial" w:eastAsia="Arial" w:hAnsi="Arial"/>
          <w:sz w:val="16"/>
          <w:szCs w:val="16"/>
          <w:color w:val="auto"/>
        </w:rPr>
      </w:pPr>
    </w:p>
    <w:p>
      <w:pPr>
        <w:ind w:left="1160" w:hanging="257"/>
        <w:spacing w:after="0"/>
        <w:tabs>
          <w:tab w:leader="none" w:pos="11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Investments of a nature not contemplated in the foregoing clauses in an amount not to exceed $25,000,000 during any Fiscal Year.</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5"/>
          <w:szCs w:val="15"/>
          <w:u w:val="single" w:color="auto"/>
          <w:color w:val="auto"/>
        </w:rPr>
        <w:t>Burdensome Agreements</w:t>
      </w:r>
      <w:r>
        <w:rPr>
          <w:rFonts w:ascii="Arial" w:cs="Arial" w:eastAsia="Arial" w:hAnsi="Arial"/>
          <w:sz w:val="15"/>
          <w:szCs w:val="15"/>
          <w:color w:val="auto"/>
        </w:rPr>
        <w:t>.</w:t>
      </w:r>
    </w:p>
    <w:p>
      <w:pPr>
        <w:spacing w:after="0" w:line="144" w:lineRule="exact"/>
        <w:rPr>
          <w:sz w:val="20"/>
          <w:szCs w:val="20"/>
          <w:color w:val="auto"/>
        </w:rPr>
      </w:pPr>
    </w:p>
    <w:p>
      <w:pPr>
        <w:jc w:val="both"/>
        <w:ind w:left="460" w:firstLine="443"/>
        <w:spacing w:after="0" w:line="284" w:lineRule="auto"/>
        <w:tabs>
          <w:tab w:leader="none" w:pos="116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Not, and not permit any Subsidiary (other than an Excluded Subsidiary) to, enter into, or permit to exist, any Contractual Obligation that encumbers or restricts the ability of any such Person to (i) pay dividends or make any other distributions to any Loan Party on its Capital Stock or with respect to any other interest or participation in, or measured by, its profits, (ii) repay any loans or advances owed to any Loan Party, (iii) make loans or advances to any Loan Party, (iv) sell, lease or 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clauses (i)-(v) above) for (1) this Agreement and the other Loan Documents, (2) any document or instrument governing Debt incurred pursuant to </w:t>
      </w:r>
      <w:r>
        <w:rPr>
          <w:rFonts w:ascii="Arial" w:cs="Arial" w:eastAsia="Arial" w:hAnsi="Arial"/>
          <w:sz w:val="16"/>
          <w:szCs w:val="16"/>
          <w:u w:val="single" w:color="auto"/>
          <w:color w:val="auto"/>
        </w:rPr>
        <w:t>Section 7.07(b)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constructed or acquired in connection therewith and proceeds thereof, (3) any Permitted Lien or any document or instrument governing any Permitted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subject to such Permitted Lien, (4) the Note Purchase Agreements, (5) restrictions and conditions imposed by Law, (6) customary restrictions and conditions contained in any agreement relating to the sale or other disposition of any property permitted under </w:t>
      </w: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pending the consummation of such sale or other disposition, and/or (7) Contractual Obligations which (A) (i)(x) exist on the Closing Date and (to the extent not otherwise permitted by this </w:t>
      </w:r>
      <w:r>
        <w:rPr>
          <w:rFonts w:ascii="Arial" w:cs="Arial" w:eastAsia="Arial" w:hAnsi="Arial"/>
          <w:sz w:val="16"/>
          <w:szCs w:val="16"/>
          <w:u w:val="single" w:color="auto"/>
          <w:color w:val="auto"/>
        </w:rPr>
        <w:t>Section 7.18</w:t>
      </w:r>
      <w:r>
        <w:rPr>
          <w:rFonts w:ascii="Arial" w:cs="Arial" w:eastAsia="Arial" w:hAnsi="Arial"/>
          <w:sz w:val="16"/>
          <w:szCs w:val="16"/>
          <w:color w:val="auto"/>
        </w:rPr>
        <w:t xml:space="preserve">) are listed on </w:t>
      </w:r>
      <w:r>
        <w:rPr>
          <w:rFonts w:ascii="Arial" w:cs="Arial" w:eastAsia="Arial" w:hAnsi="Arial"/>
          <w:sz w:val="16"/>
          <w:szCs w:val="16"/>
          <w:u w:val="single" w:color="auto"/>
          <w:color w:val="auto"/>
        </w:rPr>
        <w:t>Schedule 7.18</w:t>
      </w:r>
      <w:r>
        <w:rPr>
          <w:rFonts w:ascii="Arial" w:cs="Arial" w:eastAsia="Arial" w:hAnsi="Arial"/>
          <w:sz w:val="16"/>
          <w:szCs w:val="16"/>
          <w:color w:val="auto"/>
        </w:rPr>
        <w:t xml:space="preserve"> hereto and (y) to the extent Contractual Obligations permitted by clause (x) are set forth in an agreement evidencing Debt, are set forth in any agreement evidencing any permitted renewal, extension or refinancing of such Debt so long as such renewal, extension or refinancing does not expand the scope of such Contractual Obligation, (ii) are binding on a Subsidiary at the time such Subsidiary first becomes a Subsidiary, so long as such Contractual Obligations were not entered into in contemplation of such Person becoming a Subsidiary, (B) are customary provisions in joint venture agreements and other similar agreements applicable to joint ventures permitted under </w:t>
      </w:r>
      <w:r>
        <w:rPr>
          <w:rFonts w:ascii="Arial" w:cs="Arial" w:eastAsia="Arial" w:hAnsi="Arial"/>
          <w:sz w:val="16"/>
          <w:szCs w:val="16"/>
          <w:u w:val="single" w:color="auto"/>
          <w:color w:val="auto"/>
        </w:rPr>
        <w:t>Section 7.17</w:t>
      </w:r>
      <w:r>
        <w:rPr>
          <w:rFonts w:ascii="Arial" w:cs="Arial" w:eastAsia="Arial" w:hAnsi="Arial"/>
          <w:sz w:val="16"/>
          <w:szCs w:val="16"/>
          <w:color w:val="auto"/>
        </w:rPr>
        <w:t xml:space="preserve"> and applicable solely to such joint venture entered into in the ordinary course of business, (C) are customary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89" w:name="page90"/>
    <w:bookmarkEnd w:id="89"/>
    <w:p>
      <w:pPr>
        <w:jc w:val="both"/>
        <w:ind w:left="4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non-assignment provisions in leases, joint venture agreements and other contracts entered into in the ordinary course of business, (D) are customary restrictions on leases, subleases or licenses otherwise permitted hereby so long as such restrictions relate to the assets subject thereto, (E) are customary provisions restricting subletting or assignment of any lease governing a leasehold interest, (F) are restrictions on cash or other deposits imposed by customers under contracts entered into in the ordinary course of business, (G) arise in connection with cash or other deposits permitted under </w:t>
      </w:r>
      <w:r>
        <w:rPr>
          <w:rFonts w:ascii="Arial" w:cs="Arial" w:eastAsia="Arial" w:hAnsi="Arial"/>
          <w:sz w:val="15"/>
          <w:szCs w:val="15"/>
          <w:u w:val="single" w:color="auto"/>
          <w:color w:val="auto"/>
        </w:rPr>
        <w:t>Section 7.08</w:t>
      </w:r>
      <w:r>
        <w:rPr>
          <w:rFonts w:ascii="Arial" w:cs="Arial" w:eastAsia="Arial" w:hAnsi="Arial"/>
          <w:sz w:val="15"/>
          <w:szCs w:val="15"/>
          <w:color w:val="auto"/>
        </w:rPr>
        <w:t xml:space="preserve">, or (H) are set forth in the agreements governing any Permitted Securitization with respect to any Securitization Subsidiary or in any agreements governing any factoring transaction permitted under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(so long as the applicable restriction applies solely to the assets subject to such transactions).</w:t>
      </w:r>
    </w:p>
    <w:p>
      <w:pPr>
        <w:spacing w:after="0" w:line="78" w:lineRule="exact"/>
        <w:rPr>
          <w:sz w:val="20"/>
          <w:szCs w:val="20"/>
          <w:color w:val="auto"/>
        </w:rPr>
      </w:pPr>
    </w:p>
    <w:p>
      <w:pPr>
        <w:jc w:val="both"/>
        <w:ind w:left="460" w:right="20" w:firstLine="443"/>
        <w:spacing w:after="0" w:line="259" w:lineRule="auto"/>
        <w:tabs>
          <w:tab w:leader="none" w:pos="11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 and not permit any Subsidiary (other than an Excluded Subsidiary) to, enter into, or permit to exist, any Contractual Obligation that requires the grant of security if such property is given as security for the Obligations except for the Note Purchase Agreements and Hedging Agreements constituting Obligations.</w:t>
      </w:r>
    </w:p>
    <w:p>
      <w:pPr>
        <w:spacing w:after="0" w:line="127" w:lineRule="exact"/>
        <w:rPr>
          <w:sz w:val="20"/>
          <w:szCs w:val="20"/>
          <w:color w:val="auto"/>
        </w:rPr>
      </w:pPr>
    </w:p>
    <w:p>
      <w:pPr>
        <w:jc w:val="center"/>
        <w:ind w:right="9160"/>
        <w:spacing w:after="0"/>
        <w:tabs>
          <w:tab w:leader="none" w:pos="120" w:val="left"/>
        </w:tabs>
        <w:rPr>
          <w:sz w:val="20"/>
          <w:szCs w:val="20"/>
          <w:color w:val="auto"/>
        </w:rPr>
      </w:pPr>
      <w:r>
        <w:rPr>
          <w:rFonts w:ascii="Arial" w:cs="Arial" w:eastAsia="Arial" w:hAnsi="Arial"/>
          <w:sz w:val="18"/>
          <w:szCs w:val="18"/>
          <w:color w:val="auto"/>
        </w:rPr>
        <w:t>7.19</w:t>
      </w:r>
      <w:r>
        <w:rPr>
          <w:sz w:val="20"/>
          <w:szCs w:val="20"/>
          <w:color w:val="auto"/>
        </w:rPr>
        <w:tab/>
      </w:r>
      <w:r>
        <w:rPr>
          <w:rFonts w:ascii="Arial" w:cs="Arial" w:eastAsia="Arial" w:hAnsi="Arial"/>
          <w:sz w:val="15"/>
          <w:szCs w:val="15"/>
          <w:u w:val="single" w:color="auto"/>
          <w:color w:val="auto"/>
        </w:rPr>
        <w:t>Organization Documents</w:t>
      </w:r>
      <w:r>
        <w:rPr>
          <w:rFonts w:ascii="Arial" w:cs="Arial" w:eastAsia="Arial" w:hAnsi="Arial"/>
          <w:sz w:val="15"/>
          <w:szCs w:val="15"/>
          <w:color w:val="auto"/>
        </w:rPr>
        <w:t>.</w:t>
      </w:r>
    </w:p>
    <w:p>
      <w:pPr>
        <w:spacing w:after="0" w:line="144"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Not, and not permit any Loan Party to, amend, modify or change its Organization Documents in a manner materially adverse to the Lenders.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[RESERVED]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 AND REMEDIES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u w:val="single" w:color="auto"/>
          <w:color w:val="auto"/>
        </w:rPr>
        <w:t>Events of Defaul</w:t>
      </w:r>
      <w:r>
        <w:rPr>
          <w:rFonts w:ascii="Arial" w:cs="Arial" w:eastAsia="Arial" w:hAnsi="Arial"/>
          <w:sz w:val="16"/>
          <w:szCs w:val="16"/>
          <w:color w:val="auto"/>
        </w:rPr>
        <w:t>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shall constitute an Event of Default under this Agreement:</w:t>
      </w:r>
    </w:p>
    <w:p>
      <w:pPr>
        <w:spacing w:after="0" w:line="144" w:lineRule="exact"/>
        <w:rPr>
          <w:sz w:val="20"/>
          <w:szCs w:val="20"/>
          <w:color w:val="auto"/>
        </w:rPr>
      </w:pPr>
    </w:p>
    <w:p>
      <w:pPr>
        <w:jc w:val="both"/>
        <w:ind w:left="460" w:firstLine="443"/>
        <w:spacing w:after="0" w:line="259" w:lineRule="auto"/>
        <w:tabs>
          <w:tab w:leader="none" w:pos="113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Non-Payment of the Loans, etc.</w:t>
      </w:r>
      <w:r>
        <w:rPr>
          <w:rFonts w:ascii="Arial" w:cs="Arial" w:eastAsia="Arial" w:hAnsi="Arial"/>
          <w:sz w:val="18"/>
          <w:szCs w:val="18"/>
          <w:color w:val="auto"/>
        </w:rPr>
        <w:t xml:space="preserve"> Default in the payment when due of the principal of any Loan or any reimbursement obligation with respect to any Letter of Credit; or default, and continuance thereof for five days, in the payment when due of any interest, fee or other amount payable by the Loan Parties hereunder or under any other Loan Document.</w:t>
      </w:r>
    </w:p>
    <w:p>
      <w:pPr>
        <w:spacing w:after="0" w:line="113" w:lineRule="exact"/>
        <w:rPr>
          <w:rFonts w:ascii="Arial" w:cs="Arial" w:eastAsia="Arial" w:hAnsi="Arial"/>
          <w:sz w:val="18"/>
          <w:szCs w:val="18"/>
          <w:color w:val="auto"/>
        </w:rPr>
      </w:pPr>
    </w:p>
    <w:p>
      <w:pPr>
        <w:jc w:val="both"/>
        <w:ind w:left="460" w:firstLine="443"/>
        <w:spacing w:after="0" w:line="290" w:lineRule="auto"/>
        <w:tabs>
          <w:tab w:leader="none" w:pos="114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Non-Payment of Other Debt, etc.</w:t>
      </w:r>
      <w:r>
        <w:rPr>
          <w:rFonts w:ascii="Arial" w:cs="Arial" w:eastAsia="Arial" w:hAnsi="Arial"/>
          <w:sz w:val="16"/>
          <w:szCs w:val="16"/>
          <w:color w:val="auto"/>
        </w:rPr>
        <w:t xml:space="preserve"> (i) Any default shall occur under the terms applicable to any Debt of the Company or any Significant Subsidiary (other than Debt hereunder) in an aggregate principal amount (for all such Debt so affected) exceeding $25,000,000 and such default shall (x) consist of the failure to pay such Debt when due (subject to any applicable grace period), whether by acceleration or otherwise, or (y) accelerate the maturity of such Debt or permit the holder or holders thereof, or any trustee or agent for such holder or holders, to cause such Debt to become due and payable prior to its expressed maturity; or (ii) any event shall occur with respect to any Securitization Obligations that results in, or permits the holder or holders of such obligations, or any trustee or agent for such holder or holders, to require the replacement or resignation of the servicer with respect thereto and the appointment of a new servicer other than the Company or any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90" w:name="page91"/>
    <w:bookmarkEnd w:id="90"/>
    <w:p>
      <w:pPr>
        <w:jc w:val="both"/>
        <w:ind w:firstLine="443"/>
        <w:spacing w:after="0" w:line="287" w:lineRule="auto"/>
        <w:tabs>
          <w:tab w:leader="none" w:pos="69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Bankruptcy, Insolvency, etc.</w:t>
      </w:r>
      <w:r>
        <w:rPr>
          <w:rFonts w:ascii="Arial" w:cs="Arial" w:eastAsia="Arial" w:hAnsi="Arial"/>
          <w:sz w:val="16"/>
          <w:szCs w:val="16"/>
          <w:color w:val="auto"/>
        </w:rPr>
        <w:t xml:space="preserve"> The Company or any Significant Subsidiary becomes insolvent or generally fails to pay, or admits in writing its general inability or refusal to pay, debts as they become due; or the Company or any Significant Subsidiary applies for, consents to, or acquiesces in the appointment of a trustee, receiver or other custodian for the Company or any Significant Subsidiary or any substantial part of the property thereof, or makes a general assignment for the benefit of creditors; or, in the absence of such application, consent or acquiescence, a trustee, receiver or other custodian is appointed for the Company or such Significant Subsidiary or for any substantial part of the property thereof and is not discharged within 60 days; or any bankruptcy, reorganization, debt arrangement, or other case or proceeding under any Debtor Relief Law, or any dissolution or liquidation proceeding (except the voluntary dissolution, not under any Debtor Relief Law, of a Significant Subsidiary), is commenced in respect of the Company or any Significant Subsidiary, and if such case or proceeding is not commenced by the Company or any Significant Subsidiary, an order for relief is entered therein, or such case or proceeding is consented to or acquiesced in by the Company or such Significant Subsidiary or remains for 60 days undismissed; or the Company or any Significant Subsidiary takes any corporate action to authorize, or in furtherance of, any of the foregoing.</w:t>
      </w:r>
    </w:p>
    <w:p>
      <w:pPr>
        <w:spacing w:after="0" w:line="95" w:lineRule="exact"/>
        <w:rPr>
          <w:rFonts w:ascii="Arial" w:cs="Arial" w:eastAsia="Arial" w:hAnsi="Arial"/>
          <w:sz w:val="16"/>
          <w:szCs w:val="16"/>
          <w:color w:val="auto"/>
        </w:rPr>
      </w:pPr>
    </w:p>
    <w:p>
      <w:pPr>
        <w:jc w:val="both"/>
        <w:ind w:firstLine="443"/>
        <w:spacing w:after="0" w:line="284" w:lineRule="auto"/>
        <w:tabs>
          <w:tab w:leader="none" w:pos="714"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Non-Compliance with Provisions of this Agreement</w:t>
      </w:r>
      <w:r>
        <w:rPr>
          <w:rFonts w:ascii="Arial" w:cs="Arial" w:eastAsia="Arial" w:hAnsi="Arial"/>
          <w:sz w:val="16"/>
          <w:szCs w:val="16"/>
          <w:color w:val="auto"/>
        </w:rPr>
        <w:t xml:space="preserve">. (i) Failure by the Company to comply with or to perform any covenant set forth in </w:t>
      </w:r>
      <w:r>
        <w:rPr>
          <w:rFonts w:ascii="Arial" w:cs="Arial" w:eastAsia="Arial" w:hAnsi="Arial"/>
          <w:sz w:val="16"/>
          <w:szCs w:val="16"/>
          <w:u w:val="single" w:color="auto"/>
          <w:color w:val="auto"/>
        </w:rPr>
        <w:t>Sections 7.01(e)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7.05</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7.09</w:t>
      </w:r>
      <w:r>
        <w:rPr>
          <w:rFonts w:ascii="Arial" w:cs="Arial" w:eastAsia="Arial" w:hAnsi="Arial"/>
          <w:sz w:val="16"/>
          <w:szCs w:val="16"/>
          <w:color w:val="auto"/>
        </w:rPr>
        <w:t xml:space="preserve">, </w:t>
      </w:r>
      <w:r>
        <w:rPr>
          <w:rFonts w:ascii="Arial" w:cs="Arial" w:eastAsia="Arial" w:hAnsi="Arial"/>
          <w:sz w:val="16"/>
          <w:szCs w:val="16"/>
          <w:u w:val="single" w:color="auto"/>
          <w:color w:val="auto"/>
        </w:rPr>
        <w:t>7.12, 7.16</w:t>
      </w:r>
      <w:r>
        <w:rPr>
          <w:rFonts w:ascii="Arial" w:cs="Arial" w:eastAsia="Arial" w:hAnsi="Arial"/>
          <w:sz w:val="16"/>
          <w:szCs w:val="16"/>
          <w:color w:val="auto"/>
        </w:rPr>
        <w:t xml:space="preserve">, </w:t>
      </w:r>
      <w:r>
        <w:rPr>
          <w:rFonts w:ascii="Arial" w:cs="Arial" w:eastAsia="Arial" w:hAnsi="Arial"/>
          <w:sz w:val="16"/>
          <w:szCs w:val="16"/>
          <w:u w:val="single" w:color="auto"/>
          <w:color w:val="auto"/>
        </w:rPr>
        <w:t>7.17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7.18</w:t>
      </w:r>
      <w:r>
        <w:rPr>
          <w:rFonts w:ascii="Arial" w:cs="Arial" w:eastAsia="Arial" w:hAnsi="Arial"/>
          <w:sz w:val="16"/>
          <w:szCs w:val="16"/>
          <w:color w:val="auto"/>
        </w:rPr>
        <w:t xml:space="preserve">; (ii) failure by the Company to comply with or to perform any covenant set forth in </w:t>
      </w:r>
      <w:r>
        <w:rPr>
          <w:rFonts w:ascii="Arial" w:cs="Arial" w:eastAsia="Arial" w:hAnsi="Arial"/>
          <w:sz w:val="16"/>
          <w:szCs w:val="16"/>
          <w:u w:val="single" w:color="auto"/>
          <w:color w:val="auto"/>
        </w:rPr>
        <w:t>Sections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7.10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7.11</w:t>
      </w:r>
      <w:r>
        <w:rPr>
          <w:rFonts w:ascii="Arial" w:cs="Arial" w:eastAsia="Arial" w:hAnsi="Arial"/>
          <w:sz w:val="16"/>
          <w:szCs w:val="16"/>
          <w:color w:val="auto"/>
        </w:rPr>
        <w:t xml:space="preserve"> and continuance of such failure for ten days after an Executive Officer obtains actual knowledge; or</w:t>
      </w:r>
    </w:p>
    <w:p>
      <w:pPr>
        <w:spacing w:after="0" w:line="1" w:lineRule="exact"/>
        <w:rPr>
          <w:rFonts w:ascii="Arial" w:cs="Arial" w:eastAsia="Arial" w:hAnsi="Arial"/>
          <w:sz w:val="16"/>
          <w:szCs w:val="16"/>
          <w:color w:val="auto"/>
        </w:rPr>
      </w:pPr>
    </w:p>
    <w:p>
      <w:pPr>
        <w:jc w:val="both"/>
        <w:ind w:firstLine="4"/>
        <w:spacing w:after="0" w:line="255" w:lineRule="auto"/>
        <w:tabs>
          <w:tab w:leader="none" w:pos="3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failure by the Company to comply with or to perform any other provision of this Agreement (and not constituting an Event of Default under any of the other provisions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and continuance of such failure for 30 days after written notice thereof to the Company from the Administrative Agent or any Lender (acting through the Administrative Agent).</w:t>
      </w:r>
    </w:p>
    <w:p>
      <w:pPr>
        <w:spacing w:after="0" w:line="117" w:lineRule="exact"/>
        <w:rPr>
          <w:rFonts w:ascii="Arial" w:cs="Arial" w:eastAsia="Arial" w:hAnsi="Arial"/>
          <w:sz w:val="18"/>
          <w:szCs w:val="18"/>
          <w:color w:val="auto"/>
        </w:rPr>
      </w:pPr>
    </w:p>
    <w:p>
      <w:pPr>
        <w:jc w:val="both"/>
        <w:ind w:firstLine="443"/>
        <w:spacing w:after="0" w:line="256" w:lineRule="auto"/>
        <w:tabs>
          <w:tab w:leader="none" w:pos="69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made by a Loan Party under any Loan Document is breached or is false or misleading in any material respect when made or deemed made, or any schedule, certificate, financial statement, report, notice or other writing furnished by a Loan Party to the Administrative Agent or any Lender in connection herewith is false or misleading in any material respect on the date as of which the facts therein set forth are stated or certified.</w:t>
      </w:r>
    </w:p>
    <w:p>
      <w:pPr>
        <w:spacing w:after="0" w:line="116" w:lineRule="exact"/>
        <w:rPr>
          <w:rFonts w:ascii="Arial" w:cs="Arial" w:eastAsia="Arial" w:hAnsi="Arial"/>
          <w:sz w:val="18"/>
          <w:szCs w:val="18"/>
          <w:color w:val="auto"/>
        </w:rPr>
      </w:pPr>
    </w:p>
    <w:p>
      <w:pPr>
        <w:jc w:val="both"/>
        <w:ind w:firstLine="443"/>
        <w:spacing w:after="0" w:line="290" w:lineRule="auto"/>
        <w:tabs>
          <w:tab w:leader="none" w:pos="657"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Pension Plans and Plan Assets</w:t>
      </w:r>
      <w:r>
        <w:rPr>
          <w:rFonts w:ascii="Arial" w:cs="Arial" w:eastAsia="Arial" w:hAnsi="Arial"/>
          <w:sz w:val="16"/>
          <w:szCs w:val="16"/>
          <w:color w:val="auto"/>
        </w:rPr>
        <w:t>. (i) Institution of any steps by the Company or any Subsidiary or any other Person to terminate a Pension Plan if as a result of such termination the Company or any Subsidiary could reasonably be expected to be required to make a contribution to such Pension Plan, or could reasonably be expected to incur a liability or obligation to such Pension Plan, in excess of $25,000,000; (ii) a contribution failure occurs with respect to any Pension Plan sufficient to give rise to a Lien securing a material amount under section 303(k) of ERISA; (iii) there shall occur any withdrawal or partial withdrawal from a Multiemployer Pension Plan and the withdrawal liability (without unaccrued interest) to Multiemployer Pension Plans as a result of such withdrawal (including any outstanding withdrawal liability that the Company and the Controlled Group have incurred on the date of such withdrawal) exceeds $25,000,000; or (iv) any Loan Party becomes an entity deemed to hold Plan Assets.</w:t>
      </w:r>
    </w:p>
    <w:p>
      <w:pPr>
        <w:spacing w:after="0" w:line="91" w:lineRule="exact"/>
        <w:rPr>
          <w:rFonts w:ascii="Arial" w:cs="Arial" w:eastAsia="Arial" w:hAnsi="Arial"/>
          <w:sz w:val="16"/>
          <w:szCs w:val="16"/>
          <w:color w:val="auto"/>
        </w:rPr>
      </w:pPr>
    </w:p>
    <w:p>
      <w:pPr>
        <w:jc w:val="both"/>
        <w:ind w:firstLine="443"/>
        <w:spacing w:after="0" w:line="256" w:lineRule="auto"/>
        <w:tabs>
          <w:tab w:leader="none" w:pos="687"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(i) Final judgments which exceed an aggregate of $25,000,000 shall be rendered against the Company or any Subsidiary or (ii) any one or more non-monetary final judgments shall be rendered against the Company or any Subsidiary that have, or could reasonably be expected to have, individually or in the aggregate, a Material Adverse Effect, in each case shall not have been paid, discharged or vacated or had execution thereof stayed pending appeal within 30 days after entry or filing of such judgments.</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60"/>
          </w:cols>
          <w:pgMar w:left="700" w:top="280" w:right="239" w:bottom="1440" w:gutter="0" w:footer="0" w:header="0"/>
        </w:sectPr>
      </w:pPr>
    </w:p>
    <w:bookmarkStart w:id="91" w:name="page92"/>
    <w:bookmarkEnd w:id="91"/>
    <w:p>
      <w:pPr>
        <w:jc w:val="both"/>
        <w:ind w:left="460" w:firstLine="443"/>
        <w:spacing w:after="0" w:line="294" w:lineRule="auto"/>
        <w:tabs>
          <w:tab w:leader="none" w:pos="116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Invalidity of Loan Documents</w:t>
      </w:r>
      <w:r>
        <w:rPr>
          <w:rFonts w:ascii="Arial" w:cs="Arial" w:eastAsia="Arial" w:hAnsi="Arial"/>
          <w:sz w:val="16"/>
          <w:szCs w:val="16"/>
          <w:color w:val="auto"/>
        </w:rPr>
        <w:t>. Any Loan Document, at any time after its execution and delivery and for any reason other than as expressly permitted hereunder or thereunder, in accordance with its terms or satisfaction in full of all the Obligations (other than any contingent obligation that is not due and payable), ceases to be in full force and effect with respect to any Loan Party party thereto; or any Loan Party (or any other Person acting on behalf thereof) contests in any manner the validity or enforceability of any Loan Document to which it is a party; or any Loan Party denies that it has any or further liability or obligation under, or purports to revoke, terminate or rescind, any Loan Document other than in accordance with its terms.</w:t>
      </w:r>
    </w:p>
    <w:p>
      <w:pPr>
        <w:spacing w:after="0" w:line="88" w:lineRule="exact"/>
        <w:rPr>
          <w:rFonts w:ascii="Arial" w:cs="Arial" w:eastAsia="Arial" w:hAnsi="Arial"/>
          <w:sz w:val="16"/>
          <w:szCs w:val="16"/>
          <w:color w:val="auto"/>
        </w:rPr>
      </w:pPr>
    </w:p>
    <w:p>
      <w:pPr>
        <w:jc w:val="both"/>
        <w:ind w:left="460" w:firstLine="443"/>
        <w:spacing w:after="0" w:line="287" w:lineRule="auto"/>
        <w:tabs>
          <w:tab w:leader="none" w:pos="113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 Any Person or group of Persons (within the meaning of Section 13 or 14 of the Securities Exchange Act of 1934) (excluding (w) any employee benefit plan of the Company or any of its Subsidiaries, (x) any person or entity acting in its capacity as trustee, agent or other fiduciary or administrator of any such plan and (y) Elizabeth Brady, William Brady and their descendants or any trusts established for them or their descendants, and the W. H. Brady Foundation, Inc.) shall acquire beneficial ownership (within the meaning of Rule 13d-3 promulgated under such Act) of one-third (1/3) or more of the outstanding shares of common stock of the Company entitled to vote for members of the board of directors or equivalent governing body of the Company on a fully diluted basis; (ii) during any 12-month period, individuals who at the beginning of such period constituted the Company’s board of directors (together with any new directors whose election by the Company’s board of directors or whose nomination for election by the Company’s shareholders was approved by a vote of at least two-thirds of the directors who either were directors at beginning of such period or whose election or nomination was previously so approved) cease for any reason to constitute a majority of the board of directors of the Company; or (iii) the Company fails to own (directly or indirectly) 100% of the outstanding Capital Stock of any Designated Borrower.</w:t>
      </w:r>
    </w:p>
    <w:p>
      <w:pPr>
        <w:spacing w:after="0" w:line="1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105" w:lineRule="exact"/>
        <w:rPr>
          <w:sz w:val="20"/>
          <w:szCs w:val="20"/>
          <w:color w:val="auto"/>
        </w:rPr>
      </w:pPr>
    </w:p>
    <w:p>
      <w:pPr>
        <w:ind w:left="460" w:firstLine="443"/>
        <w:spacing w:after="0" w:line="268" w:lineRule="auto"/>
        <w:tabs>
          <w:tab w:leader="none" w:pos="11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104" w:lineRule="exact"/>
        <w:rPr>
          <w:rFonts w:ascii="Arial" w:cs="Arial" w:eastAsia="Arial" w:hAnsi="Arial"/>
          <w:sz w:val="18"/>
          <w:szCs w:val="18"/>
          <w:color w:val="auto"/>
        </w:rPr>
      </w:pPr>
    </w:p>
    <w:p>
      <w:pPr>
        <w:jc w:val="both"/>
        <w:ind w:left="460" w:firstLine="443"/>
        <w:spacing w:after="0" w:line="259" w:lineRule="auto"/>
        <w:tabs>
          <w:tab w:leader="none" w:pos="116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13" w:lineRule="exact"/>
        <w:rPr>
          <w:rFonts w:ascii="Arial" w:cs="Arial" w:eastAsia="Arial" w:hAnsi="Arial"/>
          <w:sz w:val="18"/>
          <w:szCs w:val="18"/>
          <w:color w:val="auto"/>
        </w:rPr>
      </w:pPr>
    </w:p>
    <w:p>
      <w:pPr>
        <w:ind w:left="1140" w:hanging="237"/>
        <w:spacing w:after="0"/>
        <w:tabs>
          <w:tab w:leader="none" w:pos="1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require that the Borrowers Cash Collateralize the L/C Obligations (in an amount equal to the Minimum Collateral Amount with respect thereto);</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37" w:lineRule="exact"/>
        <w:rPr>
          <w:rFonts w:ascii="Arial" w:cs="Arial" w:eastAsia="Arial" w:hAnsi="Arial"/>
          <w:sz w:val="16"/>
          <w:szCs w:val="16"/>
          <w:color w:val="auto"/>
        </w:rPr>
      </w:pPr>
    </w:p>
    <w:p>
      <w:pPr>
        <w:ind w:left="460" w:firstLine="443"/>
        <w:spacing w:after="0" w:line="268" w:lineRule="auto"/>
        <w:tabs>
          <w:tab w:leader="none" w:pos="11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 or applicable Law or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80" w:right="239" w:bottom="1440" w:gutter="0" w:footer="0" w:header="0"/>
        </w:sectPr>
      </w:pPr>
    </w:p>
    <w:bookmarkStart w:id="92" w:name="page93"/>
    <w:bookmarkEnd w:id="92"/>
    <w:p>
      <w:pPr>
        <w:jc w:val="both"/>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6"/>
          <w:szCs w:val="16"/>
          <w:u w:val="single" w:color="auto"/>
          <w:color w:val="auto"/>
        </w:rPr>
        <w:t>Application of Funds</w:t>
      </w:r>
      <w:r>
        <w:rPr>
          <w:rFonts w:ascii="Arial" w:cs="Arial" w:eastAsia="Arial" w:hAnsi="Arial"/>
          <w:sz w:val="16"/>
          <w:szCs w:val="16"/>
          <w:color w:val="auto"/>
        </w:rPr>
        <w:t>.</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After the exercise of remedies provided for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any amounts received on account of the Obligations shall, subject to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be applied by the Administrative Agent in the following order:</w:t>
      </w:r>
    </w:p>
    <w:p>
      <w:pPr>
        <w:spacing w:after="0" w:line="80"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the reasonable and documented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113"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 (including the reasonable and documented fees, charges and disbursements of counsel due and owing pursuant to the terms of this Agreement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16"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payment of that portion of the Obligations constituting accrued and unpaid Letter of Credit Fees and interest on the Loans and L/C Borrowings and fees, premiums and scheduled periodic payments, and any interest accrued thereon, due under any Hedging Agreement between any Loan Party and any Lender, or any Affiliate of a Lender, ratably among the Lenders (and, in the case of such Hedging Agreements, Affiliates of Lenders) and the L/C Issuer in proportion to the respective amounts described in this clause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held by them;</w:t>
      </w:r>
    </w:p>
    <w:p>
      <w:pPr>
        <w:spacing w:after="0" w:line="86"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(a) payment of that portion of the Obligations constituting unpaid principal of the Loans and L/C Borrowings, (b) payment of breakage, termination or other payments, and any interest accrued thereon, due under any Hedging Agreement between any Loan Party and any Lender, or any Affiliate of a Lender, (c) payments of amounts due under any Treasury Management Agreement between any Loan Party and any Lender, or any Affiliate of a Lender and (d) Cash Collateralize that portion of L/C Obligations comprised of the aggregate undrawn amount of Letters of Credit, ratably among the Lenders (and, in the case of such Hedging Agreements, Affiliates of Lenders) and the L/C Issuer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117"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(other than contingent obligations not yet due and payable) have been indefeasibly paid in full, to the Borrowers or as otherwise required by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93" w:name="page94"/>
    <w:bookmarkEnd w:id="93"/>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05" w:lineRule="exact"/>
        <w:rPr>
          <w:sz w:val="20"/>
          <w:szCs w:val="20"/>
          <w:color w:val="auto"/>
        </w:rPr>
      </w:pPr>
    </w:p>
    <w:p>
      <w:pPr>
        <w:ind w:left="1140" w:hanging="237"/>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44" w:lineRule="exact"/>
        <w:rPr>
          <w:rFonts w:ascii="Arial" w:cs="Arial" w:eastAsia="Arial" w:hAnsi="Arial"/>
          <w:sz w:val="18"/>
          <w:szCs w:val="18"/>
          <w:color w:val="auto"/>
        </w:rPr>
      </w:pPr>
    </w:p>
    <w:p>
      <w:pPr>
        <w:jc w:val="both"/>
        <w:ind w:left="460" w:firstLine="443"/>
        <w:spacing w:after="0" w:line="253" w:lineRule="auto"/>
        <w:tabs>
          <w:tab w:leader="none" w:pos="115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0" w:right="239" w:bottom="1440" w:gutter="0" w:footer="0" w:header="0"/>
        </w:sectPr>
      </w:pPr>
    </w:p>
    <w:bookmarkStart w:id="94" w:name="page95"/>
    <w:bookmarkEnd w:id="94"/>
    <w:p>
      <w:pPr>
        <w:jc w:val="both"/>
        <w:ind w:left="460" w:firstLine="443"/>
        <w:spacing w:after="0" w:line="259" w:lineRule="auto"/>
        <w:tabs>
          <w:tab w:leader="none" w:pos="1139"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1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Sections 11.01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9.02</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the L/C Issuer.</w:t>
      </w:r>
    </w:p>
    <w:p>
      <w:pPr>
        <w:spacing w:after="0" w:line="8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in good faith by it to be genuine and to have been signed, sent or otherwise authenticated by the proper Person. The Administrative Agent also may rely upon any statement made to it orally or by telephone and believed in good faith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95" w:name="page96"/>
    <w:bookmarkEnd w:id="9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144" w:lineRule="exact"/>
        <w:rPr>
          <w:sz w:val="20"/>
          <w:szCs w:val="20"/>
          <w:color w:val="auto"/>
        </w:rPr>
      </w:pPr>
    </w:p>
    <w:p>
      <w:pPr>
        <w:jc w:val="both"/>
        <w:ind w:firstLine="464"/>
        <w:spacing w:after="0" w:line="289" w:lineRule="auto"/>
        <w:tabs>
          <w:tab w:leader="none" w:pos="71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L/C Issuer and the Company. Upon receipt of any such notice of resignation, the Required Lenders shall have the right, with the consent of the Company so long as no Event of Default exists (such consent of the Company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91" w:lineRule="exact"/>
        <w:rPr>
          <w:rFonts w:ascii="Arial" w:cs="Arial" w:eastAsia="Arial" w:hAnsi="Arial"/>
          <w:sz w:val="16"/>
          <w:szCs w:val="16"/>
          <w:color w:val="auto"/>
        </w:rPr>
      </w:pPr>
    </w:p>
    <w:p>
      <w:pPr>
        <w:jc w:val="both"/>
        <w:ind w:firstLine="464"/>
        <w:spacing w:after="0" w:line="291" w:lineRule="auto"/>
        <w:tabs>
          <w:tab w:leader="none" w:pos="71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If the Person serving as Administrative Agent is a Defaulting Lender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the definition thereof, the Required Lenders may, to the extent permitted by applicable Law and with the consent of the Company so long as no Event of Default exists (such consent of the Company not to be unreasonably withheld or delayed),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93" w:lineRule="exact"/>
        <w:rPr>
          <w:rFonts w:ascii="Arial" w:cs="Arial" w:eastAsia="Arial" w:hAnsi="Arial"/>
          <w:sz w:val="16"/>
          <w:szCs w:val="16"/>
          <w:color w:val="auto"/>
        </w:rPr>
      </w:pPr>
    </w:p>
    <w:p>
      <w:pPr>
        <w:jc w:val="both"/>
        <w:ind w:firstLine="464"/>
        <w:spacing w:after="0" w:line="286" w:lineRule="auto"/>
        <w:tabs>
          <w:tab w:leader="none" w:pos="69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0" w:right="239" w:bottom="1440" w:gutter="0" w:footer="0" w:header="0"/>
        </w:sectPr>
      </w:pPr>
    </w:p>
    <w:bookmarkStart w:id="96" w:name="page97"/>
    <w:bookmarkEnd w:id="96"/>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removed Administrative Agent’s resignation or removal hereunder and under the other Loan Documents, the provisions of this Article and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80" w:lineRule="exact"/>
        <w:rPr>
          <w:sz w:val="20"/>
          <w:szCs w:val="20"/>
          <w:color w:val="auto"/>
        </w:rPr>
      </w:pPr>
    </w:p>
    <w:p>
      <w:pPr>
        <w:jc w:val="both"/>
        <w:ind w:firstLine="464"/>
        <w:spacing w:after="0" w:line="286" w:lineRule="auto"/>
        <w:tabs>
          <w:tab w:leader="none" w:pos="74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Any resignation by Bank of America as Administrative Agent pursuant to this Section shall also, on the Resignation Effective Date, effect its resignation as L/C Issuer and Swing Line Lender. If Bank of America so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so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by the Company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as applicable,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80" w:right="239" w:bottom="1440" w:gutter="0" w:footer="0" w:header="0"/>
        </w:sectPr>
      </w:pPr>
    </w:p>
    <w:bookmarkStart w:id="97" w:name="page98"/>
    <w:bookmarkEnd w:id="97"/>
    <w:p>
      <w:pPr>
        <w:jc w:val="both"/>
        <w:ind w:left="460" w:firstLine="443"/>
        <w:spacing w:after="0" w:line="294" w:lineRule="auto"/>
        <w:tabs>
          <w:tab w:leader="none" w:pos="1150"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2.03(i)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allowed in such judicial proceeding; and</w:t>
      </w:r>
    </w:p>
    <w:p>
      <w:pPr>
        <w:spacing w:after="0" w:line="88" w:lineRule="exact"/>
        <w:rPr>
          <w:rFonts w:ascii="Arial" w:cs="Arial" w:eastAsia="Arial" w:hAnsi="Arial"/>
          <w:sz w:val="16"/>
          <w:szCs w:val="16"/>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44"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5"/>
          <w:szCs w:val="15"/>
          <w:u w:val="single" w:color="auto"/>
          <w:color w:val="auto"/>
        </w:rPr>
        <w:t>Sections 2.09</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11.04</w:t>
      </w:r>
      <w:r>
        <w:rPr>
          <w:rFonts w:ascii="Arial" w:cs="Arial" w:eastAsia="Arial" w:hAnsi="Arial"/>
          <w:sz w:val="15"/>
          <w:szCs w:val="15"/>
          <w:color w:val="auto"/>
        </w:rPr>
        <w:t>.</w:t>
      </w:r>
    </w:p>
    <w:p>
      <w:pPr>
        <w:spacing w:after="0" w:line="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Guaranty Matters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The Lenders and the L/C Issuer irrevocably authorize the Administrative Agent, at its option and in its discretion, to release any Guarantor from its obligations under the Guaranty if such Person ceases to be a Subsidiary as a result of a transaction permitted hereunder. Upon request by the Administrative Agent at any time, the Required Lenders will confirm in writing the Administrative Agent’s authority to release any Guarantor from its obligations under the Guaranty, pursuant to this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Amendments, Etc</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No amendment or waiver of any provision of this Agreement or any other Loan Document, and no consent to any departure by the Borrowers or any other Loan Party therefrom, shall be effective unless in writing signed by the Required Lenders and the Loan Parties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80" w:lineRule="exact"/>
        <w:rPr>
          <w:sz w:val="20"/>
          <w:szCs w:val="20"/>
          <w:color w:val="auto"/>
        </w:rPr>
      </w:pPr>
    </w:p>
    <w:p>
      <w:pPr>
        <w:ind w:left="1160" w:hanging="239"/>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such amendment, waiver or consent shall:</w:t>
      </w:r>
    </w:p>
    <w:p>
      <w:pPr>
        <w:spacing w:after="0" w:line="144" w:lineRule="exact"/>
        <w:rPr>
          <w:rFonts w:ascii="Arial" w:cs="Arial" w:eastAsia="Arial" w:hAnsi="Arial"/>
          <w:sz w:val="18"/>
          <w:szCs w:val="18"/>
          <w:color w:val="auto"/>
        </w:rPr>
      </w:pPr>
    </w:p>
    <w:p>
      <w:pPr>
        <w:ind w:left="920" w:firstLine="421"/>
        <w:spacing w:after="0" w:line="268" w:lineRule="auto"/>
        <w:tabs>
          <w:tab w:leader="none" w:pos="155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without the written consent of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80" w:right="239" w:bottom="1440" w:gutter="0" w:footer="0" w:header="0"/>
        </w:sectPr>
      </w:pPr>
    </w:p>
    <w:bookmarkStart w:id="98" w:name="page99"/>
    <w:bookmarkEnd w:id="98"/>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(it being understood and agreed that a waiver of any condition precedent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or of any Default or a mandatory reduction in Commitments is not considered an extension or increase in Commitments of any Lender);</w:t>
      </w:r>
    </w:p>
    <w:p>
      <w:pPr>
        <w:spacing w:after="0" w:line="105" w:lineRule="exact"/>
        <w:rPr>
          <w:sz w:val="20"/>
          <w:szCs w:val="20"/>
          <w:color w:val="auto"/>
        </w:rPr>
      </w:pPr>
    </w:p>
    <w:p>
      <w:pPr>
        <w:jc w:val="both"/>
        <w:ind w:left="460" w:firstLine="421"/>
        <w:spacing w:after="0" w:line="256" w:lineRule="auto"/>
        <w:tabs>
          <w:tab w:leader="none" w:pos="114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of principal (excluding mandatory prepayments), interest, fees or other amounts due to the Lenders (or any of them) or any scheduled reduction of the Aggregate Revolving Commitments hereunder or under any other Loan Document without the written consent of each Lender entitled to receive such payment or whose Commitment is being so reduced;</w:t>
      </w:r>
    </w:p>
    <w:p>
      <w:pPr>
        <w:spacing w:after="0" w:line="116" w:lineRule="exact"/>
        <w:rPr>
          <w:rFonts w:ascii="Arial" w:cs="Arial" w:eastAsia="Arial" w:hAnsi="Arial"/>
          <w:sz w:val="18"/>
          <w:szCs w:val="18"/>
          <w:color w:val="auto"/>
        </w:rPr>
      </w:pPr>
    </w:p>
    <w:p>
      <w:pPr>
        <w:jc w:val="both"/>
        <w:ind w:left="460" w:firstLine="421"/>
        <w:spacing w:after="0" w:line="291" w:lineRule="auto"/>
        <w:tabs>
          <w:tab w:leader="none" w:pos="119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clause (i) of the final proviso to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fees or other amounts payable hereunder or under any other Loan Document without the written consent of each Lender entitled to receive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(A) to amend the definition of “Default Rate” or to waive any obligation of the Borrowers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93" w:lineRule="exact"/>
        <w:rPr>
          <w:rFonts w:ascii="Arial" w:cs="Arial" w:eastAsia="Arial" w:hAnsi="Arial"/>
          <w:sz w:val="16"/>
          <w:szCs w:val="16"/>
          <w:color w:val="auto"/>
        </w:rPr>
      </w:pPr>
    </w:p>
    <w:p>
      <w:pPr>
        <w:ind w:left="460" w:firstLine="421"/>
        <w:spacing w:after="0" w:line="268" w:lineRule="auto"/>
        <w:tabs>
          <w:tab w:leader="none" w:pos="119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in a manner that would alter the pro rata sharing of payments required thereby without the written consent of each Lender directly affected thereby;</w:t>
      </w:r>
    </w:p>
    <w:p>
      <w:pPr>
        <w:spacing w:after="0" w:line="104" w:lineRule="exact"/>
        <w:rPr>
          <w:rFonts w:ascii="Arial" w:cs="Arial" w:eastAsia="Arial" w:hAnsi="Arial"/>
          <w:sz w:val="18"/>
          <w:szCs w:val="18"/>
          <w:color w:val="auto"/>
        </w:rPr>
      </w:pPr>
    </w:p>
    <w:p>
      <w:pPr>
        <w:ind w:left="1120" w:hanging="239"/>
        <w:spacing w:after="0"/>
        <w:tabs>
          <w:tab w:leader="none" w:pos="11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or the definition of “Alternative Currency” without the written consent of each Lender;</w:t>
      </w:r>
    </w:p>
    <w:p>
      <w:pPr>
        <w:spacing w:after="0" w:line="144" w:lineRule="exact"/>
        <w:rPr>
          <w:rFonts w:ascii="Arial" w:cs="Arial" w:eastAsia="Arial" w:hAnsi="Arial"/>
          <w:sz w:val="18"/>
          <w:szCs w:val="18"/>
          <w:color w:val="auto"/>
        </w:rPr>
      </w:pPr>
    </w:p>
    <w:p>
      <w:pPr>
        <w:ind w:left="460" w:right="20" w:firstLine="421"/>
        <w:spacing w:after="0" w:line="268" w:lineRule="auto"/>
        <w:tabs>
          <w:tab w:leader="none" w:pos="118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without the written consent of each Lender directly affected thereby; or</w:t>
      </w:r>
    </w:p>
    <w:p>
      <w:pPr>
        <w:spacing w:after="0" w:line="104" w:lineRule="exact"/>
        <w:rPr>
          <w:rFonts w:ascii="Arial" w:cs="Arial" w:eastAsia="Arial" w:hAnsi="Arial"/>
          <w:sz w:val="18"/>
          <w:szCs w:val="18"/>
          <w:color w:val="auto"/>
        </w:rPr>
      </w:pPr>
    </w:p>
    <w:p>
      <w:pPr>
        <w:jc w:val="both"/>
        <w:ind w:left="460" w:firstLine="421"/>
        <w:spacing w:after="0" w:line="335" w:lineRule="auto"/>
        <w:tabs>
          <w:tab w:leader="none" w:pos="124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 xml:space="preserve">release the Company or, except in connection with a merger or consolidation permitted under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or a disposition permitted under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any other Borrower or all or substantially all of the Guarantors, from its or their obligations under the Loan Documents without the written consent of each Lender directly affected thereby except to the extent the release of any Guarantor is permitted pursuant to </w:t>
      </w:r>
      <w:r>
        <w:rPr>
          <w:rFonts w:ascii="Arial" w:cs="Arial" w:eastAsia="Arial" w:hAnsi="Arial"/>
          <w:sz w:val="15"/>
          <w:szCs w:val="15"/>
          <w:u w:val="single" w:color="auto"/>
          <w:color w:val="auto"/>
        </w:rPr>
        <w:t>Section 10.10</w:t>
      </w:r>
      <w:r>
        <w:rPr>
          <w:rFonts w:ascii="Arial" w:cs="Arial" w:eastAsia="Arial" w:hAnsi="Arial"/>
          <w:sz w:val="15"/>
          <w:szCs w:val="15"/>
          <w:color w:val="auto"/>
        </w:rPr>
        <w:t>;</w:t>
      </w:r>
    </w:p>
    <w:p>
      <w:pPr>
        <w:spacing w:after="0" w:line="61" w:lineRule="exact"/>
        <w:rPr>
          <w:rFonts w:ascii="Arial" w:cs="Arial" w:eastAsia="Arial" w:hAnsi="Arial"/>
          <w:sz w:val="15"/>
          <w:szCs w:val="15"/>
          <w:color w:val="auto"/>
        </w:rPr>
      </w:pPr>
    </w:p>
    <w:p>
      <w:pPr>
        <w:ind w:right="20" w:firstLine="443"/>
        <w:spacing w:after="0" w:line="268" w:lineRule="auto"/>
        <w:tabs>
          <w:tab w:leader="none" w:pos="69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unless also signed by the L/C Issuer, no amendment, waiver or consent shall affect the rights or duties of the L/C Issuer under this Agreement or any Issuer Document relating to any Letter of Credit issued or to be issued by it;</w:t>
      </w:r>
    </w:p>
    <w:p>
      <w:pPr>
        <w:spacing w:after="0" w:line="104" w:lineRule="exact"/>
        <w:rPr>
          <w:rFonts w:ascii="Arial" w:cs="Arial" w:eastAsia="Arial" w:hAnsi="Arial"/>
          <w:sz w:val="18"/>
          <w:szCs w:val="18"/>
          <w:color w:val="auto"/>
        </w:rPr>
      </w:pPr>
    </w:p>
    <w:p>
      <w:pPr>
        <w:ind w:right="20" w:firstLine="443"/>
        <w:spacing w:after="0" w:line="268" w:lineRule="auto"/>
        <w:tabs>
          <w:tab w:leader="none" w:pos="68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unless also signed by the Swing Line Lender, no amendment, waiver or consent shall affect the rights or duties of the Swing Line Lender under this Agreement; and</w:t>
      </w:r>
    </w:p>
    <w:p>
      <w:pPr>
        <w:spacing w:after="0" w:line="104" w:lineRule="exact"/>
        <w:rPr>
          <w:rFonts w:ascii="Arial" w:cs="Arial" w:eastAsia="Arial" w:hAnsi="Arial"/>
          <w:sz w:val="18"/>
          <w:szCs w:val="18"/>
          <w:color w:val="auto"/>
        </w:rPr>
      </w:pPr>
    </w:p>
    <w:p>
      <w:pPr>
        <w:ind w:firstLine="443"/>
        <w:spacing w:after="0" w:line="268" w:lineRule="auto"/>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unless also signed by the Administrative Agent, no amendment, waiver or consent shall affect the rights or duties of the Administrative Agent under this Agreement or any other Loan Document;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700" w:top="280" w:right="239" w:bottom="1440" w:gutter="0" w:footer="0" w:header="0"/>
        </w:sectPr>
      </w:pPr>
    </w:p>
    <w:bookmarkStart w:id="99" w:name="page100"/>
    <w:bookmarkEnd w:id="99"/>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notwithstanding anything to the contrary herein, (i) the Fee Letter may be amended, or rights or privileges thereunder waived, in a writing executed only by the parties thereto;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(iii) the Required Lenders shall determine whether or not to allow a Loan Party to use cash collateral in the context of a bankruptcy or insolvency proceeding and such determination shall be binding on all of the Lenders; and (iv)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the Defaulting Lenders), except that (x) the Commitment of such Defaulting Lender may not be increased or extended without the consent of such Lender and (y) any waiver, amendment or modification requiring the consent of all Lenders or each affected Lender that by its terms affects such Defaulting Lender disproportionately adversely relative to other affected Lenders shall require the consent of such Defaulting Lender.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144" w:lineRule="exact"/>
        <w:rPr>
          <w:sz w:val="20"/>
          <w:szCs w:val="20"/>
          <w:color w:val="auto"/>
        </w:rPr>
      </w:pPr>
    </w:p>
    <w:p>
      <w:pPr>
        <w:jc w:val="both"/>
        <w:ind w:firstLine="464"/>
        <w:spacing w:after="0" w:line="256" w:lineRule="auto"/>
        <w:tabs>
          <w:tab w:leader="none" w:pos="709"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16" w:lineRule="exact"/>
        <w:rPr>
          <w:rFonts w:ascii="Arial" w:cs="Arial" w:eastAsia="Arial" w:hAnsi="Arial"/>
          <w:sz w:val="18"/>
          <w:szCs w:val="18"/>
          <w:color w:val="auto"/>
        </w:rPr>
      </w:pPr>
    </w:p>
    <w:p>
      <w:pPr>
        <w:ind w:left="460" w:firstLine="443"/>
        <w:spacing w:after="0" w:line="268" w:lineRule="auto"/>
        <w:tabs>
          <w:tab w:leader="none" w:pos="110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if to a Loan Party, the Administrative Agent, the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04" w:lineRule="exact"/>
        <w:rPr>
          <w:rFonts w:ascii="Arial" w:cs="Arial" w:eastAsia="Arial" w:hAnsi="Arial"/>
          <w:sz w:val="18"/>
          <w:szCs w:val="18"/>
          <w:color w:val="auto"/>
        </w:rPr>
      </w:pPr>
    </w:p>
    <w:p>
      <w:pPr>
        <w:jc w:val="both"/>
        <w:ind w:left="460" w:firstLine="443"/>
        <w:spacing w:after="0" w:line="306" w:lineRule="auto"/>
        <w:tabs>
          <w:tab w:leader="none" w:pos="120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80"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71" w:lineRule="exact"/>
        <w:rPr>
          <w:sz w:val="20"/>
          <w:szCs w:val="20"/>
          <w:color w:val="auto"/>
        </w:rPr>
      </w:pPr>
    </w:p>
    <w:p>
      <w:pPr>
        <w:jc w:val="both"/>
        <w:ind w:firstLine="464"/>
        <w:spacing w:after="0" w:line="253" w:lineRule="auto"/>
        <w:tabs>
          <w:tab w:leader="none" w:pos="73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the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(on behalf of itself and the other Loan Parties)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100" w:name="page101"/>
    <w:bookmarkEnd w:id="100"/>
    <w:p>
      <w:pPr>
        <w:jc w:val="both"/>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93" w:lineRule="exact"/>
        <w:rPr>
          <w:sz w:val="20"/>
          <w:szCs w:val="20"/>
          <w:color w:val="auto"/>
        </w:rPr>
      </w:pPr>
    </w:p>
    <w:p>
      <w:pPr>
        <w:jc w:val="both"/>
        <w:ind w:firstLine="464"/>
        <w:spacing w:after="0" w:line="286" w:lineRule="auto"/>
        <w:tabs>
          <w:tab w:leader="none" w:pos="709"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The Platform</w:t>
      </w:r>
      <w:r>
        <w:rPr>
          <w:rFonts w:ascii="Arial" w:cs="Arial" w:eastAsia="Arial" w:hAnsi="Arial"/>
          <w:sz w:val="16"/>
          <w:szCs w:val="16"/>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are determined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100" w:lineRule="exact"/>
        <w:rPr>
          <w:rFonts w:ascii="Arial" w:cs="Arial" w:eastAsia="Arial" w:hAnsi="Arial"/>
          <w:sz w:val="16"/>
          <w:szCs w:val="16"/>
          <w:color w:val="auto"/>
        </w:rPr>
      </w:pPr>
    </w:p>
    <w:p>
      <w:pPr>
        <w:jc w:val="both"/>
        <w:ind w:firstLine="464"/>
        <w:spacing w:after="0" w:line="283" w:lineRule="auto"/>
        <w:tabs>
          <w:tab w:leader="none" w:pos="719"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Loan Parties,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w:t>
      </w:r>
    </w:p>
    <w:p>
      <w:pPr>
        <w:spacing w:after="0" w:line="2" w:lineRule="exact"/>
        <w:rPr>
          <w:rFonts w:ascii="Arial" w:cs="Arial" w:eastAsia="Arial" w:hAnsi="Arial"/>
          <w:sz w:val="16"/>
          <w:szCs w:val="16"/>
          <w:color w:val="auto"/>
        </w:rPr>
      </w:pPr>
    </w:p>
    <w:p>
      <w:pPr>
        <w:jc w:val="both"/>
        <w:ind w:firstLine="8"/>
        <w:spacing w:after="0" w:line="290" w:lineRule="auto"/>
        <w:tabs>
          <w:tab w:leader="none" w:pos="21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101" w:name="page102"/>
    <w:bookmarkEnd w:id="101"/>
    <w:p>
      <w:pPr>
        <w:jc w:val="both"/>
        <w:ind w:firstLine="464"/>
        <w:spacing w:after="0" w:line="289" w:lineRule="auto"/>
        <w:tabs>
          <w:tab w:leader="none" w:pos="69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Reliance by Administrative Agent, L/C Issuer and Lenders</w:t>
      </w:r>
      <w:r>
        <w:rPr>
          <w:rFonts w:ascii="Arial" w:cs="Arial" w:eastAsia="Arial" w:hAnsi="Arial"/>
          <w:sz w:val="16"/>
          <w:szCs w:val="16"/>
          <w:color w:val="auto"/>
        </w:rPr>
        <w:t>. The Administrative Agent, the L/C Issuer and the Lenders shall be entitled to rely and act upon any notices (including telephonic or electronic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other than such losses, costs, expenses and liabilities resulting from such Person’s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8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(ii) in addition to the matters set forth in clauses (b), (c) and (d)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44" w:lineRule="exact"/>
        <w:rPr>
          <w:sz w:val="20"/>
          <w:szCs w:val="20"/>
          <w:color w:val="auto"/>
        </w:rPr>
      </w:pPr>
    </w:p>
    <w:p>
      <w:pPr>
        <w:jc w:val="both"/>
        <w:ind w:firstLine="464"/>
        <w:spacing w:after="0" w:line="254"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Loan Parties shall pay (i) all reasonable out-of-pocket expenses incurred by the Administrative Agent and its Affiliates (but limited, in the case of legal fees and expenses, to the reasonable and documented fees, charges and disbursements of one outside counsel for the Administrative Agent and, if necessary, and one local counsel to the Administrative Agent in any relevant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80" w:right="239" w:bottom="1440" w:gutter="0" w:footer="0" w:header="0"/>
        </w:sectPr>
      </w:pPr>
    </w:p>
    <w:bookmarkStart w:id="102" w:name="page103"/>
    <w:bookmarkEnd w:id="102"/>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out-of-pocket expenses incurred by the L/C Issuer in connection with the issuance, amendment, renewal or extension of any Letter of Credit or any demand for payment thereunder and (iii) all out-of-pocket expenses incurred by the Administrative Agent, any Lender or the L/C Issuer (but limited, in the case of legal fees and expenses, to the reasonable and documented fees, charges and disbursements of one counsel to the Administrative Agent and one counsel to all Lenders and the L/C Issuer taken as a whole and, if reasonably necessary, a single local counsel for the Administrative Agent and a single local counsel for all Lenders and the L/C Issuer taken as a whole in each relevant jurisdiction, and solely in the case of a conflict of interest, one additional counsel in each relevant jurisdiction to the affected Lender and/or L/C Issuer similarly situated taken as a whole)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91" w:lineRule="exact"/>
        <w:rPr>
          <w:sz w:val="20"/>
          <w:szCs w:val="20"/>
          <w:color w:val="auto"/>
        </w:rPr>
      </w:pPr>
    </w:p>
    <w:p>
      <w:pPr>
        <w:jc w:val="both"/>
        <w:ind w:firstLine="464"/>
        <w:spacing w:after="0" w:line="282" w:lineRule="auto"/>
        <w:tabs>
          <w:tab w:leader="none" w:pos="705"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Indemnification by the Loan Parties</w:t>
      </w:r>
      <w:r>
        <w:rPr>
          <w:rFonts w:ascii="Arial" w:cs="Arial" w:eastAsia="Arial" w:hAnsi="Arial"/>
          <w:sz w:val="16"/>
          <w:szCs w:val="16"/>
          <w:color w:val="auto"/>
        </w:rPr>
        <w:t>. The Loan Parties shall indemnify the Administrative Agent (and any sub-agent thereof), each Lender and the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(but limited, in the case of legal fees and expenses, to the reasonable and documented out-of-pocket fees, disbursements and other charges of one counsel to the Administrative Agent and one counsel to all Indemnitees taken as a whole and, if reasonably necessary, a single local counsel for the Administrative Agent and a single local counsel for all Indemnitees taken as a whole in each relevant jurisdiction, and solely in the case of a conflict of interest, one additional counsel in each relevant jurisdiction to the affected Indemnitees similarly situated taken as a whole),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Substances on or from any property owned or operated by a Loan Party or any of its Subsidiaries, or any Environmental Claims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w:t>
      </w:r>
    </w:p>
    <w:p>
      <w:pPr>
        <w:spacing w:after="0" w:line="4" w:lineRule="exact"/>
        <w:rPr>
          <w:rFonts w:ascii="Arial" w:cs="Arial" w:eastAsia="Arial" w:hAnsi="Arial"/>
          <w:sz w:val="16"/>
          <w:szCs w:val="16"/>
          <w:color w:val="auto"/>
        </w:rPr>
      </w:pPr>
    </w:p>
    <w:p>
      <w:pPr>
        <w:jc w:val="both"/>
        <w:ind w:firstLine="8"/>
        <w:spacing w:after="0" w:line="288" w:lineRule="auto"/>
        <w:tabs>
          <w:tab w:leader="none" w:pos="25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are determined by a court of competent jurisdiction by final and nonappealable judgment to have resulted from the gross negligence or willful misconduct of such Indemnitee, (y) result from a claim brought by any Borrower or any other Loan Party against an Indemnitee for a breach in bad faith of such Indemnitee’s obligations hereunder or under any other Loan Document, if such Borrower or such Loan Party has obtained a final and nonappealable judgment in its favor on such claim as determined by a court of competent jurisdiction or (z) arise solely from claims of any Indemnitee against one or more other Indemnities that do not involve or have not resulted from (A) an act or omission of an Indemnitee in its capacity as Administrative Agent, Lender, L/C Issuer, arranger or book manager and (B) an act or omission (or an alleged act or omission) by any Loan Party or any Subsidiary.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80" w:right="239" w:bottom="1440" w:gutter="0" w:footer="0" w:header="0"/>
        </w:sectPr>
      </w:pPr>
    </w:p>
    <w:bookmarkStart w:id="103" w:name="page104"/>
    <w:bookmarkEnd w:id="103"/>
    <w:p>
      <w:pPr>
        <w:ind w:left="720" w:hanging="256"/>
        <w:spacing w:after="0"/>
        <w:tabs>
          <w:tab w:leader="none" w:pos="720"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Reimbursement by Lenders</w:t>
      </w:r>
      <w:r>
        <w:rPr>
          <w:rFonts w:ascii="Arial" w:cs="Arial" w:eastAsia="Arial" w:hAnsi="Arial"/>
          <w:sz w:val="16"/>
          <w:szCs w:val="16"/>
          <w:color w:val="auto"/>
        </w:rPr>
        <w:t>. To the extent that the Loan Parties for any reason fail to indefeasibly pay any amount required under subsection (a) or</w:t>
      </w:r>
    </w:p>
    <w:p>
      <w:pPr>
        <w:spacing w:after="0" w:line="38" w:lineRule="exact"/>
        <w:rPr>
          <w:rFonts w:ascii="Arial" w:cs="Arial" w:eastAsia="Arial" w:hAnsi="Arial"/>
          <w:sz w:val="16"/>
          <w:szCs w:val="16"/>
          <w:color w:val="auto"/>
        </w:rPr>
      </w:pPr>
    </w:p>
    <w:p>
      <w:pPr>
        <w:jc w:val="both"/>
        <w:ind w:firstLine="8"/>
        <w:spacing w:after="0" w:line="308" w:lineRule="auto"/>
        <w:tabs>
          <w:tab w:leader="none" w:pos="254"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of this Section to be paid by them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Revolving Outstandings of all Lenders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subsection (c) are subject to the provisions of </w:t>
      </w:r>
      <w:r>
        <w:rPr>
          <w:rFonts w:ascii="Arial" w:cs="Arial" w:eastAsia="Arial" w:hAnsi="Arial"/>
          <w:sz w:val="15"/>
          <w:szCs w:val="15"/>
          <w:u w:val="single" w:color="auto"/>
          <w:color w:val="auto"/>
        </w:rPr>
        <w:t>Section 2.12(d)</w:t>
      </w:r>
      <w:r>
        <w:rPr>
          <w:rFonts w:ascii="Arial" w:cs="Arial" w:eastAsia="Arial" w:hAnsi="Arial"/>
          <w:sz w:val="15"/>
          <w:szCs w:val="15"/>
          <w:color w:val="auto"/>
        </w:rPr>
        <w:t>.</w:t>
      </w:r>
    </w:p>
    <w:p>
      <w:pPr>
        <w:spacing w:after="0" w:line="81" w:lineRule="exact"/>
        <w:rPr>
          <w:rFonts w:ascii="Arial" w:cs="Arial" w:eastAsia="Arial" w:hAnsi="Arial"/>
          <w:sz w:val="15"/>
          <w:szCs w:val="15"/>
          <w:color w:val="auto"/>
        </w:rPr>
      </w:pPr>
    </w:p>
    <w:p>
      <w:pPr>
        <w:jc w:val="both"/>
        <w:ind w:firstLine="464"/>
        <w:spacing w:after="0" w:line="288" w:lineRule="auto"/>
        <w:tabs>
          <w:tab w:leader="none" w:pos="719"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Loan Party shall assert, and each Loan Party hereby waives, and acknowledges that, to the actual knowledge of any Executive Officer of the Loan Parties,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92" w:lineRule="exact"/>
        <w:rPr>
          <w:rFonts w:ascii="Arial" w:cs="Arial" w:eastAsia="Arial" w:hAnsi="Arial"/>
          <w:sz w:val="16"/>
          <w:szCs w:val="16"/>
          <w:color w:val="auto"/>
        </w:rPr>
      </w:pPr>
    </w:p>
    <w:p>
      <w:pPr>
        <w:ind w:left="700" w:hanging="236"/>
        <w:spacing w:after="0"/>
        <w:tabs>
          <w:tab w:leader="none" w:pos="70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144" w:lineRule="exact"/>
        <w:rPr>
          <w:rFonts w:ascii="Arial" w:cs="Arial" w:eastAsia="Arial" w:hAnsi="Arial"/>
          <w:sz w:val="18"/>
          <w:szCs w:val="18"/>
          <w:color w:val="auto"/>
        </w:rPr>
      </w:pPr>
    </w:p>
    <w:p>
      <w:pPr>
        <w:jc w:val="both"/>
        <w:ind w:firstLine="464"/>
        <w:spacing w:after="0" w:line="259" w:lineRule="auto"/>
        <w:tabs>
          <w:tab w:leader="none" w:pos="676"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the L/C Issuer and the Swing Line Lender, the replacement of any Lender, the termination of the Commitments and the repayment, satisfaction or discharge of all the other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Payments Set Aside</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80" w:right="239" w:bottom="1440" w:gutter="0" w:footer="0" w:header="0"/>
        </w:sectPr>
      </w:pPr>
    </w:p>
    <w:bookmarkStart w:id="104" w:name="page105"/>
    <w:bookmarkEnd w:id="104"/>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Successors and Assigns.</w:t>
      </w:r>
    </w:p>
    <w:p>
      <w:pPr>
        <w:spacing w:after="0" w:line="144" w:lineRule="exact"/>
        <w:rPr>
          <w:sz w:val="20"/>
          <w:szCs w:val="20"/>
          <w:color w:val="auto"/>
        </w:rPr>
      </w:pPr>
    </w:p>
    <w:p>
      <w:pPr>
        <w:jc w:val="both"/>
        <w:ind w:firstLine="464"/>
        <w:spacing w:after="0" w:line="288" w:lineRule="auto"/>
        <w:tabs>
          <w:tab w:leader="none" w:pos="70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provisions of this Agreement and the other Loan Documents shall be binding upon and inure to the benefit of the parties hereto and thereto and their respective successors and assigns permitted hereby, except that neither the Company nor any Designated Borrower may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92" w:lineRule="exact"/>
        <w:rPr>
          <w:rFonts w:ascii="Arial" w:cs="Arial" w:eastAsia="Arial" w:hAnsi="Arial"/>
          <w:sz w:val="16"/>
          <w:szCs w:val="16"/>
          <w:color w:val="auto"/>
        </w:rPr>
      </w:pPr>
    </w:p>
    <w:p>
      <w:pPr>
        <w:jc w:val="both"/>
        <w:ind w:firstLine="464"/>
        <w:spacing w:after="0" w:line="256" w:lineRule="auto"/>
        <w:tabs>
          <w:tab w:leader="none" w:pos="732"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16" w:lineRule="exact"/>
        <w:rPr>
          <w:rFonts w:ascii="Arial" w:cs="Arial" w:eastAsia="Arial" w:hAnsi="Arial"/>
          <w:sz w:val="18"/>
          <w:szCs w:val="18"/>
          <w:color w:val="auto"/>
        </w:rPr>
      </w:pPr>
    </w:p>
    <w:p>
      <w:pPr>
        <w:ind w:left="1140" w:hanging="219"/>
        <w:spacing w:after="0"/>
        <w:tabs>
          <w:tab w:leader="none" w:pos="1140"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460" w:firstLine="881"/>
        <w:spacing w:after="0" w:line="306" w:lineRule="auto"/>
        <w:tabs>
          <w:tab w:leader="none" w:pos="1645" w:val="left"/>
        </w:tabs>
        <w:numPr>
          <w:ilvl w:val="2"/>
          <w:numId w:val="135"/>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 and the related Loans at the time owing to it or contemporaneous assignments to related Approved Funds that equal at least the amount specified in subsection (b)(i)(B) of this Section in the aggregate or in the case of an assignment to a Lender, an Affiliate of a Lender or an Approved Fund, no minimum amount need be assigned; and</w:t>
      </w:r>
    </w:p>
    <w:p>
      <w:pPr>
        <w:spacing w:after="0" w:line="79" w:lineRule="exact"/>
        <w:rPr>
          <w:rFonts w:ascii="Arial" w:cs="Arial" w:eastAsia="Arial" w:hAnsi="Arial"/>
          <w:sz w:val="16"/>
          <w:szCs w:val="16"/>
          <w:color w:val="auto"/>
        </w:rPr>
      </w:pPr>
    </w:p>
    <w:p>
      <w:pPr>
        <w:jc w:val="both"/>
        <w:ind w:left="460" w:firstLine="881"/>
        <w:spacing w:after="0" w:line="254" w:lineRule="auto"/>
        <w:tabs>
          <w:tab w:leader="none" w:pos="1616" w:val="left"/>
        </w:tabs>
        <w:numPr>
          <w:ilvl w:val="2"/>
          <w:numId w:val="135"/>
        </w:numPr>
        <w:rPr>
          <w:rFonts w:ascii="Arial" w:cs="Arial" w:eastAsia="Arial" w:hAnsi="Arial"/>
          <w:sz w:val="18"/>
          <w:szCs w:val="18"/>
          <w:color w:val="auto"/>
        </w:rPr>
      </w:pPr>
      <w:r>
        <w:rPr>
          <w:rFonts w:ascii="Arial" w:cs="Arial" w:eastAsia="Arial" w:hAnsi="Arial"/>
          <w:sz w:val="18"/>
          <w:szCs w:val="18"/>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80" w:right="239" w:bottom="1440" w:gutter="0" w:footer="0" w:header="0"/>
        </w:sectPr>
      </w:pPr>
    </w:p>
    <w:bookmarkStart w:id="105" w:name="page106"/>
    <w:bookmarkEnd w:id="105"/>
    <w:p>
      <w:pPr>
        <w:jc w:val="both"/>
        <w:ind w:firstLine="443"/>
        <w:spacing w:after="0" w:line="259" w:lineRule="auto"/>
        <w:tabs>
          <w:tab w:leader="none" w:pos="696"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Proportionate Amounts</w:t>
      </w:r>
      <w:r>
        <w:rPr>
          <w:rFonts w:ascii="Arial" w:cs="Arial" w:eastAsia="Arial" w:hAnsi="Arial"/>
          <w:sz w:val="18"/>
          <w:szCs w:val="18"/>
          <w:color w:val="auto"/>
        </w:rPr>
        <w:t>. Each partial assignment shall be made as an assignment of a proportionate part of all the assigning Lender’s Loans and Commitments, and rights and obligations with respect thereto, assigned, except that this clause (ii) shall not apply to the Swing Line Lender’s rights and obligations in respect of Swing Line Loans;</w:t>
      </w:r>
    </w:p>
    <w:p>
      <w:pPr>
        <w:spacing w:after="0" w:line="113" w:lineRule="exact"/>
        <w:rPr>
          <w:rFonts w:ascii="Arial" w:cs="Arial" w:eastAsia="Arial" w:hAnsi="Arial"/>
          <w:sz w:val="18"/>
          <w:szCs w:val="18"/>
          <w:color w:val="auto"/>
        </w:rPr>
      </w:pPr>
    </w:p>
    <w:p>
      <w:pPr>
        <w:ind w:left="740" w:hanging="297"/>
        <w:spacing w:after="0"/>
        <w:tabs>
          <w:tab w:leader="none" w:pos="740"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subsection (b)(i)(B) of this Section and,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137" w:lineRule="exact"/>
        <w:rPr>
          <w:rFonts w:ascii="Arial" w:cs="Arial" w:eastAsia="Arial" w:hAnsi="Arial"/>
          <w:sz w:val="16"/>
          <w:szCs w:val="16"/>
          <w:color w:val="auto"/>
        </w:rPr>
      </w:pPr>
    </w:p>
    <w:p>
      <w:pPr>
        <w:ind w:left="460" w:firstLine="421"/>
        <w:spacing w:after="0" w:line="332" w:lineRule="auto"/>
        <w:tabs>
          <w:tab w:leader="none" w:pos="1169" w:val="left"/>
        </w:tabs>
        <w:numPr>
          <w:ilvl w:val="2"/>
          <w:numId w:val="136"/>
        </w:numPr>
        <w:rPr>
          <w:rFonts w:ascii="Arial" w:cs="Arial" w:eastAsia="Arial" w:hAnsi="Arial"/>
          <w:sz w:val="16"/>
          <w:szCs w:val="16"/>
          <w:color w:val="auto"/>
        </w:rPr>
      </w:pPr>
      <w:r>
        <w:rPr>
          <w:rFonts w:ascii="Arial" w:cs="Arial" w:eastAsia="Arial" w:hAnsi="Arial"/>
          <w:sz w:val="16"/>
          <w:szCs w:val="16"/>
          <w:color w:val="auto"/>
        </w:rPr>
        <w:t>the consent of the Company (such consent not to be unreasonably withheld or delayed) shall be required unless (1) an Event of Default has occurred and is continuing at the time of such assignment or (2) such assignment is to a Lender, an Affiliate of a Lender or an Approved Fund;</w:t>
      </w:r>
    </w:p>
    <w:p>
      <w:pPr>
        <w:spacing w:after="0" w:line="58" w:lineRule="exact"/>
        <w:rPr>
          <w:rFonts w:ascii="Arial" w:cs="Arial" w:eastAsia="Arial" w:hAnsi="Arial"/>
          <w:sz w:val="16"/>
          <w:szCs w:val="16"/>
          <w:color w:val="auto"/>
        </w:rPr>
      </w:pPr>
    </w:p>
    <w:p>
      <w:pPr>
        <w:jc w:val="both"/>
        <w:ind w:left="460" w:firstLine="421"/>
        <w:spacing w:after="0" w:line="306" w:lineRule="auto"/>
        <w:tabs>
          <w:tab w:leader="none" w:pos="1172" w:val="left"/>
        </w:tabs>
        <w:numPr>
          <w:ilvl w:val="2"/>
          <w:numId w:val="136"/>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Commitment subject to such assignment, an Affiliate of such Lender or an Approved Fund with respect to such Lender; and</w:t>
      </w:r>
    </w:p>
    <w:p>
      <w:pPr>
        <w:spacing w:after="0" w:line="79" w:lineRule="exact"/>
        <w:rPr>
          <w:rFonts w:ascii="Arial" w:cs="Arial" w:eastAsia="Arial" w:hAnsi="Arial"/>
          <w:sz w:val="16"/>
          <w:szCs w:val="16"/>
          <w:color w:val="auto"/>
        </w:rPr>
      </w:pPr>
    </w:p>
    <w:p>
      <w:pPr>
        <w:ind w:left="460" w:firstLine="421"/>
        <w:spacing w:after="0" w:line="332" w:lineRule="auto"/>
        <w:tabs>
          <w:tab w:leader="none" w:pos="1160" w:val="left"/>
        </w:tabs>
        <w:numPr>
          <w:ilvl w:val="2"/>
          <w:numId w:val="136"/>
        </w:numPr>
        <w:rPr>
          <w:rFonts w:ascii="Arial" w:cs="Arial" w:eastAsia="Arial" w:hAnsi="Arial"/>
          <w:sz w:val="16"/>
          <w:szCs w:val="16"/>
          <w:color w:val="auto"/>
        </w:rPr>
      </w:pPr>
      <w:r>
        <w:rPr>
          <w:rFonts w:ascii="Arial" w:cs="Arial" w:eastAsia="Arial" w:hAnsi="Arial"/>
          <w:sz w:val="16"/>
          <w:szCs w:val="16"/>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58" w:lineRule="exact"/>
        <w:rPr>
          <w:rFonts w:ascii="Arial" w:cs="Arial" w:eastAsia="Arial" w:hAnsi="Arial"/>
          <w:sz w:val="16"/>
          <w:szCs w:val="16"/>
          <w:color w:val="auto"/>
        </w:rPr>
      </w:pPr>
    </w:p>
    <w:p>
      <w:pPr>
        <w:ind w:left="460" w:firstLine="421"/>
        <w:spacing w:after="0" w:line="268" w:lineRule="auto"/>
        <w:tabs>
          <w:tab w:leader="none" w:pos="1177"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consent of the Swing Line Lender (such consent not to be unreasonably withheld or delayed) shall be required for any assignment in respect of Revolving Loans and Revolving Commitments.</w:t>
      </w:r>
    </w:p>
    <w:p>
      <w:pPr>
        <w:spacing w:after="0" w:line="104" w:lineRule="exact"/>
        <w:rPr>
          <w:rFonts w:ascii="Arial" w:cs="Arial" w:eastAsia="Arial" w:hAnsi="Arial"/>
          <w:sz w:val="18"/>
          <w:szCs w:val="18"/>
          <w:color w:val="auto"/>
        </w:rPr>
      </w:pPr>
    </w:p>
    <w:p>
      <w:pPr>
        <w:jc w:val="both"/>
        <w:ind w:firstLine="443"/>
        <w:spacing w:after="0" w:line="256" w:lineRule="auto"/>
        <w:tabs>
          <w:tab w:leader="none" w:pos="762"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shall not be a Lender, shall deliver to the Administrative Agent an Administrative Questionnaire.</w:t>
      </w:r>
    </w:p>
    <w:p>
      <w:pPr>
        <w:spacing w:after="0" w:line="116" w:lineRule="exact"/>
        <w:rPr>
          <w:rFonts w:ascii="Arial" w:cs="Arial" w:eastAsia="Arial" w:hAnsi="Arial"/>
          <w:sz w:val="18"/>
          <w:szCs w:val="18"/>
          <w:color w:val="auto"/>
        </w:rPr>
      </w:pPr>
    </w:p>
    <w:p>
      <w:pPr>
        <w:ind w:left="700" w:hanging="257"/>
        <w:spacing w:after="0"/>
        <w:tabs>
          <w:tab w:leader="none" w:pos="700"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to (A) the Company or any of the Company’s Affiliates or Subsidiaries,</w:t>
      </w:r>
    </w:p>
    <w:p>
      <w:pPr>
        <w:spacing w:after="0" w:line="38" w:lineRule="exact"/>
        <w:rPr>
          <w:rFonts w:ascii="Arial" w:cs="Arial" w:eastAsia="Arial" w:hAnsi="Arial"/>
          <w:sz w:val="16"/>
          <w:szCs w:val="16"/>
          <w:color w:val="auto"/>
        </w:rPr>
      </w:pPr>
    </w:p>
    <w:p>
      <w:pPr>
        <w:ind w:firstLine="4"/>
        <w:spacing w:after="0" w:line="261" w:lineRule="auto"/>
        <w:tabs>
          <w:tab w:leader="none" w:pos="2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Defaulting Lender or any of its Subsidiaries, or any Person who, upon becoming a Lender hereunder, would constitute any of the foregoing Persons described in this clause (B), or (C) a natural Person.</w:t>
      </w:r>
    </w:p>
    <w:p>
      <w:pPr>
        <w:spacing w:after="0" w:line="110" w:lineRule="exact"/>
        <w:rPr>
          <w:rFonts w:ascii="Arial" w:cs="Arial" w:eastAsia="Arial" w:hAnsi="Arial"/>
          <w:sz w:val="18"/>
          <w:szCs w:val="18"/>
          <w:color w:val="auto"/>
        </w:rPr>
      </w:pPr>
    </w:p>
    <w:p>
      <w:pPr>
        <w:jc w:val="both"/>
        <w:ind w:firstLine="443"/>
        <w:spacing w:after="0" w:line="290" w:lineRule="auto"/>
        <w:tabs>
          <w:tab w:leader="none" w:pos="762"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60"/>
          </w:cols>
          <w:pgMar w:left="700" w:top="280" w:right="239" w:bottom="1440" w:gutter="0" w:footer="0" w:header="0"/>
        </w:sectPr>
      </w:pPr>
    </w:p>
    <w:bookmarkStart w:id="106" w:name="page107"/>
    <w:bookmarkEnd w:id="106"/>
    <w:p>
      <w:pPr>
        <w:jc w:val="both"/>
        <w:ind w:left="4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16" w:lineRule="exact"/>
        <w:rPr>
          <w:sz w:val="20"/>
          <w:szCs w:val="20"/>
          <w:color w:val="auto"/>
        </w:rPr>
      </w:pPr>
    </w:p>
    <w:p>
      <w:pPr>
        <w:jc w:val="both"/>
        <w:ind w:left="460" w:firstLine="443"/>
        <w:spacing w:after="0" w:line="259" w:lineRule="auto"/>
        <w:tabs>
          <w:tab w:leader="none" w:pos="124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 Assignment Resulting in Additional Indemnified Taxes</w:t>
      </w:r>
      <w:r>
        <w:rPr>
          <w:rFonts w:ascii="Arial" w:cs="Arial" w:eastAsia="Arial" w:hAnsi="Arial"/>
          <w:sz w:val="18"/>
          <w:szCs w:val="18"/>
          <w:color w:val="auto"/>
        </w:rPr>
        <w:t xml:space="preserve">. No such assignment shall be made to any Person that, through its Lending Offices, is not capable of lending the applicable Alternative Currencies to the relevant Borrowers without the imposition of any additional Taxes for which the Loan Parties are required to indemnify the Administrative Agent and the Lenders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1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5"/>
          <w:szCs w:val="15"/>
          <w:u w:val="single" w:color="auto"/>
          <w:color w:val="auto"/>
        </w:rPr>
        <w:t>Sections 3.01</w:t>
      </w:r>
      <w:r>
        <w:rPr>
          <w:rFonts w:ascii="Arial" w:cs="Arial" w:eastAsia="Arial" w:hAnsi="Arial"/>
          <w:sz w:val="15"/>
          <w:szCs w:val="15"/>
          <w:color w:val="auto"/>
        </w:rPr>
        <w:t xml:space="preserve">, </w:t>
      </w:r>
      <w:r>
        <w:rPr>
          <w:rFonts w:ascii="Arial" w:cs="Arial" w:eastAsia="Arial" w:hAnsi="Arial"/>
          <w:sz w:val="15"/>
          <w:szCs w:val="15"/>
          <w:u w:val="single" w:color="auto"/>
          <w:color w:val="auto"/>
        </w:rPr>
        <w:t>3.04</w:t>
      </w:r>
      <w:r>
        <w:rPr>
          <w:rFonts w:ascii="Arial" w:cs="Arial" w:eastAsia="Arial" w:hAnsi="Arial"/>
          <w:sz w:val="15"/>
          <w:szCs w:val="15"/>
          <w:color w:val="auto"/>
        </w:rPr>
        <w:t xml:space="preserve">, </w:t>
      </w:r>
      <w:r>
        <w:rPr>
          <w:rFonts w:ascii="Arial" w:cs="Arial" w:eastAsia="Arial" w:hAnsi="Arial"/>
          <w:sz w:val="15"/>
          <w:szCs w:val="15"/>
          <w:u w:val="single" w:color="auto"/>
          <w:color w:val="auto"/>
        </w:rPr>
        <w:t>3.05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11.04</w:t>
      </w:r>
      <w:r>
        <w:rPr>
          <w:rFonts w:ascii="Arial" w:cs="Arial" w:eastAsia="Arial" w:hAnsi="Arial"/>
          <w:sz w:val="15"/>
          <w:szCs w:val="15"/>
          <w:color w:val="auto"/>
        </w:rPr>
        <w:t xml:space="preserve"> with respect to facts and circumstances occurring prior to the effective date of such assignment); </w:t>
      </w:r>
      <w:r>
        <w:rPr>
          <w:rFonts w:ascii="Arial" w:cs="Arial" w:eastAsia="Arial" w:hAnsi="Arial"/>
          <w:sz w:val="15"/>
          <w:szCs w:val="15"/>
          <w:u w:val="single" w:color="auto"/>
          <w:color w:val="auto"/>
        </w:rPr>
        <w:t>provided</w:t>
      </w:r>
      <w:r>
        <w:rPr>
          <w:rFonts w:ascii="Arial" w:cs="Arial" w:eastAsia="Arial" w:hAnsi="Arial"/>
          <w:sz w:val="15"/>
          <w:szCs w:val="15"/>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Borrowers (at their expense) shall execute and deliver Notes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82" w:lineRule="exact"/>
        <w:rPr>
          <w:sz w:val="20"/>
          <w:szCs w:val="20"/>
          <w:color w:val="auto"/>
        </w:rPr>
      </w:pPr>
    </w:p>
    <w:p>
      <w:pPr>
        <w:jc w:val="both"/>
        <w:ind w:firstLine="464"/>
        <w:spacing w:after="0" w:line="290" w:lineRule="auto"/>
        <w:tabs>
          <w:tab w:leader="none" w:pos="695"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91" w:lineRule="exact"/>
        <w:rPr>
          <w:rFonts w:ascii="Arial" w:cs="Arial" w:eastAsia="Arial" w:hAnsi="Arial"/>
          <w:sz w:val="16"/>
          <w:szCs w:val="16"/>
          <w:color w:val="auto"/>
        </w:rPr>
      </w:pPr>
    </w:p>
    <w:p>
      <w:pPr>
        <w:jc w:val="both"/>
        <w:ind w:firstLine="464"/>
        <w:spacing w:after="0" w:line="289" w:lineRule="auto"/>
        <w:tabs>
          <w:tab w:leader="none" w:pos="705"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Borrowers or the Administrative Agent, sell participations to any Person (other than a natural Person, a Defaulting Lender or the Borrowers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6"/>
          <w:szCs w:val="16"/>
          <w:u w:val="single" w:color="auto"/>
          <w:color w:val="auto"/>
        </w:rPr>
        <w:t>Section 11.04(c)</w:t>
      </w:r>
      <w:r>
        <w:rPr>
          <w:rFonts w:ascii="Arial" w:cs="Arial" w:eastAsia="Arial" w:hAnsi="Arial"/>
          <w:sz w:val="16"/>
          <w:szCs w:val="16"/>
          <w:color w:val="auto"/>
        </w:rPr>
        <w:t xml:space="preserve"> without regard to the existence of any participation.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0" w:right="239" w:bottom="1440" w:gutter="0" w:footer="0" w:header="0"/>
        </w:sectPr>
      </w:pPr>
    </w:p>
    <w:bookmarkStart w:id="107" w:name="page108"/>
    <w:bookmarkEnd w:id="107"/>
    <w:p>
      <w:pPr>
        <w:jc w:val="both"/>
        <w:ind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6"/>
          <w:szCs w:val="16"/>
          <w:u w:val="single" w:color="auto"/>
          <w:color w:val="auto"/>
        </w:rPr>
        <w:t>Section 11.01(a)</w:t>
      </w:r>
      <w:r>
        <w:rPr>
          <w:rFonts w:ascii="Arial" w:cs="Arial" w:eastAsia="Arial" w:hAnsi="Arial"/>
          <w:sz w:val="16"/>
          <w:szCs w:val="16"/>
          <w:color w:val="auto"/>
        </w:rPr>
        <w:t xml:space="preserve"> that directly affects such Participant. The Borrowers agree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subsection (b) of this Section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11.14</w:t>
      </w:r>
      <w:r>
        <w:rPr>
          <w:rFonts w:ascii="Arial" w:cs="Arial" w:eastAsia="Arial" w:hAnsi="Arial"/>
          <w:sz w:val="16"/>
          <w:szCs w:val="16"/>
          <w:color w:val="auto"/>
        </w:rPr>
        <w:t xml:space="preserve"> as if it were an assignee under paragraph (b) of this Section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w:t>
      </w:r>
    </w:p>
    <w:p>
      <w:pPr>
        <w:jc w:val="both"/>
        <w:spacing w:after="0" w:line="285" w:lineRule="auto"/>
        <w:rPr>
          <w:sz w:val="20"/>
          <w:szCs w:val="20"/>
          <w:color w:val="auto"/>
        </w:rPr>
      </w:pP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95" w:lineRule="exact"/>
        <w:rPr>
          <w:sz w:val="20"/>
          <w:szCs w:val="20"/>
          <w:color w:val="auto"/>
        </w:rPr>
      </w:pPr>
    </w:p>
    <w:p>
      <w:pPr>
        <w:jc w:val="both"/>
        <w:ind w:firstLine="464"/>
        <w:spacing w:after="0" w:line="256" w:lineRule="auto"/>
        <w:tabs>
          <w:tab w:leader="none" w:pos="709"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16" w:lineRule="exact"/>
        <w:rPr>
          <w:rFonts w:ascii="Arial" w:cs="Arial" w:eastAsia="Arial" w:hAnsi="Arial"/>
          <w:sz w:val="18"/>
          <w:szCs w:val="18"/>
          <w:color w:val="auto"/>
        </w:rPr>
      </w:pPr>
    </w:p>
    <w:p>
      <w:pPr>
        <w:jc w:val="both"/>
        <w:ind w:firstLine="464"/>
        <w:spacing w:after="0" w:line="254" w:lineRule="auto"/>
        <w:tabs>
          <w:tab w:leader="none" w:pos="676"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 Line Lender after Assignment</w:t>
      </w:r>
      <w:r>
        <w:rPr>
          <w:rFonts w:ascii="Arial" w:cs="Arial" w:eastAsia="Arial" w:hAnsi="Arial"/>
          <w:sz w:val="18"/>
          <w:szCs w:val="18"/>
          <w:color w:val="auto"/>
        </w:rPr>
        <w:t xml:space="preserve">. Notwithstanding anything to the contrary contained herein, if at any time Bank of America assigns all of its Commitment and Loans pursuant to subsection (b) above, Bank of America may, (i) upon thirty days’ notice to the Company and the Lenders, resign as L/C Issuer and/or (ii) upon thirty days’ notice to the Company, resign as Swing Line Lender. In the event of any such resignation as L/C Issuer or Swing Line Lender, the Company shall be entitled to appoint from among the Lenders a successor L/C Issuer or Swing 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failure by the Company to appoint any such successor shall affect the resignation of Bank of America as L/C Issuer or Swing Line Lender, as the case may be. If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80" w:right="239" w:bottom="1440" w:gutter="0" w:footer="0" w:header="0"/>
        </w:sectPr>
      </w:pPr>
    </w:p>
    <w:bookmarkStart w:id="108" w:name="page109"/>
    <w:bookmarkEnd w:id="108"/>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 xml:space="preserve">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Lender, as applicable, will, to the extent practical, use reasonable efforts to notify the Company prior to such disclosure,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or (ii) any actual or prospective party (or its Related Parties) to any swap derivative or other transaction under which payments are to be made by reference to the Loan Parties and their obligations, this Agreement or payments hereunder, (g) on a confidential basis to (i) any rating agency in connection with rating any Loan Party or its Subsidiaries or the credit facility provided hereunder or (ii) the CUSIP Service Bureau or any similar agency in connection with the issuance and monitoring of CUSIP numbers or other market identifiers with respect to the credit facility provided hereunder, (h)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Loan Parties or (i) with the consent of the Company. 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80" w:right="239" w:bottom="1440" w:gutter="0" w:footer="0" w:header="0"/>
        </w:sectPr>
      </w:pPr>
    </w:p>
    <w:bookmarkStart w:id="109" w:name="page110"/>
    <w:bookmarkEnd w:id="109"/>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Set-off</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 xml:space="preserve">If an Event of Default shall have occurred and be continuing, each Lender, the L/C Issuer and each of their respective 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or office or Affiliate of such Lender or the L/C Issuer different from the branch or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set-off shall be paid over immediately to the Administrative Agent for further application in accordance with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Interest Rate Limitation.</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Agreement may be executed in one or more counterparts (and by different parties hereto in different counterparts), each of which shall be deemed an original, but all of which together shall constitute one and the same instrument. Delivery of an executed counterpart of a signature page of this Agreement by facsimile or other electronic imaging means (e.g., “pdf” or “tif”) shall be effective as delivery of a manually executed counterpart of this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80"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11.11 </w:t>
      </w:r>
      <w:r>
        <w:rPr>
          <w:rFonts w:ascii="Arial" w:cs="Arial" w:eastAsia="Arial" w:hAnsi="Arial"/>
          <w:sz w:val="18"/>
          <w:szCs w:val="18"/>
          <w:u w:val="single" w:color="auto"/>
          <w:color w:val="auto"/>
        </w:rPr>
        <w:t>Integration; Effectiveness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1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5.01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6"/>
          <w:szCs w:val="16"/>
          <w:u w:val="single" w:color="auto"/>
          <w:color w:val="auto"/>
        </w:rPr>
        <w:t>Section 11.13</w:t>
      </w:r>
      <w:r>
        <w:rPr>
          <w:rFonts w:ascii="Arial" w:cs="Arial" w:eastAsia="Arial" w:hAnsi="Arial"/>
          <w:sz w:val="16"/>
          <w:szCs w:val="16"/>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If the Company is entitled to replace a Lender pursuant to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or if any Lender is a 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80" w:right="239" w:bottom="1440" w:gutter="0" w:footer="0" w:header="0"/>
        </w:sectPr>
      </w:pPr>
    </w:p>
    <w:bookmarkStart w:id="111" w:name="page112"/>
    <w:bookmarkEnd w:id="111"/>
    <w:p>
      <w:pPr>
        <w:ind w:left="1120" w:hanging="217"/>
        <w:spacing w:after="0"/>
        <w:tabs>
          <w:tab w:leader="none" w:pos="11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shall have paid (or caused to be paid) to the Administrative Agent the assignment fee (if any) specified in </w:t>
      </w:r>
      <w:r>
        <w:rPr>
          <w:rFonts w:ascii="Arial" w:cs="Arial" w:eastAsia="Arial" w:hAnsi="Arial"/>
          <w:sz w:val="16"/>
          <w:szCs w:val="16"/>
          <w:u w:val="single" w:color="auto"/>
          <w:color w:val="auto"/>
        </w:rPr>
        <w:t>Section 11.06(b)</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460" w:firstLine="443"/>
        <w:spacing w:after="0" w:line="335" w:lineRule="auto"/>
        <w:tabs>
          <w:tab w:leader="none" w:pos="1182" w:val="left"/>
        </w:tabs>
        <w:numPr>
          <w:ilvl w:val="0"/>
          <w:numId w:val="141"/>
        </w:numPr>
        <w:rPr>
          <w:rFonts w:ascii="Arial" w:cs="Arial" w:eastAsia="Arial" w:hAnsi="Arial"/>
          <w:sz w:val="15"/>
          <w:szCs w:val="15"/>
          <w:color w:val="auto"/>
        </w:rPr>
      </w:pPr>
      <w:r>
        <w:rPr>
          <w:rFonts w:ascii="Arial" w:cs="Arial" w:eastAsia="Arial" w:hAnsi="Arial"/>
          <w:sz w:val="15"/>
          <w:szCs w:val="15"/>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5"/>
          <w:szCs w:val="15"/>
          <w:u w:val="single" w:color="auto"/>
          <w:color w:val="auto"/>
        </w:rPr>
        <w:t>Section 3.05</w:t>
      </w:r>
      <w:r>
        <w:rPr>
          <w:rFonts w:ascii="Arial" w:cs="Arial" w:eastAsia="Arial" w:hAnsi="Arial"/>
          <w:sz w:val="15"/>
          <w:szCs w:val="15"/>
          <w:color w:val="auto"/>
        </w:rPr>
        <w:t>) from the assignee (to the extent of such outstanding principal and accrued interest and fees) or the applicable Borrower(s) (in the case of all other amounts);</w:t>
      </w:r>
    </w:p>
    <w:p>
      <w:pPr>
        <w:spacing w:after="0" w:line="61" w:lineRule="exact"/>
        <w:rPr>
          <w:rFonts w:ascii="Arial" w:cs="Arial" w:eastAsia="Arial" w:hAnsi="Arial"/>
          <w:sz w:val="15"/>
          <w:szCs w:val="15"/>
          <w:color w:val="auto"/>
        </w:rPr>
      </w:pPr>
    </w:p>
    <w:p>
      <w:pPr>
        <w:ind w:left="460" w:firstLine="443"/>
        <w:spacing w:after="0" w:line="268" w:lineRule="auto"/>
        <w:tabs>
          <w:tab w:leader="none" w:pos="122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04" w:lineRule="exact"/>
        <w:rPr>
          <w:rFonts w:ascii="Arial" w:cs="Arial" w:eastAsia="Arial" w:hAnsi="Arial"/>
          <w:sz w:val="18"/>
          <w:szCs w:val="18"/>
          <w:color w:val="auto"/>
        </w:rPr>
      </w:pPr>
    </w:p>
    <w:p>
      <w:pPr>
        <w:ind w:left="1200" w:hanging="297"/>
        <w:spacing w:after="0"/>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44" w:lineRule="exact"/>
        <w:rPr>
          <w:rFonts w:ascii="Arial" w:cs="Arial" w:eastAsia="Arial" w:hAnsi="Arial"/>
          <w:sz w:val="18"/>
          <w:szCs w:val="18"/>
          <w:color w:val="auto"/>
        </w:rPr>
      </w:pPr>
    </w:p>
    <w:p>
      <w:pPr>
        <w:jc w:val="both"/>
        <w:ind w:left="460" w:firstLine="443"/>
        <w:spacing w:after="0" w:line="294" w:lineRule="auto"/>
        <w:tabs>
          <w:tab w:leader="none" w:pos="115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in the case of any such assignment resulting from a Lender becoming a Non-Consenting Lender, the applicable assignee shall have consented to the applicable amendment, waiver or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shall nevertheless be effective without the execution by such Non-Consenting Lender of an Assignment and Assumption.</w:t>
      </w:r>
    </w:p>
    <w:p>
      <w:pPr>
        <w:spacing w:after="0" w:line="8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44" w:lineRule="exact"/>
        <w:rPr>
          <w:sz w:val="20"/>
          <w:szCs w:val="20"/>
          <w:color w:val="auto"/>
        </w:rPr>
      </w:pPr>
    </w:p>
    <w:p>
      <w:pPr>
        <w:jc w:val="both"/>
        <w:ind w:firstLine="464"/>
        <w:spacing w:after="0" w:line="259" w:lineRule="auto"/>
        <w:tabs>
          <w:tab w:leader="none" w:pos="7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THIS AGREEMENT SHALL BE GOVERNED BY, AND CONSTRUED IN ACCORDANCE WITH, THE LAW OF THE STATE OF ILLINOIS APPLICABLE TO AGREEMENTS MADE AND TO BE PERFORMED ENTIRELY WITHIN SUCH STATE;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AND EACH LENDER SHALL RETAIN ALL RIGHTS ARISING UNDER FEDERAL LAW.</w:t>
      </w:r>
    </w:p>
    <w:p>
      <w:pPr>
        <w:spacing w:after="0" w:line="113" w:lineRule="exact"/>
        <w:rPr>
          <w:rFonts w:ascii="Arial" w:cs="Arial" w:eastAsia="Arial" w:hAnsi="Arial"/>
          <w:sz w:val="18"/>
          <w:szCs w:val="18"/>
          <w:color w:val="auto"/>
        </w:rPr>
      </w:pPr>
    </w:p>
    <w:p>
      <w:pPr>
        <w:jc w:val="both"/>
        <w:ind w:firstLine="464"/>
        <w:spacing w:after="0" w:line="252" w:lineRule="auto"/>
        <w:tabs>
          <w:tab w:leader="none" w:pos="7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ANY LEGAL ACTION OR PROCEEDING WITH RESPECT TO THIS AGREEMENT OR ANY OTHER LOAN DOCUMENT MAY BE BROUGHT IN THE COURTS OF THE STATE OF ILLINOIS SITTING IN CHICAGO, ILLINOIS OR OF THE UNITED STATES FOR THE NORTHERN DISTRICT OF ILLINOIS (EASTERN DIVISION), AND BY EXECUTION AND DELIVERY OF THIS AGREEMENT, EACH PARTY HERETO CONSENTS, FOR ITSELF AND IN RESPECT OF ITS PROPERTY, TO THE NON-EXCLUSIVE JURISDICTION OF THOSE COURTS. EACH PARTY HERETO IRREVOCABLY WAIVES ANY OBJECTION, INCLUDING ANY OBJECTION TO THE 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WHICH IT MAY NOW OR HEREAFTER HAVE TO THE BRINGING OF ANY ACTION OR PROCEEDING IN SUCH JURISDICTION IN RESPECT OF ANY LOAN DOCUMENT OR OTHER DOCUMENT RELATED THERETO. EACH PARTY HERETO WAIVES PERSONAL SERVICE OF ANY SUMMONS, COMPLAINT OR OTHER PROCESS, WHICH MAY BE MADE BY ANY OTHER MEANS PERMITTED BY THE LAW OF SUCH STATE.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11.16 </w:t>
      </w:r>
      <w:r>
        <w:rPr>
          <w:rFonts w:ascii="Arial" w:cs="Arial" w:eastAsia="Arial" w:hAnsi="Arial"/>
          <w:sz w:val="18"/>
          <w:szCs w:val="18"/>
          <w:u w:val="single" w:color="auto"/>
          <w:color w:val="auto"/>
        </w:rPr>
        <w:t>Waiver of Right to Trial by Jury</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Each Lender that is subject to the Act (as hereinafter defined) and the Administrative Agent (for itself and not on behalf of any 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any such sum due from them to the Administrative Agent or the Lenders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80"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11.19 </w:t>
      </w:r>
      <w:r>
        <w:rPr>
          <w:rFonts w:ascii="Arial" w:cs="Arial" w:eastAsia="Arial" w:hAnsi="Arial"/>
          <w:sz w:val="18"/>
          <w:szCs w:val="18"/>
          <w:u w:val="single" w:color="auto"/>
          <w:color w:val="auto"/>
        </w:rPr>
        <w:t>Concerning Joint and Several Liability of the Domestic Borrowers</w:t>
      </w:r>
      <w:r>
        <w:rPr>
          <w:rFonts w:ascii="Arial" w:cs="Arial" w:eastAsia="Arial" w:hAnsi="Arial"/>
          <w:sz w:val="18"/>
          <w:szCs w:val="18"/>
          <w:color w:val="auto"/>
        </w:rPr>
        <w:t>.</w:t>
      </w:r>
    </w:p>
    <w:p>
      <w:pPr>
        <w:spacing w:after="0" w:line="144" w:lineRule="exact"/>
        <w:rPr>
          <w:sz w:val="20"/>
          <w:szCs w:val="20"/>
          <w:color w:val="auto"/>
        </w:rPr>
      </w:pPr>
    </w:p>
    <w:p>
      <w:pPr>
        <w:jc w:val="both"/>
        <w:ind w:firstLine="464"/>
        <w:spacing w:after="0" w:line="306" w:lineRule="auto"/>
        <w:tabs>
          <w:tab w:leader="none" w:pos="69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Each Domestic Borrower is accepting joint and several liability under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in consideration of the financial accommodation to be provided by the Lenders under this Agreement, for the mutual benefit, directly and indirectly, of each Domestic Borrower and in consideration of the undertakings of each Domestic Borrower to accept joint and several liability for the Obligations of each of the other Domestic Borrowers.</w:t>
      </w:r>
    </w:p>
    <w:p>
      <w:pPr>
        <w:spacing w:after="0" w:line="79" w:lineRule="exact"/>
        <w:rPr>
          <w:rFonts w:ascii="Arial" w:cs="Arial" w:eastAsia="Arial" w:hAnsi="Arial"/>
          <w:sz w:val="16"/>
          <w:szCs w:val="16"/>
          <w:color w:val="auto"/>
        </w:rPr>
      </w:pPr>
    </w:p>
    <w:p>
      <w:pPr>
        <w:jc w:val="both"/>
        <w:ind w:firstLine="464"/>
        <w:spacing w:after="0" w:line="256" w:lineRule="auto"/>
        <w:tabs>
          <w:tab w:leader="none" w:pos="71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Domestic Borrower jointly and severally hereby irrevocably and unconditionally accepts, not merely as a surety but also as a co-debtor, joint and several liability with the other Domestic Borrowers with respect to the payment and performance of all of the Obligations arising under this Agreement and the other Loan Documents, it being the intention of the parties hereto that all the Obligations shall be the joint and several obligations of each of the Domestic Borrowers without preferences or distinction among them.</w:t>
      </w:r>
    </w:p>
    <w:p>
      <w:pPr>
        <w:spacing w:after="0" w:line="116" w:lineRule="exact"/>
        <w:rPr>
          <w:rFonts w:ascii="Arial" w:cs="Arial" w:eastAsia="Arial" w:hAnsi="Arial"/>
          <w:sz w:val="18"/>
          <w:szCs w:val="18"/>
          <w:color w:val="auto"/>
        </w:rPr>
      </w:pPr>
    </w:p>
    <w:p>
      <w:pPr>
        <w:jc w:val="both"/>
        <w:ind w:firstLine="464"/>
        <w:spacing w:after="0" w:line="259" w:lineRule="auto"/>
        <w:tabs>
          <w:tab w:leader="none" w:pos="70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and to the extent that a Domestic Borrower shall fail to make any payment with respect to any of the Obligations hereunder as and when due or to perform any of such obligations in accordance with the terms thereof, then in each such event, the other Domestic Borrowers will make such payment with respect to, or perform, such obligation.</w:t>
      </w:r>
    </w:p>
    <w:p>
      <w:pPr>
        <w:spacing w:after="0" w:line="113" w:lineRule="exact"/>
        <w:rPr>
          <w:rFonts w:ascii="Arial" w:cs="Arial" w:eastAsia="Arial" w:hAnsi="Arial"/>
          <w:sz w:val="18"/>
          <w:szCs w:val="18"/>
          <w:color w:val="auto"/>
        </w:rPr>
      </w:pPr>
    </w:p>
    <w:p>
      <w:pPr>
        <w:jc w:val="both"/>
        <w:ind w:firstLine="464"/>
        <w:spacing w:after="0" w:line="259" w:lineRule="auto"/>
        <w:tabs>
          <w:tab w:leader="none" w:pos="71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obligations of each Domestic Borrower under the provisions of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constitute full recourse obligations of such Domestic Borrower, enforceable against it to the full extent of its properties and assets, irrespective of the validity, regularity or enforceability of this Agreement or any other circumstances whatsoever.</w:t>
      </w:r>
    </w:p>
    <w:p>
      <w:pPr>
        <w:spacing w:after="0" w:line="113" w:lineRule="exact"/>
        <w:rPr>
          <w:rFonts w:ascii="Arial" w:cs="Arial" w:eastAsia="Arial" w:hAnsi="Arial"/>
          <w:sz w:val="18"/>
          <w:szCs w:val="18"/>
          <w:color w:val="auto"/>
        </w:rPr>
      </w:pPr>
    </w:p>
    <w:p>
      <w:pPr>
        <w:jc w:val="both"/>
        <w:ind w:firstLine="464"/>
        <w:spacing w:after="0" w:line="284" w:lineRule="auto"/>
        <w:tabs>
          <w:tab w:leader="none" w:pos="70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each Domestic Borrower hereby waives notice of acceptance of its joint and several liability, notice of occurrence of any Default (except to the extent notice is expressly required to be given pursuant to the terms of this Agreement), or of any demand for any payment under this Agreement, notice of any action at any time taken or omitted by the Administrative Agent or the Lenders under or in respect of any of the Obligations hereunder, any requirement of diligence and, generally, all demands, notices and other formalities of every kind in connection with this Agreement (other than, in each case, any notice any Domestic Borrower has the express right to receive under the Loan Documents). Each Domestic Borrower hereby assents to, and waives notice of, any extension or postponement of the time for the payment of any of the Obligations hereunder of the Domestic Borrowers, the acceptance of any partial payment thereon, any waiver, consent or other action or acquiescence by the Lenders at any time or times in respect of any default by any other Domestic Borrower in the performance or satisfaction of any term, covenant, condition or provision of this Agreement, any and all other indulgences whatsoever by the Lenders in respect of any of the Obligations hereunder of the other Domestic Borrowers, and the taking, addition, substitution or release, in whole or in part, at any time or times, of any security for any of such Obligations or the addition, substitution or release, in whole or in part, of any other Domestic Borrower. Without limiting the generality of the foregoing, each Domestic Borrower assents to any other action or delay in acting or any failure to act without the other Borrowers on the part of the Administrative Agent or the Lenders,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afford grounds for terminating, discharging or relieving such Domestic Borrower, in whole or in part, from any of its obligations under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it being the intention of each Domestic Borrower that, so long as any of the Obligations hereunder of the other Domestic Borrowers remain unsatisfied, the obligations of such Domestic Borrower under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shall not be discharged except by performance and then only to the extent of such performance. The obligations of each Domestic Borrower under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shall not be diminished or rendered unenforceable by any winding up, reorganization, arrangement, liquidation, reconstruction or similar proceeding with respect to any reconstruction or similar proceeding with respect to any Loan Party or the Lenders.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0" w:right="239" w:bottom="1440" w:gutter="0" w:footer="0" w:header="0"/>
        </w:sectPr>
      </w:pPr>
    </w:p>
    <w:bookmarkStart w:id="114" w:name="page115"/>
    <w:bookmarkEnd w:id="114"/>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joint and several liability of the Domestic Borrowers under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shall continue in full force and effect notwithstanding any absorption, merger, amalgamation or any other change whatsoever in the name, membership, constitution or place of formation of any Loan Party or the Lenders.</w:t>
      </w:r>
    </w:p>
    <w:p>
      <w:pPr>
        <w:spacing w:after="0" w:line="58" w:lineRule="exact"/>
        <w:rPr>
          <w:sz w:val="20"/>
          <w:szCs w:val="20"/>
          <w:color w:val="auto"/>
        </w:rPr>
      </w:pPr>
    </w:p>
    <w:p>
      <w:pPr>
        <w:jc w:val="both"/>
        <w:ind w:firstLine="464"/>
        <w:spacing w:after="0" w:line="289" w:lineRule="auto"/>
        <w:tabs>
          <w:tab w:leader="none" w:pos="68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are made for the benefit of the Administrative Agent and the Lenders and their respective successors and assigns, and may be enforced by any such Person from time to time against any of the Domestic Borrowers as often as occasion therefore may arise and without requirement on the part of any Lender first to marshal any of its claims or to exercise any of its rights against any other Loan Party or to exhaust any remedies available to it against any other Loan Party or to resort to any other source or means of obtaining payment of any of the Obligations or to elect any other remedy. The provisions of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shall remain in effect until all the Obligations hereunder shall have been paid in full or otherwise fully satisfied. If at any time, any payment, or any part thereof, made in respect of any of the Obligations, is rescinded or must otherwise be restored or returned by the Lenders upon the insolvency, bankruptcy or reorganization of any of the Loan Parties, or otherwise, the provisions of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will forthwith be reinstated and in effect as though such payment had not been made.</w:t>
      </w:r>
    </w:p>
    <w:p>
      <w:pPr>
        <w:spacing w:after="0" w:line="91" w:lineRule="exact"/>
        <w:rPr>
          <w:rFonts w:ascii="Arial" w:cs="Arial" w:eastAsia="Arial" w:hAnsi="Arial"/>
          <w:sz w:val="16"/>
          <w:szCs w:val="16"/>
          <w:color w:val="auto"/>
        </w:rPr>
      </w:pPr>
    </w:p>
    <w:p>
      <w:pPr>
        <w:jc w:val="both"/>
        <w:ind w:firstLine="464"/>
        <w:spacing w:after="0" w:line="256" w:lineRule="auto"/>
        <w:tabs>
          <w:tab w:leader="none" w:pos="74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Notwithstanding any provision to the contrary contained herein or in any other of the Loan Documents or Hedging Agreements or Treasury Management Agreements, the obligations of each Domestic Borrower under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shall be limited to an aggregate amount equal to the largest amount that would not render its obligations hereunder subject to avoidance under Section 548 of the Bankruptcy Code of the United States or any comparable provisions of any applicable Debtor Relief Law.</w:t>
      </w:r>
    </w:p>
    <w:p>
      <w:pPr>
        <w:spacing w:after="0" w:line="116" w:lineRule="exact"/>
        <w:rPr>
          <w:rFonts w:ascii="Arial" w:cs="Arial" w:eastAsia="Arial" w:hAnsi="Arial"/>
          <w:sz w:val="18"/>
          <w:szCs w:val="18"/>
          <w:color w:val="auto"/>
        </w:rPr>
      </w:pPr>
    </w:p>
    <w:p>
      <w:pPr>
        <w:jc w:val="both"/>
        <w:ind w:firstLine="464"/>
        <w:spacing w:after="0" w:line="259" w:lineRule="auto"/>
        <w:tabs>
          <w:tab w:leader="none" w:pos="71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For purposes of clarification with respect to the Designated Borrowers that are Foreign Subsidiaries, (i) the Obligations of such Designated Borrowers are several and not joint and several and (ii)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the Company and the other Domestic Borrowers shall guarantee the Obligations of such Designated Borrowers.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u w:val="single" w:color="auto"/>
          <w:color w:val="auto"/>
        </w:rPr>
        <w:t>Subordination of Intercompany Debt</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Each Loan Party agrees that all intercompany Debt among Loan Parties (the “</w:t>
      </w:r>
      <w:r>
        <w:rPr>
          <w:rFonts w:ascii="Arial" w:cs="Arial" w:eastAsia="Arial" w:hAnsi="Arial"/>
          <w:sz w:val="16"/>
          <w:szCs w:val="16"/>
          <w:u w:val="single" w:color="auto"/>
          <w:color w:val="auto"/>
        </w:rPr>
        <w:t>Intercompany Debt</w:t>
      </w:r>
      <w:r>
        <w:rPr>
          <w:rFonts w:ascii="Arial" w:cs="Arial" w:eastAsia="Arial" w:hAnsi="Arial"/>
          <w:sz w:val="16"/>
          <w:szCs w:val="16"/>
          <w:color w:val="auto"/>
        </w:rPr>
        <w:t xml:space="preserve">”) is subordinated in right of payment, to the prior payment in full of all Obligations (other than contingent obligations not yet due and payable). Notwithstanding any provision of this Agreement to the contrary, provided that no Event of Default has occurred and is continuing, Loan Parties may make and receive payments with respect to the Intercompany Debt to the extent otherwise permitted by this Agreement; provided, that in the event of and during the continuation of any Event of Default, no payment shall be made by or on behalf of any Loan Party on account of any Intercompany Debt. In the event that any Loan Party receives any payment of any Intercompany Debt at a time when such payment is prohibited by this </w:t>
      </w:r>
      <w:r>
        <w:rPr>
          <w:rFonts w:ascii="Arial" w:cs="Arial" w:eastAsia="Arial" w:hAnsi="Arial"/>
          <w:sz w:val="16"/>
          <w:szCs w:val="16"/>
          <w:u w:val="single" w:color="auto"/>
          <w:color w:val="auto"/>
        </w:rPr>
        <w:t>Section 11.20</w:t>
      </w:r>
      <w:r>
        <w:rPr>
          <w:rFonts w:ascii="Arial" w:cs="Arial" w:eastAsia="Arial" w:hAnsi="Arial"/>
          <w:sz w:val="16"/>
          <w:szCs w:val="16"/>
          <w:color w:val="auto"/>
        </w:rPr>
        <w:t xml:space="preserve"> hereof, such payment shall be held by such Loan Party, in trust for the benefit of, and shall be paid forthwith over and delivered, upon written request, to, the Administrative Agent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and MLPFS and the Lenders are arm’s-length commercial transactions between the Loan Parties and their respective Affiliates, on the one hand, and the Administrative Agent, MLPFS and the Lenders, on the other hand, (B) each of the Loan Parties has consulted its own legal, accounting, regulatory and tax advisors to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115" w:name="page116"/>
    <w:bookmarkEnd w:id="115"/>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it has deemed appropriate, and (C) each of the Loan Parties is capable of evaluating, and understands and accepts, the terms, risks and conditions of the transactions contemplated hereby and by the other Loan Documents; (ii) (A) the Administrative Agent, MLPFS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MLPFS nor any Lender has any obligation to the Loan Parties or any of their respective Affiliates with respect to the transactions contemplated hereby except those obligations expressly set forth herein and in the other Loan Documents; and (iii) the Administrative Agent, MLPFS, the Lenders and their respective Affiliates may be engaged in a broad range of transactions that involve interests that differ from those of the Loan Parties and their respective Affiliates, and neither the Administrative Agent, MLPFS nor any Lender has any obligation to disclose any of such interests to the Loan Parties and their respective Affiliates. To the fullest extent permitted by Law, each of the Loan Parties hereby waives and releases any claims that it may have against the Administrative Agent, MLPFS or any Lender with respect to any breach or alleged breach of agency or fiduciary duty in connection with any aspect of any transaction contemplated hereby.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80" w:right="239"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hereto have caused this Agreement to be duly executed as of the date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BORROWERS:</w:t>
            </w: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BRADY CORPORATION,</w:t>
            </w:r>
          </w:p>
        </w:tc>
      </w:tr>
      <w:tr>
        <w:trPr>
          <w:trHeight w:val="222"/>
        </w:trPr>
        <w:tc>
          <w:tcPr>
            <w:tcW w:w="3340" w:type="dxa"/>
            <w:vAlign w:val="bottom"/>
          </w:tcPr>
          <w:p>
            <w:pPr>
              <w:spacing w:after="0"/>
              <w:rPr>
                <w:sz w:val="19"/>
                <w:szCs w:val="19"/>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a Wisconsin corporation</w:t>
            </w:r>
          </w:p>
        </w:tc>
      </w:tr>
      <w:tr>
        <w:trPr>
          <w:trHeight w:val="405"/>
        </w:trPr>
        <w:tc>
          <w:tcPr>
            <w:tcW w:w="3340" w:type="dxa"/>
            <w:vAlign w:val="bottom"/>
          </w:tcPr>
          <w:p>
            <w:pPr>
              <w:spacing w:after="0"/>
              <w:rPr>
                <w:sz w:val="24"/>
                <w:szCs w:val="24"/>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FRANK M. JAEHNERT</w:t>
            </w:r>
          </w:p>
        </w:tc>
      </w:tr>
      <w:tr>
        <w:trPr>
          <w:trHeight w:val="203"/>
        </w:trPr>
        <w:tc>
          <w:tcPr>
            <w:tcW w:w="3340" w:type="dxa"/>
            <w:vAlign w:val="bottom"/>
          </w:tcPr>
          <w:p>
            <w:pPr>
              <w:spacing w:after="0"/>
              <w:rPr>
                <w:sz w:val="17"/>
                <w:szCs w:val="17"/>
                <w:color w:val="auto"/>
              </w:rPr>
            </w:pPr>
          </w:p>
        </w:tc>
        <w:tc>
          <w:tcPr>
            <w:tcW w:w="2540" w:type="dxa"/>
            <w:vAlign w:val="bottom"/>
          </w:tcPr>
          <w:p>
            <w:pPr>
              <w:ind w:left="2080"/>
              <w:spacing w:after="0" w:line="203" w:lineRule="exact"/>
              <w:rPr>
                <w:sz w:val="20"/>
                <w:szCs w:val="20"/>
                <w:color w:val="auto"/>
              </w:rPr>
            </w:pPr>
            <w:r>
              <w:rPr>
                <w:rFonts w:ascii="Arial" w:cs="Arial" w:eastAsia="Arial" w:hAnsi="Arial"/>
                <w:sz w:val="18"/>
                <w:szCs w:val="18"/>
                <w:color w:val="auto"/>
                <w:w w:val="82"/>
              </w:rPr>
              <w:t>Name:</w:t>
            </w:r>
          </w:p>
        </w:tc>
        <w:tc>
          <w:tcPr>
            <w:tcW w:w="5540" w:type="dxa"/>
            <w:vAlign w:val="bottom"/>
          </w:tcPr>
          <w:p>
            <w:pPr>
              <w:ind w:left="120"/>
              <w:spacing w:after="0" w:line="203" w:lineRule="exact"/>
              <w:rPr>
                <w:sz w:val="20"/>
                <w:szCs w:val="20"/>
                <w:color w:val="auto"/>
              </w:rPr>
            </w:pPr>
            <w:r>
              <w:rPr>
                <w:rFonts w:ascii="Arial" w:cs="Arial" w:eastAsia="Arial" w:hAnsi="Arial"/>
                <w:sz w:val="18"/>
                <w:szCs w:val="18"/>
                <w:color w:val="auto"/>
              </w:rPr>
              <w:t>Frank M. Jaehnert</w:t>
            </w:r>
          </w:p>
        </w:tc>
      </w:tr>
      <w:tr>
        <w:trPr>
          <w:trHeight w:val="222"/>
        </w:trPr>
        <w:tc>
          <w:tcPr>
            <w:tcW w:w="3340" w:type="dxa"/>
            <w:vAlign w:val="bottom"/>
          </w:tcPr>
          <w:p>
            <w:pPr>
              <w:spacing w:after="0"/>
              <w:rPr>
                <w:sz w:val="19"/>
                <w:szCs w:val="19"/>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Title:</w:t>
            </w:r>
          </w:p>
        </w:tc>
        <w:tc>
          <w:tcPr>
            <w:tcW w:w="554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385"/>
        </w:trPr>
        <w:tc>
          <w:tcPr>
            <w:tcW w:w="3340" w:type="dxa"/>
            <w:vAlign w:val="bottom"/>
          </w:tcPr>
          <w:p>
            <w:pPr>
              <w:spacing w:after="0"/>
              <w:rPr>
                <w:sz w:val="24"/>
                <w:szCs w:val="24"/>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BRADY WORLDWIDE, INC.,</w:t>
            </w:r>
          </w:p>
        </w:tc>
      </w:tr>
      <w:tr>
        <w:trPr>
          <w:trHeight w:val="222"/>
        </w:trPr>
        <w:tc>
          <w:tcPr>
            <w:tcW w:w="3340" w:type="dxa"/>
            <w:vAlign w:val="bottom"/>
          </w:tcPr>
          <w:p>
            <w:pPr>
              <w:spacing w:after="0"/>
              <w:rPr>
                <w:sz w:val="19"/>
                <w:szCs w:val="19"/>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a Wisconsin corporation</w:t>
            </w:r>
          </w:p>
        </w:tc>
      </w:tr>
      <w:tr>
        <w:trPr>
          <w:trHeight w:val="405"/>
        </w:trPr>
        <w:tc>
          <w:tcPr>
            <w:tcW w:w="3340" w:type="dxa"/>
            <w:vAlign w:val="bottom"/>
          </w:tcPr>
          <w:p>
            <w:pPr>
              <w:spacing w:after="0"/>
              <w:rPr>
                <w:sz w:val="24"/>
                <w:szCs w:val="24"/>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FRANK M. JAEHNERT</w:t>
            </w:r>
          </w:p>
        </w:tc>
      </w:tr>
      <w:tr>
        <w:trPr>
          <w:trHeight w:val="203"/>
        </w:trPr>
        <w:tc>
          <w:tcPr>
            <w:tcW w:w="3340" w:type="dxa"/>
            <w:vAlign w:val="bottom"/>
          </w:tcPr>
          <w:p>
            <w:pPr>
              <w:spacing w:after="0"/>
              <w:rPr>
                <w:sz w:val="17"/>
                <w:szCs w:val="17"/>
                <w:color w:val="auto"/>
              </w:rPr>
            </w:pPr>
          </w:p>
        </w:tc>
        <w:tc>
          <w:tcPr>
            <w:tcW w:w="2540" w:type="dxa"/>
            <w:vAlign w:val="bottom"/>
          </w:tcPr>
          <w:p>
            <w:pPr>
              <w:ind w:left="2080"/>
              <w:spacing w:after="0" w:line="203" w:lineRule="exact"/>
              <w:rPr>
                <w:sz w:val="20"/>
                <w:szCs w:val="20"/>
                <w:color w:val="auto"/>
              </w:rPr>
            </w:pPr>
            <w:r>
              <w:rPr>
                <w:rFonts w:ascii="Arial" w:cs="Arial" w:eastAsia="Arial" w:hAnsi="Arial"/>
                <w:sz w:val="18"/>
                <w:szCs w:val="18"/>
                <w:color w:val="auto"/>
                <w:w w:val="82"/>
              </w:rPr>
              <w:t>Name:</w:t>
            </w:r>
          </w:p>
        </w:tc>
        <w:tc>
          <w:tcPr>
            <w:tcW w:w="5540" w:type="dxa"/>
            <w:vAlign w:val="bottom"/>
          </w:tcPr>
          <w:p>
            <w:pPr>
              <w:ind w:left="120"/>
              <w:spacing w:after="0" w:line="203" w:lineRule="exact"/>
              <w:rPr>
                <w:sz w:val="20"/>
                <w:szCs w:val="20"/>
                <w:color w:val="auto"/>
              </w:rPr>
            </w:pPr>
            <w:r>
              <w:rPr>
                <w:rFonts w:ascii="Arial" w:cs="Arial" w:eastAsia="Arial" w:hAnsi="Arial"/>
                <w:sz w:val="18"/>
                <w:szCs w:val="18"/>
                <w:color w:val="auto"/>
              </w:rPr>
              <w:t>Frank M. Jaehnert</w:t>
            </w:r>
          </w:p>
        </w:tc>
      </w:tr>
      <w:tr>
        <w:trPr>
          <w:trHeight w:val="222"/>
        </w:trPr>
        <w:tc>
          <w:tcPr>
            <w:tcW w:w="3340" w:type="dxa"/>
            <w:vAlign w:val="bottom"/>
          </w:tcPr>
          <w:p>
            <w:pPr>
              <w:spacing w:after="0"/>
              <w:rPr>
                <w:sz w:val="19"/>
                <w:szCs w:val="19"/>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Title:</w:t>
            </w:r>
          </w:p>
        </w:tc>
        <w:tc>
          <w:tcPr>
            <w:tcW w:w="554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385"/>
        </w:trPr>
        <w:tc>
          <w:tcPr>
            <w:tcW w:w="3340" w:type="dxa"/>
            <w:vAlign w:val="bottom"/>
          </w:tcPr>
          <w:p>
            <w:pPr>
              <w:spacing w:after="0"/>
              <w:rPr>
                <w:sz w:val="24"/>
                <w:szCs w:val="24"/>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TRICOR DIRECT, INC.,</w:t>
            </w:r>
          </w:p>
        </w:tc>
      </w:tr>
      <w:tr>
        <w:trPr>
          <w:trHeight w:val="222"/>
        </w:trPr>
        <w:tc>
          <w:tcPr>
            <w:tcW w:w="3340" w:type="dxa"/>
            <w:vAlign w:val="bottom"/>
          </w:tcPr>
          <w:p>
            <w:pPr>
              <w:spacing w:after="0"/>
              <w:rPr>
                <w:sz w:val="19"/>
                <w:szCs w:val="19"/>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a Delaware corporation</w:t>
            </w:r>
          </w:p>
        </w:tc>
      </w:tr>
      <w:tr>
        <w:trPr>
          <w:trHeight w:val="405"/>
        </w:trPr>
        <w:tc>
          <w:tcPr>
            <w:tcW w:w="3340" w:type="dxa"/>
            <w:vAlign w:val="bottom"/>
          </w:tcPr>
          <w:p>
            <w:pPr>
              <w:spacing w:after="0"/>
              <w:rPr>
                <w:sz w:val="24"/>
                <w:szCs w:val="24"/>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FRANK M. JAEHNERT</w:t>
            </w:r>
          </w:p>
        </w:tc>
      </w:tr>
      <w:tr>
        <w:trPr>
          <w:trHeight w:val="203"/>
        </w:trPr>
        <w:tc>
          <w:tcPr>
            <w:tcW w:w="3340" w:type="dxa"/>
            <w:vAlign w:val="bottom"/>
          </w:tcPr>
          <w:p>
            <w:pPr>
              <w:spacing w:after="0"/>
              <w:rPr>
                <w:sz w:val="17"/>
                <w:szCs w:val="17"/>
                <w:color w:val="auto"/>
              </w:rPr>
            </w:pPr>
          </w:p>
        </w:tc>
        <w:tc>
          <w:tcPr>
            <w:tcW w:w="2540" w:type="dxa"/>
            <w:vAlign w:val="bottom"/>
          </w:tcPr>
          <w:p>
            <w:pPr>
              <w:ind w:left="2080"/>
              <w:spacing w:after="0" w:line="203" w:lineRule="exact"/>
              <w:rPr>
                <w:sz w:val="20"/>
                <w:szCs w:val="20"/>
                <w:color w:val="auto"/>
              </w:rPr>
            </w:pPr>
            <w:r>
              <w:rPr>
                <w:rFonts w:ascii="Arial" w:cs="Arial" w:eastAsia="Arial" w:hAnsi="Arial"/>
                <w:sz w:val="18"/>
                <w:szCs w:val="18"/>
                <w:color w:val="auto"/>
                <w:w w:val="82"/>
              </w:rPr>
              <w:t>Name:</w:t>
            </w:r>
          </w:p>
        </w:tc>
        <w:tc>
          <w:tcPr>
            <w:tcW w:w="5540" w:type="dxa"/>
            <w:vAlign w:val="bottom"/>
          </w:tcPr>
          <w:p>
            <w:pPr>
              <w:ind w:left="120"/>
              <w:spacing w:after="0" w:line="203" w:lineRule="exact"/>
              <w:rPr>
                <w:sz w:val="20"/>
                <w:szCs w:val="20"/>
                <w:color w:val="auto"/>
              </w:rPr>
            </w:pPr>
            <w:r>
              <w:rPr>
                <w:rFonts w:ascii="Arial" w:cs="Arial" w:eastAsia="Arial" w:hAnsi="Arial"/>
                <w:sz w:val="18"/>
                <w:szCs w:val="18"/>
                <w:color w:val="auto"/>
              </w:rPr>
              <w:t>Frank M. Jaehnert</w:t>
            </w:r>
          </w:p>
        </w:tc>
      </w:tr>
      <w:tr>
        <w:trPr>
          <w:trHeight w:val="222"/>
        </w:trPr>
        <w:tc>
          <w:tcPr>
            <w:tcW w:w="3340" w:type="dxa"/>
            <w:vAlign w:val="bottom"/>
          </w:tcPr>
          <w:p>
            <w:pPr>
              <w:spacing w:after="0"/>
              <w:rPr>
                <w:sz w:val="19"/>
                <w:szCs w:val="19"/>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Title:</w:t>
            </w:r>
          </w:p>
        </w:tc>
        <w:tc>
          <w:tcPr>
            <w:tcW w:w="554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385"/>
        </w:trPr>
        <w:tc>
          <w:tcPr>
            <w:tcW w:w="3340" w:type="dxa"/>
            <w:vAlign w:val="bottom"/>
          </w:tcPr>
          <w:p>
            <w:pPr>
              <w:spacing w:after="0"/>
              <w:rPr>
                <w:sz w:val="24"/>
                <w:szCs w:val="24"/>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BRADY FINANCE LUXEMBOURG S.à r.l.,</w:t>
            </w:r>
          </w:p>
        </w:tc>
      </w:tr>
      <w:tr>
        <w:trPr>
          <w:trHeight w:val="222"/>
        </w:trPr>
        <w:tc>
          <w:tcPr>
            <w:tcW w:w="3340" w:type="dxa"/>
            <w:vAlign w:val="bottom"/>
          </w:tcPr>
          <w:p>
            <w:pPr>
              <w:spacing w:after="0"/>
              <w:rPr>
                <w:sz w:val="19"/>
                <w:szCs w:val="19"/>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w w:val="94"/>
              </w:rPr>
              <w:t>a Luxembourg private limited liability company (</w:t>
            </w:r>
            <w:r>
              <w:rPr>
                <w:rFonts w:ascii="Arial" w:cs="Arial" w:eastAsia="Arial" w:hAnsi="Arial"/>
                <w:sz w:val="18"/>
                <w:szCs w:val="18"/>
                <w:i w:val="1"/>
                <w:iCs w:val="1"/>
                <w:color w:val="auto"/>
                <w:w w:val="94"/>
              </w:rPr>
              <w:t>Société à responsabilité limitée)</w:t>
            </w:r>
          </w:p>
        </w:tc>
      </w:tr>
      <w:tr>
        <w:trPr>
          <w:trHeight w:val="405"/>
        </w:trPr>
        <w:tc>
          <w:tcPr>
            <w:tcW w:w="3340" w:type="dxa"/>
            <w:vAlign w:val="bottom"/>
          </w:tcPr>
          <w:p>
            <w:pPr>
              <w:spacing w:after="0"/>
              <w:rPr>
                <w:sz w:val="24"/>
                <w:szCs w:val="24"/>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THOMAS J. FELMER</w:t>
            </w:r>
          </w:p>
        </w:tc>
      </w:tr>
      <w:tr>
        <w:trPr>
          <w:trHeight w:val="203"/>
        </w:trPr>
        <w:tc>
          <w:tcPr>
            <w:tcW w:w="3340" w:type="dxa"/>
            <w:vAlign w:val="bottom"/>
          </w:tcPr>
          <w:p>
            <w:pPr>
              <w:spacing w:after="0"/>
              <w:rPr>
                <w:sz w:val="17"/>
                <w:szCs w:val="17"/>
                <w:color w:val="auto"/>
              </w:rPr>
            </w:pPr>
          </w:p>
        </w:tc>
        <w:tc>
          <w:tcPr>
            <w:tcW w:w="2540" w:type="dxa"/>
            <w:vAlign w:val="bottom"/>
          </w:tcPr>
          <w:p>
            <w:pPr>
              <w:ind w:left="2080"/>
              <w:spacing w:after="0" w:line="203" w:lineRule="exact"/>
              <w:rPr>
                <w:sz w:val="20"/>
                <w:szCs w:val="20"/>
                <w:color w:val="auto"/>
              </w:rPr>
            </w:pPr>
            <w:r>
              <w:rPr>
                <w:rFonts w:ascii="Arial" w:cs="Arial" w:eastAsia="Arial" w:hAnsi="Arial"/>
                <w:sz w:val="18"/>
                <w:szCs w:val="18"/>
                <w:color w:val="auto"/>
                <w:w w:val="82"/>
              </w:rPr>
              <w:t>Name:</w:t>
            </w:r>
          </w:p>
        </w:tc>
        <w:tc>
          <w:tcPr>
            <w:tcW w:w="5540" w:type="dxa"/>
            <w:vAlign w:val="bottom"/>
          </w:tcPr>
          <w:p>
            <w:pPr>
              <w:ind w:left="120"/>
              <w:spacing w:after="0" w:line="203" w:lineRule="exact"/>
              <w:rPr>
                <w:sz w:val="20"/>
                <w:szCs w:val="20"/>
                <w:color w:val="auto"/>
              </w:rPr>
            </w:pPr>
            <w:r>
              <w:rPr>
                <w:rFonts w:ascii="Arial" w:cs="Arial" w:eastAsia="Arial" w:hAnsi="Arial"/>
                <w:sz w:val="18"/>
                <w:szCs w:val="18"/>
                <w:color w:val="auto"/>
              </w:rPr>
              <w:t>Thomas J. Felmer</w:t>
            </w:r>
          </w:p>
        </w:tc>
      </w:tr>
      <w:tr>
        <w:trPr>
          <w:trHeight w:val="222"/>
        </w:trPr>
        <w:tc>
          <w:tcPr>
            <w:tcW w:w="3340" w:type="dxa"/>
            <w:vAlign w:val="bottom"/>
          </w:tcPr>
          <w:p>
            <w:pPr>
              <w:spacing w:after="0"/>
              <w:rPr>
                <w:sz w:val="19"/>
                <w:szCs w:val="19"/>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Title:</w:t>
            </w:r>
          </w:p>
        </w:tc>
        <w:tc>
          <w:tcPr>
            <w:tcW w:w="5540" w:type="dxa"/>
            <w:vAlign w:val="bottom"/>
          </w:tcPr>
          <w:p>
            <w:pPr>
              <w:ind w:left="120"/>
              <w:spacing w:after="0"/>
              <w:rPr>
                <w:sz w:val="20"/>
                <w:szCs w:val="20"/>
                <w:color w:val="auto"/>
              </w:rPr>
            </w:pPr>
            <w:r>
              <w:rPr>
                <w:rFonts w:ascii="Arial" w:cs="Arial" w:eastAsia="Arial" w:hAnsi="Arial"/>
                <w:sz w:val="18"/>
                <w:szCs w:val="18"/>
                <w:color w:val="auto"/>
              </w:rPr>
              <w:t>Senior Vice President &amp; Chief Financial Officer</w:t>
            </w:r>
          </w:p>
        </w:tc>
      </w:tr>
      <w:tr>
        <w:trPr>
          <w:trHeight w:val="385"/>
        </w:trPr>
        <w:tc>
          <w:tcPr>
            <w:tcW w:w="3340" w:type="dxa"/>
            <w:vAlign w:val="bottom"/>
          </w:tcPr>
          <w:p>
            <w:pPr>
              <w:spacing w:after="0"/>
              <w:rPr>
                <w:sz w:val="20"/>
                <w:szCs w:val="20"/>
                <w:color w:val="auto"/>
              </w:rPr>
            </w:pPr>
            <w:r>
              <w:rPr>
                <w:rFonts w:ascii="Arial" w:cs="Arial" w:eastAsia="Arial" w:hAnsi="Arial"/>
                <w:sz w:val="18"/>
                <w:szCs w:val="18"/>
                <w:color w:val="auto"/>
              </w:rPr>
              <w:t>GUARANTORS:</w:t>
            </w: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BRADY INTERNATIONAL CO., a Wisconsin corporation</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BRADY INVESTMENT CO., a Nevada corporation</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WORLDMARK OF WISCONSIN, INC., a Delaware corporation</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DUAL CORE LLC, a Wisconsin limited liability company</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w w:val="94"/>
              </w:rPr>
              <w:t>BRADY PRECISION CONVERTING, LLC, a Wisconsin limited liability company</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CLEMENT COMMUNICATIONS, INC, a Pennsylvania corporation</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AIO ACQUISITION, INC., a Delaware corporation</w:t>
            </w:r>
          </w:p>
        </w:tc>
      </w:tr>
      <w:tr>
        <w:trPr>
          <w:trHeight w:val="222"/>
        </w:trPr>
        <w:tc>
          <w:tcPr>
            <w:tcW w:w="3340" w:type="dxa"/>
            <w:vAlign w:val="bottom"/>
          </w:tcPr>
          <w:p>
            <w:pPr>
              <w:spacing w:after="0"/>
              <w:rPr>
                <w:sz w:val="19"/>
                <w:szCs w:val="19"/>
                <w:color w:val="auto"/>
              </w:rPr>
            </w:pPr>
          </w:p>
        </w:tc>
        <w:tc>
          <w:tcPr>
            <w:tcW w:w="8080" w:type="dxa"/>
            <w:vAlign w:val="bottom"/>
            <w:gridSpan w:val="2"/>
          </w:tcPr>
          <w:p>
            <w:pPr>
              <w:ind w:left="2080"/>
              <w:spacing w:after="0"/>
              <w:rPr>
                <w:sz w:val="20"/>
                <w:szCs w:val="20"/>
                <w:color w:val="auto"/>
              </w:rPr>
            </w:pPr>
            <w:r>
              <w:rPr>
                <w:rFonts w:ascii="Arial" w:cs="Arial" w:eastAsia="Arial" w:hAnsi="Arial"/>
                <w:sz w:val="18"/>
                <w:szCs w:val="18"/>
                <w:color w:val="auto"/>
              </w:rPr>
              <w:t>BRADY MEXICO HOLDING LLC, a Delaware limited liability company</w:t>
            </w:r>
          </w:p>
        </w:tc>
      </w:tr>
      <w:tr>
        <w:trPr>
          <w:trHeight w:val="392"/>
        </w:trPr>
        <w:tc>
          <w:tcPr>
            <w:tcW w:w="3340" w:type="dxa"/>
            <w:vAlign w:val="bottom"/>
          </w:tcPr>
          <w:p>
            <w:pPr>
              <w:spacing w:after="0"/>
              <w:rPr>
                <w:sz w:val="24"/>
                <w:szCs w:val="24"/>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FRANK M. JAEHNERT</w:t>
            </w:r>
          </w:p>
        </w:tc>
      </w:tr>
      <w:tr>
        <w:trPr>
          <w:trHeight w:val="203"/>
        </w:trPr>
        <w:tc>
          <w:tcPr>
            <w:tcW w:w="3340" w:type="dxa"/>
            <w:vAlign w:val="bottom"/>
          </w:tcPr>
          <w:p>
            <w:pPr>
              <w:spacing w:after="0"/>
              <w:rPr>
                <w:sz w:val="17"/>
                <w:szCs w:val="17"/>
                <w:color w:val="auto"/>
              </w:rPr>
            </w:pPr>
          </w:p>
        </w:tc>
        <w:tc>
          <w:tcPr>
            <w:tcW w:w="2540" w:type="dxa"/>
            <w:vAlign w:val="bottom"/>
          </w:tcPr>
          <w:p>
            <w:pPr>
              <w:ind w:left="2080"/>
              <w:spacing w:after="0" w:line="203" w:lineRule="exact"/>
              <w:rPr>
                <w:sz w:val="20"/>
                <w:szCs w:val="20"/>
                <w:color w:val="auto"/>
              </w:rPr>
            </w:pPr>
            <w:r>
              <w:rPr>
                <w:rFonts w:ascii="Arial" w:cs="Arial" w:eastAsia="Arial" w:hAnsi="Arial"/>
                <w:sz w:val="18"/>
                <w:szCs w:val="18"/>
                <w:color w:val="auto"/>
                <w:w w:val="82"/>
              </w:rPr>
              <w:t>Name:</w:t>
            </w:r>
          </w:p>
        </w:tc>
        <w:tc>
          <w:tcPr>
            <w:tcW w:w="5540" w:type="dxa"/>
            <w:vAlign w:val="bottom"/>
          </w:tcPr>
          <w:p>
            <w:pPr>
              <w:ind w:left="120"/>
              <w:spacing w:after="0" w:line="203" w:lineRule="exact"/>
              <w:rPr>
                <w:sz w:val="20"/>
                <w:szCs w:val="20"/>
                <w:color w:val="auto"/>
              </w:rPr>
            </w:pPr>
            <w:r>
              <w:rPr>
                <w:rFonts w:ascii="Arial" w:cs="Arial" w:eastAsia="Arial" w:hAnsi="Arial"/>
                <w:sz w:val="18"/>
                <w:szCs w:val="18"/>
                <w:color w:val="auto"/>
              </w:rPr>
              <w:t>Frank M. Jaehnert</w:t>
            </w:r>
          </w:p>
        </w:tc>
      </w:tr>
      <w:tr>
        <w:trPr>
          <w:trHeight w:val="222"/>
        </w:trPr>
        <w:tc>
          <w:tcPr>
            <w:tcW w:w="3340" w:type="dxa"/>
            <w:vAlign w:val="bottom"/>
          </w:tcPr>
          <w:p>
            <w:pPr>
              <w:spacing w:after="0"/>
              <w:rPr>
                <w:sz w:val="19"/>
                <w:szCs w:val="19"/>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Title:</w:t>
            </w:r>
          </w:p>
        </w:tc>
        <w:tc>
          <w:tcPr>
            <w:tcW w:w="554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340" w:type="dxa"/>
            <w:vAlign w:val="bottom"/>
          </w:tcPr>
          <w:p>
            <w:pPr>
              <w:spacing w:after="0"/>
              <w:rPr>
                <w:sz w:val="24"/>
                <w:szCs w:val="24"/>
                <w:color w:val="auto"/>
              </w:rPr>
            </w:pPr>
          </w:p>
        </w:tc>
        <w:tc>
          <w:tcPr>
            <w:tcW w:w="2540" w:type="dxa"/>
            <w:vAlign w:val="bottom"/>
          </w:tcPr>
          <w:p>
            <w:pPr>
              <w:ind w:left="2340"/>
              <w:spacing w:after="0"/>
              <w:rPr>
                <w:sz w:val="20"/>
                <w:szCs w:val="20"/>
                <w:color w:val="auto"/>
              </w:rPr>
            </w:pPr>
            <w:r>
              <w:rPr>
                <w:rFonts w:ascii="Arial" w:cs="Arial" w:eastAsia="Arial" w:hAnsi="Arial"/>
                <w:sz w:val="18"/>
                <w:szCs w:val="18"/>
                <w:color w:val="auto"/>
              </w:rPr>
              <w:t>1</w:t>
            </w:r>
          </w:p>
        </w:tc>
        <w:tc>
          <w:tcPr>
            <w:tcW w:w="55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17" w:name="page118"/>
    <w:bookmarkEnd w:id="1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ADMINISTRATIVE AGENT:</w:t>
            </w:r>
          </w:p>
        </w:tc>
        <w:tc>
          <w:tcPr>
            <w:tcW w:w="7620" w:type="dxa"/>
            <w:vAlign w:val="bottom"/>
            <w:gridSpan w:val="2"/>
          </w:tcPr>
          <w:p>
            <w:pPr>
              <w:ind w:left="1620"/>
              <w:spacing w:after="0"/>
              <w:rPr>
                <w:sz w:val="20"/>
                <w:szCs w:val="20"/>
                <w:color w:val="auto"/>
              </w:rPr>
            </w:pPr>
            <w:r>
              <w:rPr>
                <w:rFonts w:ascii="Arial" w:cs="Arial" w:eastAsia="Arial" w:hAnsi="Arial"/>
                <w:sz w:val="18"/>
                <w:szCs w:val="18"/>
                <w:color w:val="auto"/>
              </w:rPr>
              <w:t>BANK OF AMERICA, N.A.,</w:t>
            </w:r>
          </w:p>
        </w:tc>
      </w:tr>
      <w:tr>
        <w:trPr>
          <w:trHeight w:val="222"/>
        </w:trPr>
        <w:tc>
          <w:tcPr>
            <w:tcW w:w="3800" w:type="dxa"/>
            <w:vAlign w:val="bottom"/>
          </w:tcPr>
          <w:p>
            <w:pPr>
              <w:spacing w:after="0"/>
              <w:rPr>
                <w:sz w:val="19"/>
                <w:szCs w:val="19"/>
                <w:color w:val="auto"/>
              </w:rPr>
            </w:pPr>
          </w:p>
        </w:tc>
        <w:tc>
          <w:tcPr>
            <w:tcW w:w="7620" w:type="dxa"/>
            <w:vAlign w:val="bottom"/>
            <w:gridSpan w:val="2"/>
          </w:tcPr>
          <w:p>
            <w:pPr>
              <w:ind w:left="1620"/>
              <w:spacing w:after="0"/>
              <w:rPr>
                <w:sz w:val="20"/>
                <w:szCs w:val="20"/>
                <w:color w:val="auto"/>
              </w:rPr>
            </w:pPr>
            <w:r>
              <w:rPr>
                <w:rFonts w:ascii="Arial" w:cs="Arial" w:eastAsia="Arial" w:hAnsi="Arial"/>
                <w:sz w:val="18"/>
                <w:szCs w:val="18"/>
                <w:color w:val="auto"/>
              </w:rPr>
              <w:t>as Administrative Agent</w:t>
            </w:r>
          </w:p>
        </w:tc>
      </w:tr>
      <w:tr>
        <w:trPr>
          <w:trHeight w:val="405"/>
        </w:trPr>
        <w:tc>
          <w:tcPr>
            <w:tcW w:w="3800" w:type="dxa"/>
            <w:vAlign w:val="bottom"/>
          </w:tcPr>
          <w:p>
            <w:pPr>
              <w:spacing w:after="0"/>
              <w:rPr>
                <w:sz w:val="24"/>
                <w:szCs w:val="24"/>
                <w:color w:val="auto"/>
              </w:rPr>
            </w:pPr>
          </w:p>
        </w:tc>
        <w:tc>
          <w:tcPr>
            <w:tcW w:w="2100" w:type="dxa"/>
            <w:vAlign w:val="bottom"/>
          </w:tcPr>
          <w:p>
            <w:pPr>
              <w:ind w:left="162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LINDA LOV</w:t>
            </w:r>
          </w:p>
        </w:tc>
      </w:tr>
      <w:tr>
        <w:trPr>
          <w:trHeight w:val="203"/>
        </w:trPr>
        <w:tc>
          <w:tcPr>
            <w:tcW w:w="3800" w:type="dxa"/>
            <w:vAlign w:val="bottom"/>
          </w:tcPr>
          <w:p>
            <w:pPr>
              <w:spacing w:after="0"/>
              <w:rPr>
                <w:sz w:val="17"/>
                <w:szCs w:val="17"/>
                <w:color w:val="auto"/>
              </w:rPr>
            </w:pPr>
          </w:p>
        </w:tc>
        <w:tc>
          <w:tcPr>
            <w:tcW w:w="2100" w:type="dxa"/>
            <w:vAlign w:val="bottom"/>
          </w:tcPr>
          <w:p>
            <w:pPr>
              <w:ind w:left="1620"/>
              <w:spacing w:after="0" w:line="203" w:lineRule="exact"/>
              <w:rPr>
                <w:sz w:val="20"/>
                <w:szCs w:val="20"/>
                <w:color w:val="auto"/>
              </w:rPr>
            </w:pPr>
            <w:r>
              <w:rPr>
                <w:rFonts w:ascii="Arial" w:cs="Arial" w:eastAsia="Arial" w:hAnsi="Arial"/>
                <w:sz w:val="18"/>
                <w:szCs w:val="18"/>
                <w:color w:val="auto"/>
                <w:w w:val="86"/>
              </w:rPr>
              <w:t>Name:</w:t>
            </w:r>
          </w:p>
        </w:tc>
        <w:tc>
          <w:tcPr>
            <w:tcW w:w="5520" w:type="dxa"/>
            <w:vAlign w:val="bottom"/>
          </w:tcPr>
          <w:p>
            <w:pPr>
              <w:ind w:left="100"/>
              <w:spacing w:after="0" w:line="203" w:lineRule="exact"/>
              <w:rPr>
                <w:sz w:val="20"/>
                <w:szCs w:val="20"/>
                <w:color w:val="auto"/>
              </w:rPr>
            </w:pPr>
            <w:r>
              <w:rPr>
                <w:rFonts w:ascii="Arial" w:cs="Arial" w:eastAsia="Arial" w:hAnsi="Arial"/>
                <w:sz w:val="18"/>
                <w:szCs w:val="18"/>
                <w:color w:val="auto"/>
              </w:rPr>
              <w:t>Linda Lov</w:t>
            </w:r>
          </w:p>
        </w:tc>
      </w:tr>
      <w:tr>
        <w:trPr>
          <w:trHeight w:val="222"/>
        </w:trPr>
        <w:tc>
          <w:tcPr>
            <w:tcW w:w="3800" w:type="dxa"/>
            <w:vAlign w:val="bottom"/>
          </w:tcPr>
          <w:p>
            <w:pPr>
              <w:spacing w:after="0"/>
              <w:rPr>
                <w:sz w:val="19"/>
                <w:szCs w:val="19"/>
                <w:color w:val="auto"/>
              </w:rPr>
            </w:pPr>
          </w:p>
        </w:tc>
        <w:tc>
          <w:tcPr>
            <w:tcW w:w="2100" w:type="dxa"/>
            <w:vAlign w:val="bottom"/>
          </w:tcPr>
          <w:p>
            <w:pPr>
              <w:ind w:left="1620"/>
              <w:spacing w:after="0"/>
              <w:rPr>
                <w:sz w:val="20"/>
                <w:szCs w:val="20"/>
                <w:color w:val="auto"/>
              </w:rPr>
            </w:pPr>
            <w:r>
              <w:rPr>
                <w:rFonts w:ascii="Arial" w:cs="Arial" w:eastAsia="Arial" w:hAnsi="Arial"/>
                <w:sz w:val="18"/>
                <w:szCs w:val="18"/>
                <w:color w:val="auto"/>
              </w:rPr>
              <w:t>Title:</w:t>
            </w:r>
          </w:p>
        </w:tc>
        <w:tc>
          <w:tcPr>
            <w:tcW w:w="5520" w:type="dxa"/>
            <w:vAlign w:val="bottom"/>
          </w:tcPr>
          <w:p>
            <w:pPr>
              <w:ind w:left="100"/>
              <w:spacing w:after="0"/>
              <w:rPr>
                <w:sz w:val="20"/>
                <w:szCs w:val="20"/>
                <w:color w:val="auto"/>
              </w:rPr>
            </w:pPr>
            <w:r>
              <w:rPr>
                <w:rFonts w:ascii="Arial" w:cs="Arial" w:eastAsia="Arial" w:hAnsi="Arial"/>
                <w:sz w:val="18"/>
                <w:szCs w:val="18"/>
                <w:color w:val="auto"/>
              </w:rPr>
              <w:t>AVP</w:t>
            </w:r>
          </w:p>
        </w:tc>
      </w:tr>
      <w:tr>
        <w:trPr>
          <w:trHeight w:val="385"/>
        </w:trPr>
        <w:tc>
          <w:tcPr>
            <w:tcW w:w="3800" w:type="dxa"/>
            <w:vAlign w:val="bottom"/>
          </w:tcPr>
          <w:p>
            <w:pPr>
              <w:spacing w:after="0"/>
              <w:rPr>
                <w:sz w:val="20"/>
                <w:szCs w:val="20"/>
                <w:color w:val="auto"/>
              </w:rPr>
            </w:pPr>
            <w:r>
              <w:rPr>
                <w:rFonts w:ascii="Arial" w:cs="Arial" w:eastAsia="Arial" w:hAnsi="Arial"/>
                <w:sz w:val="18"/>
                <w:szCs w:val="18"/>
                <w:color w:val="auto"/>
              </w:rPr>
              <w:t>LENDERS:</w:t>
            </w:r>
          </w:p>
        </w:tc>
        <w:tc>
          <w:tcPr>
            <w:tcW w:w="7620" w:type="dxa"/>
            <w:vAlign w:val="bottom"/>
            <w:gridSpan w:val="2"/>
          </w:tcPr>
          <w:p>
            <w:pPr>
              <w:ind w:left="1620"/>
              <w:spacing w:after="0"/>
              <w:rPr>
                <w:sz w:val="20"/>
                <w:szCs w:val="20"/>
                <w:color w:val="auto"/>
              </w:rPr>
            </w:pPr>
            <w:r>
              <w:rPr>
                <w:rFonts w:ascii="Arial" w:cs="Arial" w:eastAsia="Arial" w:hAnsi="Arial"/>
                <w:sz w:val="18"/>
                <w:szCs w:val="18"/>
                <w:color w:val="auto"/>
              </w:rPr>
              <w:t>BANK OF AMERICA, N.A.,</w:t>
            </w:r>
          </w:p>
        </w:tc>
      </w:tr>
      <w:tr>
        <w:trPr>
          <w:trHeight w:val="222"/>
        </w:trPr>
        <w:tc>
          <w:tcPr>
            <w:tcW w:w="3800" w:type="dxa"/>
            <w:vAlign w:val="bottom"/>
          </w:tcPr>
          <w:p>
            <w:pPr>
              <w:spacing w:after="0"/>
              <w:rPr>
                <w:sz w:val="19"/>
                <w:szCs w:val="19"/>
                <w:color w:val="auto"/>
              </w:rPr>
            </w:pPr>
          </w:p>
        </w:tc>
        <w:tc>
          <w:tcPr>
            <w:tcW w:w="7620" w:type="dxa"/>
            <w:vAlign w:val="bottom"/>
            <w:gridSpan w:val="2"/>
          </w:tcPr>
          <w:p>
            <w:pPr>
              <w:ind w:left="1620"/>
              <w:spacing w:after="0"/>
              <w:rPr>
                <w:sz w:val="20"/>
                <w:szCs w:val="20"/>
                <w:color w:val="auto"/>
              </w:rPr>
            </w:pPr>
            <w:r>
              <w:rPr>
                <w:rFonts w:ascii="Arial" w:cs="Arial" w:eastAsia="Arial" w:hAnsi="Arial"/>
                <w:sz w:val="18"/>
                <w:szCs w:val="18"/>
                <w:color w:val="auto"/>
              </w:rPr>
              <w:t>as a Lender, L/C Issuer and Swing Line Lender</w:t>
            </w:r>
          </w:p>
        </w:tc>
      </w:tr>
      <w:tr>
        <w:trPr>
          <w:trHeight w:val="405"/>
        </w:trPr>
        <w:tc>
          <w:tcPr>
            <w:tcW w:w="3800" w:type="dxa"/>
            <w:vAlign w:val="bottom"/>
          </w:tcPr>
          <w:p>
            <w:pPr>
              <w:spacing w:after="0"/>
              <w:rPr>
                <w:sz w:val="24"/>
                <w:szCs w:val="24"/>
                <w:color w:val="auto"/>
              </w:rPr>
            </w:pPr>
          </w:p>
        </w:tc>
        <w:tc>
          <w:tcPr>
            <w:tcW w:w="2100" w:type="dxa"/>
            <w:vAlign w:val="bottom"/>
          </w:tcPr>
          <w:p>
            <w:pPr>
              <w:ind w:left="162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K. KESSLER</w:t>
            </w:r>
          </w:p>
        </w:tc>
      </w:tr>
      <w:tr>
        <w:trPr>
          <w:trHeight w:val="203"/>
        </w:trPr>
        <w:tc>
          <w:tcPr>
            <w:tcW w:w="3800" w:type="dxa"/>
            <w:vAlign w:val="bottom"/>
          </w:tcPr>
          <w:p>
            <w:pPr>
              <w:spacing w:after="0"/>
              <w:rPr>
                <w:sz w:val="17"/>
                <w:szCs w:val="17"/>
                <w:color w:val="auto"/>
              </w:rPr>
            </w:pPr>
          </w:p>
        </w:tc>
        <w:tc>
          <w:tcPr>
            <w:tcW w:w="2100" w:type="dxa"/>
            <w:vAlign w:val="bottom"/>
          </w:tcPr>
          <w:p>
            <w:pPr>
              <w:ind w:left="1620"/>
              <w:spacing w:after="0" w:line="203" w:lineRule="exact"/>
              <w:rPr>
                <w:sz w:val="20"/>
                <w:szCs w:val="20"/>
                <w:color w:val="auto"/>
              </w:rPr>
            </w:pPr>
            <w:r>
              <w:rPr>
                <w:rFonts w:ascii="Arial" w:cs="Arial" w:eastAsia="Arial" w:hAnsi="Arial"/>
                <w:sz w:val="18"/>
                <w:szCs w:val="18"/>
                <w:color w:val="auto"/>
                <w:w w:val="86"/>
              </w:rPr>
              <w:t>Name:</w:t>
            </w:r>
          </w:p>
        </w:tc>
        <w:tc>
          <w:tcPr>
            <w:tcW w:w="5520" w:type="dxa"/>
            <w:vAlign w:val="bottom"/>
          </w:tcPr>
          <w:p>
            <w:pPr>
              <w:ind w:left="100"/>
              <w:spacing w:after="0" w:line="203" w:lineRule="exact"/>
              <w:rPr>
                <w:sz w:val="20"/>
                <w:szCs w:val="20"/>
                <w:color w:val="auto"/>
              </w:rPr>
            </w:pPr>
            <w:r>
              <w:rPr>
                <w:rFonts w:ascii="Arial" w:cs="Arial" w:eastAsia="Arial" w:hAnsi="Arial"/>
                <w:sz w:val="18"/>
                <w:szCs w:val="18"/>
                <w:color w:val="auto"/>
              </w:rPr>
              <w:t>Steven K. Kessler</w:t>
            </w:r>
          </w:p>
        </w:tc>
      </w:tr>
      <w:tr>
        <w:trPr>
          <w:trHeight w:val="222"/>
        </w:trPr>
        <w:tc>
          <w:tcPr>
            <w:tcW w:w="3800" w:type="dxa"/>
            <w:vAlign w:val="bottom"/>
          </w:tcPr>
          <w:p>
            <w:pPr>
              <w:spacing w:after="0"/>
              <w:rPr>
                <w:sz w:val="19"/>
                <w:szCs w:val="19"/>
                <w:color w:val="auto"/>
              </w:rPr>
            </w:pPr>
          </w:p>
        </w:tc>
        <w:tc>
          <w:tcPr>
            <w:tcW w:w="2100" w:type="dxa"/>
            <w:vAlign w:val="bottom"/>
          </w:tcPr>
          <w:p>
            <w:pPr>
              <w:ind w:left="1620"/>
              <w:spacing w:after="0"/>
              <w:rPr>
                <w:sz w:val="20"/>
                <w:szCs w:val="20"/>
                <w:color w:val="auto"/>
              </w:rPr>
            </w:pPr>
            <w:r>
              <w:rPr>
                <w:rFonts w:ascii="Arial" w:cs="Arial" w:eastAsia="Arial" w:hAnsi="Arial"/>
                <w:sz w:val="18"/>
                <w:szCs w:val="18"/>
                <w:color w:val="auto"/>
              </w:rPr>
              <w:t>Title:</w:t>
            </w:r>
          </w:p>
        </w:tc>
        <w:tc>
          <w:tcPr>
            <w:tcW w:w="552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385"/>
        </w:trPr>
        <w:tc>
          <w:tcPr>
            <w:tcW w:w="3800" w:type="dxa"/>
            <w:vAlign w:val="bottom"/>
          </w:tcPr>
          <w:p>
            <w:pPr>
              <w:spacing w:after="0"/>
              <w:rPr>
                <w:sz w:val="24"/>
                <w:szCs w:val="24"/>
                <w:color w:val="auto"/>
              </w:rPr>
            </w:pPr>
          </w:p>
        </w:tc>
        <w:tc>
          <w:tcPr>
            <w:tcW w:w="7620" w:type="dxa"/>
            <w:vAlign w:val="bottom"/>
            <w:gridSpan w:val="2"/>
          </w:tcPr>
          <w:p>
            <w:pPr>
              <w:ind w:left="1620"/>
              <w:spacing w:after="0"/>
              <w:rPr>
                <w:sz w:val="20"/>
                <w:szCs w:val="20"/>
                <w:color w:val="auto"/>
              </w:rPr>
            </w:pPr>
            <w:r>
              <w:rPr>
                <w:rFonts w:ascii="Arial" w:cs="Arial" w:eastAsia="Arial" w:hAnsi="Arial"/>
                <w:sz w:val="18"/>
                <w:szCs w:val="18"/>
                <w:color w:val="auto"/>
              </w:rPr>
              <w:t>WELLS FARGO BANK, NATIONAL ASSOCIATION,</w:t>
            </w:r>
          </w:p>
        </w:tc>
      </w:tr>
      <w:tr>
        <w:trPr>
          <w:trHeight w:val="222"/>
        </w:trPr>
        <w:tc>
          <w:tcPr>
            <w:tcW w:w="3800" w:type="dxa"/>
            <w:vAlign w:val="bottom"/>
          </w:tcPr>
          <w:p>
            <w:pPr>
              <w:spacing w:after="0"/>
              <w:rPr>
                <w:sz w:val="19"/>
                <w:szCs w:val="19"/>
                <w:color w:val="auto"/>
              </w:rPr>
            </w:pPr>
          </w:p>
        </w:tc>
        <w:tc>
          <w:tcPr>
            <w:tcW w:w="7620" w:type="dxa"/>
            <w:vAlign w:val="bottom"/>
            <w:gridSpan w:val="2"/>
          </w:tcPr>
          <w:p>
            <w:pPr>
              <w:ind w:left="1620"/>
              <w:spacing w:after="0"/>
              <w:rPr>
                <w:sz w:val="20"/>
                <w:szCs w:val="20"/>
                <w:color w:val="auto"/>
              </w:rPr>
            </w:pPr>
            <w:r>
              <w:rPr>
                <w:rFonts w:ascii="Arial" w:cs="Arial" w:eastAsia="Arial" w:hAnsi="Arial"/>
                <w:sz w:val="18"/>
                <w:szCs w:val="18"/>
                <w:color w:val="auto"/>
              </w:rPr>
              <w:t>as a Lender</w:t>
            </w:r>
          </w:p>
        </w:tc>
      </w:tr>
      <w:tr>
        <w:trPr>
          <w:trHeight w:val="392"/>
        </w:trPr>
        <w:tc>
          <w:tcPr>
            <w:tcW w:w="3800" w:type="dxa"/>
            <w:vAlign w:val="bottom"/>
          </w:tcPr>
          <w:p>
            <w:pPr>
              <w:spacing w:after="0"/>
              <w:rPr>
                <w:sz w:val="24"/>
                <w:szCs w:val="24"/>
                <w:color w:val="auto"/>
              </w:rPr>
            </w:pPr>
          </w:p>
        </w:tc>
        <w:tc>
          <w:tcPr>
            <w:tcW w:w="2100" w:type="dxa"/>
            <w:vAlign w:val="bottom"/>
          </w:tcPr>
          <w:p>
            <w:pPr>
              <w:ind w:left="162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MATTHEW SIMON</w:t>
            </w:r>
          </w:p>
        </w:tc>
      </w:tr>
      <w:tr>
        <w:trPr>
          <w:trHeight w:val="203"/>
        </w:trPr>
        <w:tc>
          <w:tcPr>
            <w:tcW w:w="3800" w:type="dxa"/>
            <w:vAlign w:val="bottom"/>
          </w:tcPr>
          <w:p>
            <w:pPr>
              <w:spacing w:after="0"/>
              <w:rPr>
                <w:sz w:val="17"/>
                <w:szCs w:val="17"/>
                <w:color w:val="auto"/>
              </w:rPr>
            </w:pPr>
          </w:p>
        </w:tc>
        <w:tc>
          <w:tcPr>
            <w:tcW w:w="2100" w:type="dxa"/>
            <w:vAlign w:val="bottom"/>
          </w:tcPr>
          <w:p>
            <w:pPr>
              <w:ind w:left="1620"/>
              <w:spacing w:after="0" w:line="203" w:lineRule="exact"/>
              <w:rPr>
                <w:sz w:val="20"/>
                <w:szCs w:val="20"/>
                <w:color w:val="auto"/>
              </w:rPr>
            </w:pPr>
            <w:r>
              <w:rPr>
                <w:rFonts w:ascii="Arial" w:cs="Arial" w:eastAsia="Arial" w:hAnsi="Arial"/>
                <w:sz w:val="18"/>
                <w:szCs w:val="18"/>
                <w:color w:val="auto"/>
                <w:w w:val="86"/>
              </w:rPr>
              <w:t>Name:</w:t>
            </w:r>
          </w:p>
        </w:tc>
        <w:tc>
          <w:tcPr>
            <w:tcW w:w="5520" w:type="dxa"/>
            <w:vAlign w:val="bottom"/>
          </w:tcPr>
          <w:p>
            <w:pPr>
              <w:ind w:left="100"/>
              <w:spacing w:after="0" w:line="203" w:lineRule="exact"/>
              <w:rPr>
                <w:sz w:val="20"/>
                <w:szCs w:val="20"/>
                <w:color w:val="auto"/>
              </w:rPr>
            </w:pPr>
            <w:r>
              <w:rPr>
                <w:rFonts w:ascii="Arial" w:cs="Arial" w:eastAsia="Arial" w:hAnsi="Arial"/>
                <w:sz w:val="18"/>
                <w:szCs w:val="18"/>
                <w:color w:val="auto"/>
              </w:rPr>
              <w:t>Matthew Simon</w:t>
            </w:r>
          </w:p>
        </w:tc>
      </w:tr>
      <w:tr>
        <w:trPr>
          <w:trHeight w:val="222"/>
        </w:trPr>
        <w:tc>
          <w:tcPr>
            <w:tcW w:w="3800" w:type="dxa"/>
            <w:vAlign w:val="bottom"/>
          </w:tcPr>
          <w:p>
            <w:pPr>
              <w:spacing w:after="0"/>
              <w:rPr>
                <w:sz w:val="19"/>
                <w:szCs w:val="19"/>
                <w:color w:val="auto"/>
              </w:rPr>
            </w:pPr>
          </w:p>
        </w:tc>
        <w:tc>
          <w:tcPr>
            <w:tcW w:w="2100" w:type="dxa"/>
            <w:vAlign w:val="bottom"/>
          </w:tcPr>
          <w:p>
            <w:pPr>
              <w:ind w:left="1620"/>
              <w:spacing w:after="0"/>
              <w:rPr>
                <w:sz w:val="20"/>
                <w:szCs w:val="20"/>
                <w:color w:val="auto"/>
              </w:rPr>
            </w:pPr>
            <w:r>
              <w:rPr>
                <w:rFonts w:ascii="Arial" w:cs="Arial" w:eastAsia="Arial" w:hAnsi="Arial"/>
                <w:sz w:val="18"/>
                <w:szCs w:val="18"/>
                <w:color w:val="auto"/>
              </w:rPr>
              <w:t>Title:</w:t>
            </w:r>
          </w:p>
        </w:tc>
        <w:tc>
          <w:tcPr>
            <w:tcW w:w="552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385"/>
        </w:trPr>
        <w:tc>
          <w:tcPr>
            <w:tcW w:w="3800" w:type="dxa"/>
            <w:vAlign w:val="bottom"/>
          </w:tcPr>
          <w:p>
            <w:pPr>
              <w:spacing w:after="0"/>
              <w:rPr>
                <w:sz w:val="24"/>
                <w:szCs w:val="24"/>
                <w:color w:val="auto"/>
              </w:rPr>
            </w:pPr>
          </w:p>
        </w:tc>
        <w:tc>
          <w:tcPr>
            <w:tcW w:w="7620" w:type="dxa"/>
            <w:vAlign w:val="bottom"/>
            <w:gridSpan w:val="2"/>
          </w:tcPr>
          <w:p>
            <w:pPr>
              <w:ind w:left="1620"/>
              <w:spacing w:after="0"/>
              <w:rPr>
                <w:sz w:val="20"/>
                <w:szCs w:val="20"/>
                <w:color w:val="auto"/>
              </w:rPr>
            </w:pPr>
            <w:r>
              <w:rPr>
                <w:rFonts w:ascii="Arial" w:cs="Arial" w:eastAsia="Arial" w:hAnsi="Arial"/>
                <w:sz w:val="18"/>
                <w:szCs w:val="18"/>
                <w:color w:val="auto"/>
              </w:rPr>
              <w:t>BMO HARRIS BANK, N.A.,</w:t>
            </w:r>
          </w:p>
        </w:tc>
      </w:tr>
      <w:tr>
        <w:trPr>
          <w:trHeight w:val="222"/>
        </w:trPr>
        <w:tc>
          <w:tcPr>
            <w:tcW w:w="3800" w:type="dxa"/>
            <w:vAlign w:val="bottom"/>
          </w:tcPr>
          <w:p>
            <w:pPr>
              <w:spacing w:after="0"/>
              <w:rPr>
                <w:sz w:val="19"/>
                <w:szCs w:val="19"/>
                <w:color w:val="auto"/>
              </w:rPr>
            </w:pPr>
          </w:p>
        </w:tc>
        <w:tc>
          <w:tcPr>
            <w:tcW w:w="7620" w:type="dxa"/>
            <w:vAlign w:val="bottom"/>
            <w:gridSpan w:val="2"/>
          </w:tcPr>
          <w:p>
            <w:pPr>
              <w:ind w:left="1620"/>
              <w:spacing w:after="0"/>
              <w:rPr>
                <w:sz w:val="20"/>
                <w:szCs w:val="20"/>
                <w:color w:val="auto"/>
              </w:rPr>
            </w:pPr>
            <w:r>
              <w:rPr>
                <w:rFonts w:ascii="Arial" w:cs="Arial" w:eastAsia="Arial" w:hAnsi="Arial"/>
                <w:sz w:val="18"/>
                <w:szCs w:val="18"/>
                <w:color w:val="auto"/>
              </w:rPr>
              <w:t>as a Lender</w:t>
            </w:r>
          </w:p>
        </w:tc>
      </w:tr>
      <w:tr>
        <w:trPr>
          <w:trHeight w:val="392"/>
        </w:trPr>
        <w:tc>
          <w:tcPr>
            <w:tcW w:w="3800" w:type="dxa"/>
            <w:vAlign w:val="bottom"/>
          </w:tcPr>
          <w:p>
            <w:pPr>
              <w:spacing w:after="0"/>
              <w:rPr>
                <w:sz w:val="24"/>
                <w:szCs w:val="24"/>
                <w:color w:val="auto"/>
              </w:rPr>
            </w:pPr>
          </w:p>
        </w:tc>
        <w:tc>
          <w:tcPr>
            <w:tcW w:w="2100" w:type="dxa"/>
            <w:vAlign w:val="bottom"/>
          </w:tcPr>
          <w:p>
            <w:pPr>
              <w:ind w:left="162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PAUL M. HULTGREN</w:t>
            </w:r>
          </w:p>
        </w:tc>
      </w:tr>
      <w:tr>
        <w:trPr>
          <w:trHeight w:val="203"/>
        </w:trPr>
        <w:tc>
          <w:tcPr>
            <w:tcW w:w="3800" w:type="dxa"/>
            <w:vAlign w:val="bottom"/>
          </w:tcPr>
          <w:p>
            <w:pPr>
              <w:spacing w:after="0"/>
              <w:rPr>
                <w:sz w:val="17"/>
                <w:szCs w:val="17"/>
                <w:color w:val="auto"/>
              </w:rPr>
            </w:pPr>
          </w:p>
        </w:tc>
        <w:tc>
          <w:tcPr>
            <w:tcW w:w="2100" w:type="dxa"/>
            <w:vAlign w:val="bottom"/>
          </w:tcPr>
          <w:p>
            <w:pPr>
              <w:ind w:left="1620"/>
              <w:spacing w:after="0" w:line="203" w:lineRule="exact"/>
              <w:rPr>
                <w:sz w:val="20"/>
                <w:szCs w:val="20"/>
                <w:color w:val="auto"/>
              </w:rPr>
            </w:pPr>
            <w:r>
              <w:rPr>
                <w:rFonts w:ascii="Arial" w:cs="Arial" w:eastAsia="Arial" w:hAnsi="Arial"/>
                <w:sz w:val="18"/>
                <w:szCs w:val="18"/>
                <w:color w:val="auto"/>
                <w:w w:val="86"/>
              </w:rPr>
              <w:t>Name:</w:t>
            </w:r>
          </w:p>
        </w:tc>
        <w:tc>
          <w:tcPr>
            <w:tcW w:w="5520" w:type="dxa"/>
            <w:vAlign w:val="bottom"/>
          </w:tcPr>
          <w:p>
            <w:pPr>
              <w:ind w:left="100"/>
              <w:spacing w:after="0" w:line="203" w:lineRule="exact"/>
              <w:rPr>
                <w:sz w:val="20"/>
                <w:szCs w:val="20"/>
                <w:color w:val="auto"/>
              </w:rPr>
            </w:pPr>
            <w:r>
              <w:rPr>
                <w:rFonts w:ascii="Arial" w:cs="Arial" w:eastAsia="Arial" w:hAnsi="Arial"/>
                <w:sz w:val="18"/>
                <w:szCs w:val="18"/>
                <w:color w:val="auto"/>
              </w:rPr>
              <w:t>Paul M. Hultgren</w:t>
            </w:r>
          </w:p>
        </w:tc>
      </w:tr>
      <w:tr>
        <w:trPr>
          <w:trHeight w:val="222"/>
        </w:trPr>
        <w:tc>
          <w:tcPr>
            <w:tcW w:w="3800" w:type="dxa"/>
            <w:vAlign w:val="bottom"/>
          </w:tcPr>
          <w:p>
            <w:pPr>
              <w:spacing w:after="0"/>
              <w:rPr>
                <w:sz w:val="19"/>
                <w:szCs w:val="19"/>
                <w:color w:val="auto"/>
              </w:rPr>
            </w:pPr>
          </w:p>
        </w:tc>
        <w:tc>
          <w:tcPr>
            <w:tcW w:w="2100" w:type="dxa"/>
            <w:vAlign w:val="bottom"/>
          </w:tcPr>
          <w:p>
            <w:pPr>
              <w:ind w:left="1620"/>
              <w:spacing w:after="0"/>
              <w:rPr>
                <w:sz w:val="20"/>
                <w:szCs w:val="20"/>
                <w:color w:val="auto"/>
              </w:rPr>
            </w:pPr>
            <w:r>
              <w:rPr>
                <w:rFonts w:ascii="Arial" w:cs="Arial" w:eastAsia="Arial" w:hAnsi="Arial"/>
                <w:sz w:val="18"/>
                <w:szCs w:val="18"/>
                <w:color w:val="auto"/>
              </w:rPr>
              <w:t>Title:</w:t>
            </w:r>
          </w:p>
        </w:tc>
        <w:tc>
          <w:tcPr>
            <w:tcW w:w="552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392"/>
        </w:trPr>
        <w:tc>
          <w:tcPr>
            <w:tcW w:w="3800" w:type="dxa"/>
            <w:vAlign w:val="bottom"/>
          </w:tcPr>
          <w:p>
            <w:pPr>
              <w:spacing w:after="0"/>
              <w:rPr>
                <w:sz w:val="24"/>
                <w:szCs w:val="24"/>
                <w:color w:val="auto"/>
              </w:rPr>
            </w:pPr>
          </w:p>
        </w:tc>
        <w:tc>
          <w:tcPr>
            <w:tcW w:w="2100" w:type="dxa"/>
            <w:vAlign w:val="bottom"/>
          </w:tcPr>
          <w:p>
            <w:pPr>
              <w:ind w:left="162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LEO D. FREEMAN</w:t>
            </w:r>
          </w:p>
        </w:tc>
      </w:tr>
      <w:tr>
        <w:trPr>
          <w:trHeight w:val="203"/>
        </w:trPr>
        <w:tc>
          <w:tcPr>
            <w:tcW w:w="3800" w:type="dxa"/>
            <w:vAlign w:val="bottom"/>
          </w:tcPr>
          <w:p>
            <w:pPr>
              <w:spacing w:after="0"/>
              <w:rPr>
                <w:sz w:val="17"/>
                <w:szCs w:val="17"/>
                <w:color w:val="auto"/>
              </w:rPr>
            </w:pPr>
          </w:p>
        </w:tc>
        <w:tc>
          <w:tcPr>
            <w:tcW w:w="2100" w:type="dxa"/>
            <w:vAlign w:val="bottom"/>
          </w:tcPr>
          <w:p>
            <w:pPr>
              <w:ind w:left="1620"/>
              <w:spacing w:after="0" w:line="203" w:lineRule="exact"/>
              <w:rPr>
                <w:sz w:val="20"/>
                <w:szCs w:val="20"/>
                <w:color w:val="auto"/>
              </w:rPr>
            </w:pPr>
            <w:r>
              <w:rPr>
                <w:rFonts w:ascii="Arial" w:cs="Arial" w:eastAsia="Arial" w:hAnsi="Arial"/>
                <w:sz w:val="18"/>
                <w:szCs w:val="18"/>
                <w:color w:val="auto"/>
                <w:w w:val="86"/>
              </w:rPr>
              <w:t>Name:</w:t>
            </w:r>
          </w:p>
        </w:tc>
        <w:tc>
          <w:tcPr>
            <w:tcW w:w="5520" w:type="dxa"/>
            <w:vAlign w:val="bottom"/>
          </w:tcPr>
          <w:p>
            <w:pPr>
              <w:ind w:left="100"/>
              <w:spacing w:after="0" w:line="203" w:lineRule="exact"/>
              <w:rPr>
                <w:sz w:val="20"/>
                <w:szCs w:val="20"/>
                <w:color w:val="auto"/>
              </w:rPr>
            </w:pPr>
            <w:r>
              <w:rPr>
                <w:rFonts w:ascii="Arial" w:cs="Arial" w:eastAsia="Arial" w:hAnsi="Arial"/>
                <w:sz w:val="18"/>
                <w:szCs w:val="18"/>
                <w:color w:val="auto"/>
              </w:rPr>
              <w:t>Leo D. Freeman</w:t>
            </w:r>
          </w:p>
        </w:tc>
      </w:tr>
      <w:tr>
        <w:trPr>
          <w:trHeight w:val="222"/>
        </w:trPr>
        <w:tc>
          <w:tcPr>
            <w:tcW w:w="3800" w:type="dxa"/>
            <w:vAlign w:val="bottom"/>
          </w:tcPr>
          <w:p>
            <w:pPr>
              <w:spacing w:after="0"/>
              <w:rPr>
                <w:sz w:val="19"/>
                <w:szCs w:val="19"/>
                <w:color w:val="auto"/>
              </w:rPr>
            </w:pPr>
          </w:p>
        </w:tc>
        <w:tc>
          <w:tcPr>
            <w:tcW w:w="2100" w:type="dxa"/>
            <w:vAlign w:val="bottom"/>
          </w:tcPr>
          <w:p>
            <w:pPr>
              <w:ind w:left="1620"/>
              <w:spacing w:after="0"/>
              <w:rPr>
                <w:sz w:val="20"/>
                <w:szCs w:val="20"/>
                <w:color w:val="auto"/>
              </w:rPr>
            </w:pPr>
            <w:r>
              <w:rPr>
                <w:rFonts w:ascii="Arial" w:cs="Arial" w:eastAsia="Arial" w:hAnsi="Arial"/>
                <w:sz w:val="18"/>
                <w:szCs w:val="18"/>
                <w:color w:val="auto"/>
              </w:rPr>
              <w:t>Title:</w:t>
            </w:r>
          </w:p>
        </w:tc>
        <w:tc>
          <w:tcPr>
            <w:tcW w:w="552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365"/>
        </w:trPr>
        <w:tc>
          <w:tcPr>
            <w:tcW w:w="38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2</w:t>
            </w:r>
          </w:p>
        </w:tc>
        <w:tc>
          <w:tcPr>
            <w:tcW w:w="5520" w:type="dxa"/>
            <w:vAlign w:val="bottom"/>
          </w:tcPr>
          <w:p>
            <w:pPr>
              <w:spacing w:after="0"/>
              <w:rPr>
                <w:sz w:val="24"/>
                <w:szCs w:val="24"/>
                <w:color w:val="auto"/>
              </w:rPr>
            </w:pPr>
          </w:p>
        </w:tc>
      </w:tr>
    </w:tbl>
    <w:p>
      <w:pPr>
        <w:sectPr>
          <w:pgSz w:w="11900" w:h="16838" w:orient="portrait"/>
          <w:cols w:equalWidth="0" w:num="1">
            <w:col w:w="11420"/>
          </w:cols>
          <w:pgMar w:left="240" w:top="847"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2.02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LOAN NOTICE</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Administrative Agent</w:t>
      </w:r>
    </w:p>
    <w:p>
      <w:pPr>
        <w:spacing w:after="0" w:line="158" w:lineRule="exact"/>
        <w:rPr>
          <w:sz w:val="20"/>
          <w:szCs w:val="20"/>
          <w:color w:val="auto"/>
        </w:rPr>
      </w:pPr>
    </w:p>
    <w:p>
      <w:pPr>
        <w:jc w:val="both"/>
        <w:ind w:left="460" w:hanging="459"/>
        <w:spacing w:after="0" w:line="256" w:lineRule="auto"/>
        <w:tabs>
          <w:tab w:leader="none" w:pos="440" w:val="left"/>
        </w:tabs>
        <w:rPr>
          <w:sz w:val="20"/>
          <w:szCs w:val="20"/>
          <w:color w:val="auto"/>
        </w:rPr>
      </w:pPr>
      <w:r>
        <w:rPr>
          <w:rFonts w:ascii="Arial" w:cs="Arial" w:eastAsia="Arial" w:hAnsi="Arial"/>
          <w:sz w:val="18"/>
          <w:szCs w:val="18"/>
          <w:color w:val="auto"/>
        </w:rPr>
        <w:t>Re:</w:t>
        <w:tab/>
        <w:t>Credit Agreement (as amended, modified, supplemented and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February 1, 2012 among Brady Corporation,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Borrowers identified therein, the Guarantors identified therein, the Lenders identified therein and Bank of America, N.A., as Administrative Agent, Swing Line Lender and L/C Issuer. Capitalized terms used but not otherwise defined herein have the meanings provided in the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(select one):</w:t>
      </w:r>
    </w:p>
    <w:p>
      <w:pPr>
        <w:spacing w:after="0" w:line="144" w:lineRule="exact"/>
        <w:rPr>
          <w:sz w:val="20"/>
          <w:szCs w:val="20"/>
          <w:color w:val="auto"/>
        </w:rPr>
      </w:pPr>
    </w:p>
    <w:p>
      <w:pPr>
        <w:ind w:left="220" w:hanging="212"/>
        <w:spacing w:after="0"/>
        <w:tabs>
          <w:tab w:leader="none" w:pos="220" w:val="left"/>
        </w:tabs>
        <w:numPr>
          <w:ilvl w:val="0"/>
          <w:numId w:val="145"/>
        </w:numPr>
        <w:rPr>
          <w:rFonts w:ascii="MS PGothic" w:cs="MS PGothic" w:eastAsia="MS PGothic" w:hAnsi="MS PGothic"/>
          <w:sz w:val="18"/>
          <w:szCs w:val="18"/>
          <w:color w:val="auto"/>
        </w:rPr>
      </w:pPr>
      <w:r>
        <w:rPr>
          <w:rFonts w:ascii="Arial" w:cs="Arial" w:eastAsia="Arial" w:hAnsi="Arial"/>
          <w:sz w:val="18"/>
          <w:szCs w:val="18"/>
          <w:color w:val="auto"/>
        </w:rPr>
        <w:t>A Borrowing of Revolving Loans</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45"/>
        </w:numPr>
        <w:rPr>
          <w:rFonts w:ascii="MS PGothic" w:cs="MS PGothic" w:eastAsia="MS PGothic" w:hAnsi="MS PGothic"/>
          <w:sz w:val="18"/>
          <w:szCs w:val="18"/>
          <w:color w:val="auto"/>
        </w:rPr>
      </w:pPr>
      <w:r>
        <w:rPr>
          <w:rFonts w:ascii="Arial" w:cs="Arial" w:eastAsia="Arial" w:hAnsi="Arial"/>
          <w:sz w:val="18"/>
          <w:szCs w:val="18"/>
          <w:color w:val="auto"/>
        </w:rPr>
        <w:t>A conversion or continuation of Revolving Loans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400" w:type="dxa"/>
            <w:vAlign w:val="bottom"/>
          </w:tcPr>
          <w:p>
            <w:pPr>
              <w:ind w:left="140"/>
              <w:spacing w:after="0"/>
              <w:rPr>
                <w:sz w:val="20"/>
                <w:szCs w:val="20"/>
                <w:color w:val="auto"/>
              </w:rPr>
            </w:pPr>
            <w:r>
              <w:rPr>
                <w:rFonts w:ascii="Arial" w:cs="Arial" w:eastAsia="Arial" w:hAnsi="Arial"/>
                <w:sz w:val="18"/>
                <w:szCs w:val="18"/>
                <w:color w:val="auto"/>
                <w:w w:val="99"/>
              </w:rPr>
              <w:t>On</w:t>
            </w:r>
          </w:p>
        </w:tc>
        <w:tc>
          <w:tcPr>
            <w:tcW w:w="520" w:type="dxa"/>
            <w:vAlign w:val="bottom"/>
            <w:tcBorders>
              <w:bottom w:val="single" w:sz="8" w:color="auto"/>
            </w:tcBorders>
          </w:tcPr>
          <w:p>
            <w:pPr>
              <w:spacing w:after="0"/>
              <w:rPr>
                <w:sz w:val="17"/>
                <w:szCs w:val="17"/>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 20   (which is a Business Day).</w:t>
            </w:r>
          </w:p>
        </w:tc>
        <w:tc>
          <w:tcPr>
            <w:tcW w:w="380" w:type="dxa"/>
            <w:vAlign w:val="bottom"/>
          </w:tcPr>
          <w:p>
            <w:pPr>
              <w:spacing w:after="0"/>
              <w:rPr>
                <w:sz w:val="17"/>
                <w:szCs w:val="17"/>
                <w:color w:val="auto"/>
              </w:rPr>
            </w:pPr>
          </w:p>
        </w:tc>
      </w:tr>
      <w:tr>
        <w:trPr>
          <w:trHeight w:val="383"/>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w w:val="95"/>
              </w:rPr>
              <w:t>In the amount of $</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Comprised of</w:t>
            </w:r>
          </w:p>
        </w:tc>
        <w:tc>
          <w:tcPr>
            <w:tcW w:w="2840" w:type="dxa"/>
            <w:vAlign w:val="bottom"/>
            <w:gridSpan w:val="2"/>
          </w:tcPr>
          <w:p>
            <w:pPr>
              <w:jc w:val="center"/>
              <w:ind w:right="692"/>
              <w:spacing w:after="0"/>
              <w:rPr>
                <w:sz w:val="20"/>
                <w:szCs w:val="20"/>
                <w:color w:val="auto"/>
              </w:rPr>
            </w:pPr>
            <w:r>
              <w:rPr>
                <w:rFonts w:ascii="Arial" w:cs="Arial" w:eastAsia="Arial" w:hAnsi="Arial"/>
                <w:sz w:val="18"/>
                <w:szCs w:val="18"/>
                <w:color w:val="auto"/>
                <w:w w:val="87"/>
              </w:rPr>
              <w:t>(Type of Loan requested).</w:t>
            </w:r>
          </w:p>
        </w:tc>
        <w:tc>
          <w:tcPr>
            <w:tcW w:w="380" w:type="dxa"/>
            <w:vAlign w:val="bottom"/>
          </w:tcPr>
          <w:p>
            <w:pPr>
              <w:spacing w:after="0"/>
              <w:rPr>
                <w:sz w:val="24"/>
                <w:szCs w:val="24"/>
                <w:color w:val="auto"/>
              </w:rPr>
            </w:pPr>
          </w:p>
        </w:tc>
      </w:tr>
      <w:tr>
        <w:trPr>
          <w:trHeight w:val="457"/>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4380" w:type="dxa"/>
            <w:vAlign w:val="bottom"/>
            <w:gridSpan w:val="5"/>
          </w:tcPr>
          <w:p>
            <w:pPr>
              <w:ind w:left="140"/>
              <w:spacing w:after="0"/>
              <w:rPr>
                <w:sz w:val="20"/>
                <w:szCs w:val="20"/>
                <w:color w:val="auto"/>
              </w:rPr>
            </w:pPr>
            <w:r>
              <w:rPr>
                <w:rFonts w:ascii="Arial" w:cs="Arial" w:eastAsia="Arial" w:hAnsi="Arial"/>
                <w:sz w:val="18"/>
                <w:szCs w:val="18"/>
                <w:color w:val="auto"/>
                <w:w w:val="94"/>
              </w:rPr>
              <w:t>For Eurocurrency Rate Loans: with an Interest Period of</w:t>
            </w:r>
          </w:p>
        </w:tc>
        <w:tc>
          <w:tcPr>
            <w:tcW w:w="380" w:type="dxa"/>
            <w:vAlign w:val="bottom"/>
          </w:tcPr>
          <w:p>
            <w:pPr>
              <w:jc w:val="right"/>
              <w:spacing w:after="0"/>
              <w:rPr>
                <w:sz w:val="20"/>
                <w:szCs w:val="20"/>
                <w:color w:val="auto"/>
              </w:rPr>
            </w:pPr>
            <w:r>
              <w:rPr>
                <w:rFonts w:ascii="Arial" w:cs="Arial" w:eastAsia="Arial" w:hAnsi="Arial"/>
                <w:sz w:val="11"/>
                <w:szCs w:val="11"/>
                <w:color w:val="auto"/>
              </w:rPr>
              <w:t>1</w:t>
            </w:r>
            <w:r>
              <w:rPr>
                <w:rFonts w:ascii="Arial" w:cs="Arial" w:eastAsia="Arial" w:hAnsi="Arial"/>
                <w:sz w:val="35"/>
                <w:szCs w:val="35"/>
                <w:color w:val="auto"/>
                <w:vertAlign w:val="subscript"/>
              </w:rPr>
              <w:t>.</w:t>
            </w:r>
          </w:p>
        </w:tc>
      </w:tr>
      <w:tr>
        <w:trPr>
          <w:trHeight w:val="272"/>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2280" w:type="dxa"/>
            <w:vAlign w:val="bottom"/>
            <w:gridSpan w:val="4"/>
          </w:tcPr>
          <w:p>
            <w:pPr>
              <w:ind w:left="140"/>
              <w:spacing w:after="0"/>
              <w:rPr>
                <w:sz w:val="20"/>
                <w:szCs w:val="20"/>
                <w:color w:val="auto"/>
              </w:rPr>
            </w:pPr>
            <w:r>
              <w:rPr>
                <w:rFonts w:ascii="Arial" w:cs="Arial" w:eastAsia="Arial" w:hAnsi="Arial"/>
                <w:sz w:val="18"/>
                <w:szCs w:val="18"/>
                <w:color w:val="auto"/>
              </w:rPr>
              <w:t>In the following currency:</w:t>
            </w:r>
          </w:p>
        </w:tc>
        <w:tc>
          <w:tcPr>
            <w:tcW w:w="2100" w:type="dxa"/>
            <w:vAlign w:val="bottom"/>
          </w:tcPr>
          <w:p>
            <w:pPr>
              <w:jc w:val="right"/>
              <w:ind w:right="16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r>
    </w:tbl>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With respect to any Borrowing or any conversion or continuation requested herein, the undersigned hereby represents and warrants that (i) in the case of a Borrowing of Revolving Loans, such request complies with the requirements of the proviso to the first sentence of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of the Credit Agreement and</w:t>
      </w:r>
    </w:p>
    <w:p>
      <w:pPr>
        <w:ind w:firstLine="8"/>
        <w:spacing w:after="0" w:line="261" w:lineRule="auto"/>
        <w:tabs>
          <w:tab w:leader="none" w:pos="26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in the case of a Borrowing or any conversion or continuation, each of the conditions set forth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5.02(b)</w:t>
      </w:r>
      <w:r>
        <w:rPr>
          <w:rFonts w:ascii="Arial" w:cs="Arial" w:eastAsia="Arial" w:hAnsi="Arial"/>
          <w:sz w:val="18"/>
          <w:szCs w:val="18"/>
          <w:color w:val="auto"/>
        </w:rPr>
        <w:t xml:space="preserve"> of the Credit Agreement have been satisfied on and as of the date of such Borrowing or such conversion or continuation.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22"/>
          <w:szCs w:val="22"/>
          <w:color w:val="auto"/>
          <w:vertAlign w:val="superscript"/>
        </w:rPr>
      </w:pPr>
      <w:r>
        <w:rPr>
          <w:rFonts w:ascii="Arial" w:cs="Arial" w:eastAsia="Arial" w:hAnsi="Arial"/>
          <w:sz w:val="18"/>
          <w:szCs w:val="18"/>
          <w:color w:val="auto"/>
        </w:rPr>
        <w:t xml:space="preserve">7 days, 1 month, 2 months, 3 months, or 6 months, per the definition of “Interest Period”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ectPr>
          <w:pgSz w:w="11900" w:h="16838" w:orient="portrait"/>
          <w:cols w:equalWidth="0" w:num="1">
            <w:col w:w="11420"/>
          </w:cols>
          <w:pgMar w:left="240" w:top="301" w:right="239" w:bottom="1440" w:gutter="0" w:footer="0" w:header="0"/>
        </w:sectPr>
      </w:pPr>
    </w:p>
    <w:bookmarkStart w:id="119" w:name="page120"/>
    <w:bookmarkEnd w:id="11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[INSERT APPLICABLE BORROWER]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-129540</wp:posOffset>
            </wp:positionV>
            <wp:extent cx="2718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847"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2.04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SWING LINE LOAN NOTICE</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Swing Line Lender</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Bank of America, N.A., as Administrative Agent</w:t>
      </w:r>
    </w:p>
    <w:p>
      <w:pPr>
        <w:spacing w:after="0" w:line="158" w:lineRule="exact"/>
        <w:rPr>
          <w:sz w:val="20"/>
          <w:szCs w:val="20"/>
          <w:color w:val="auto"/>
        </w:rPr>
      </w:pPr>
    </w:p>
    <w:p>
      <w:pPr>
        <w:jc w:val="both"/>
        <w:ind w:left="460" w:hanging="459"/>
        <w:spacing w:after="0" w:line="256" w:lineRule="auto"/>
        <w:tabs>
          <w:tab w:leader="none" w:pos="440" w:val="left"/>
        </w:tabs>
        <w:rPr>
          <w:sz w:val="20"/>
          <w:szCs w:val="20"/>
          <w:color w:val="auto"/>
        </w:rPr>
      </w:pPr>
      <w:r>
        <w:rPr>
          <w:rFonts w:ascii="Arial" w:cs="Arial" w:eastAsia="Arial" w:hAnsi="Arial"/>
          <w:sz w:val="18"/>
          <w:szCs w:val="18"/>
          <w:color w:val="auto"/>
        </w:rPr>
        <w:t>Re:</w:t>
        <w:tab/>
        <w:t>Credit Agreement (as amended, modified, supplemented and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February 1, 2012 among Brady Corporation,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Borrowers identified therein, the Guarantors identified therein, the Lenders identified therein and Bank of America, N.A., as Administrative Agent, Swing Line Lender and L/C Issuer. Capitalized terms used but not otherwise defined herein have the meanings provided in the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a Swing Line Loan: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1.</w:t>
            </w:r>
          </w:p>
        </w:tc>
        <w:tc>
          <w:tcPr>
            <w:tcW w:w="660" w:type="dxa"/>
            <w:vAlign w:val="bottom"/>
          </w:tcPr>
          <w:p>
            <w:pPr>
              <w:ind w:left="160"/>
              <w:spacing w:after="0"/>
              <w:rPr>
                <w:sz w:val="20"/>
                <w:szCs w:val="20"/>
                <w:color w:val="auto"/>
              </w:rPr>
            </w:pPr>
            <w:r>
              <w:rPr>
                <w:rFonts w:ascii="Arial" w:cs="Arial" w:eastAsia="Arial" w:hAnsi="Arial"/>
                <w:sz w:val="18"/>
                <w:szCs w:val="18"/>
                <w:color w:val="auto"/>
              </w:rPr>
              <w:t>On</w:t>
            </w: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 20</w:t>
            </w:r>
          </w:p>
        </w:tc>
        <w:tc>
          <w:tcPr>
            <w:tcW w:w="1400" w:type="dxa"/>
            <w:vAlign w:val="bottom"/>
          </w:tcPr>
          <w:p>
            <w:pPr>
              <w:jc w:val="right"/>
              <w:spacing w:after="0"/>
              <w:rPr>
                <w:sz w:val="20"/>
                <w:szCs w:val="20"/>
                <w:color w:val="auto"/>
              </w:rPr>
            </w:pPr>
            <w:r>
              <w:rPr>
                <w:rFonts w:ascii="Arial" w:cs="Arial" w:eastAsia="Arial" w:hAnsi="Arial"/>
                <w:sz w:val="18"/>
                <w:szCs w:val="18"/>
                <w:color w:val="auto"/>
                <w:w w:val="97"/>
              </w:rPr>
              <w:t>(a Business Day).</w:t>
            </w: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2.</w:t>
            </w: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w w:val="96"/>
              </w:rPr>
              <w:t>In the amount of $</w:t>
            </w:r>
          </w:p>
        </w:tc>
        <w:tc>
          <w:tcPr>
            <w:tcW w:w="1400" w:type="dxa"/>
            <w:vAlign w:val="bottom"/>
          </w:tcPr>
          <w:p>
            <w:pPr>
              <w:jc w:val="right"/>
              <w:ind w:right="872"/>
              <w:spacing w:after="0"/>
              <w:rPr>
                <w:sz w:val="20"/>
                <w:szCs w:val="20"/>
                <w:color w:val="auto"/>
              </w:rPr>
            </w:pPr>
            <w:r>
              <w:rPr>
                <w:rFonts w:ascii="Arial" w:cs="Arial" w:eastAsia="Arial" w:hAnsi="Arial"/>
                <w:sz w:val="18"/>
                <w:szCs w:val="18"/>
                <w:color w:val="auto"/>
              </w:rPr>
              <w:t>.</w:t>
            </w:r>
          </w:p>
        </w:tc>
      </w:tr>
    </w:tbl>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 respect to such Borrowing of Swing Line Loans, the undersigned hereby represents and warrants that (i) such request complies with the requirements of the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of the Credit Agreement and (ii) each of the conditions set forth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5.02(b)</w:t>
      </w:r>
      <w:r>
        <w:rPr>
          <w:rFonts w:ascii="Arial" w:cs="Arial" w:eastAsia="Arial" w:hAnsi="Arial"/>
          <w:sz w:val="18"/>
          <w:szCs w:val="18"/>
          <w:color w:val="auto"/>
        </w:rPr>
        <w:t xml:space="preserve"> of the Credit Agreement have been satisfied on and as of the date of such Borrowing of Swing Line Loans.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4" w:right="239" w:bottom="1440" w:gutter="0" w:footer="0" w:header="0"/>
        </w:sectPr>
      </w:pPr>
    </w:p>
    <w:bookmarkStart w:id="121" w:name="page122"/>
    <w:bookmarkEnd w:id="12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 APPLICABLE BORROWER]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-129540</wp:posOffset>
            </wp:positionV>
            <wp:extent cx="2718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847"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Exhibit 2.11</w:t>
            </w:r>
          </w:p>
        </w:tc>
        <w:tc>
          <w:tcPr>
            <w:tcW w:w="2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70"/>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80" w:type="dxa"/>
            <w:vAlign w:val="bottom"/>
            <w:gridSpan w:val="3"/>
          </w:tcPr>
          <w:p>
            <w:pPr>
              <w:jc w:val="center"/>
              <w:ind w:left="312"/>
              <w:spacing w:after="0"/>
              <w:rPr>
                <w:sz w:val="20"/>
                <w:szCs w:val="20"/>
                <w:color w:val="auto"/>
              </w:rPr>
            </w:pPr>
            <w:r>
              <w:rPr>
                <w:rFonts w:ascii="Arial" w:cs="Arial" w:eastAsia="Arial" w:hAnsi="Arial"/>
                <w:sz w:val="18"/>
                <w:szCs w:val="18"/>
                <w:b w:val="1"/>
                <w:bCs w:val="1"/>
                <w:color w:val="auto"/>
                <w:w w:val="98"/>
              </w:rPr>
              <w:t>FORM OF NOTE</w:t>
            </w:r>
          </w:p>
        </w:tc>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51"/>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60" w:type="dxa"/>
            <w:vAlign w:val="bottom"/>
            <w:gridSpan w:val="3"/>
          </w:tcPr>
          <w:p>
            <w:pPr>
              <w:jc w:val="right"/>
              <w:ind w:right="180"/>
              <w:spacing w:after="0"/>
              <w:rPr>
                <w:sz w:val="20"/>
                <w:szCs w:val="20"/>
                <w:color w:val="auto"/>
              </w:rPr>
            </w:pPr>
            <w:r>
              <w:rPr>
                <w:rFonts w:ascii="Arial" w:cs="Arial" w:eastAsia="Arial" w:hAnsi="Arial"/>
                <w:sz w:val="18"/>
                <w:szCs w:val="18"/>
                <w:color w:val="auto"/>
              </w:rPr>
              <w:t>, 20</w:t>
            </w:r>
          </w:p>
        </w:tc>
      </w:tr>
      <w:tr>
        <w:trPr>
          <w:trHeight w:val="313"/>
        </w:trPr>
        <w:tc>
          <w:tcPr>
            <w:tcW w:w="6760" w:type="dxa"/>
            <w:vAlign w:val="bottom"/>
            <w:gridSpan w:val="5"/>
          </w:tcPr>
          <w:p>
            <w:pPr>
              <w:spacing w:after="0"/>
              <w:rPr>
                <w:sz w:val="20"/>
                <w:szCs w:val="20"/>
                <w:color w:val="auto"/>
              </w:rPr>
            </w:pPr>
            <w:r>
              <w:rPr>
                <w:rFonts w:ascii="Arial" w:cs="Arial" w:eastAsia="Arial" w:hAnsi="Arial"/>
                <w:sz w:val="18"/>
                <w:szCs w:val="18"/>
                <w:color w:val="auto"/>
                <w:w w:val="98"/>
              </w:rPr>
              <w:t>FOR VALUE RECEIVED, the undersigned (the “Borrower”), hereby promises to pay to</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w w:val="98"/>
              </w:rPr>
              <w:t>or registered assigns (the “Lender”), in accordance with the</w:t>
            </w:r>
          </w:p>
        </w:tc>
      </w:tr>
      <w:tr>
        <w:trPr>
          <w:trHeight w:val="20"/>
        </w:trPr>
        <w:tc>
          <w:tcPr>
            <w:tcW w:w="3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98" w:lineRule="auto"/>
        <w:rPr>
          <w:sz w:val="20"/>
          <w:szCs w:val="20"/>
          <w:color w:val="auto"/>
        </w:rPr>
      </w:pPr>
      <w:r>
        <w:rPr>
          <w:rFonts w:ascii="Arial" w:cs="Arial" w:eastAsia="Arial" w:hAnsi="Arial"/>
          <w:sz w:val="16"/>
          <w:szCs w:val="16"/>
          <w:color w:val="auto"/>
        </w:rPr>
        <w:t>provisions of the Credit Agreement (as hereinafter defined), the principal amount of each Loan from time to time made by the Lender to the Borrower under that certain Credit Agreement (as amended, modified, supplemented and extended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February 1, 2012 among the Borrowers, the Guarantors identified therein, the Lenders identified therein and Bank of America, N.A., as Administrative Agent, Swing Line Lender and L/C Issuer. Capitalized terms used but not otherwise defined herein have the meanings provided in the Credit Agreement.</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Borrower promises to pay interest on the unpaid principal amount of each Loan from the date of such Loan until such principal amount is paid in full, at such interest rates and at such times as provided in the Credit Agreement. Except as otherwise expressly provided in the Credit Agreement, all payments of principal and interest shall be made to the Administrative Agent for the account of the Lender in the currency in which such Loan was denominated and in Same Day Funds at the Administrative Agent’s Office for such currency.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Note is one of the Notes referred to in the Credit Agreement, is entitled to the benefits thereof and may be prepaid in whole or in part subject to the terms and conditions provided therein. Upon the occurrence and continuation of one or more of the Events of Default specified in the Credit Agreement, all amounts then remaining unpaid on this Note shall become, or may be declared to be, immediately due and payable all as provided in the Credit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Note.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57" w:right="2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IN ACCORDANCE WITH THE LAWS OF THE STATE OF ILLINOIS.</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-129540</wp:posOffset>
            </wp:positionV>
            <wp:extent cx="2718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800"/>
          </w:cols>
          <w:pgMar w:left="700" w:top="280" w:right="13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2.14(a)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DESIGNATED BORROWER REQUEST</w:t>
      </w:r>
    </w:p>
    <w:p>
      <w:pPr>
        <w:spacing w:after="0" w:line="150" w:lineRule="exact"/>
        <w:rPr>
          <w:sz w:val="20"/>
          <w:szCs w:val="20"/>
          <w:color w:val="auto"/>
        </w:rPr>
      </w:pPr>
    </w:p>
    <w:p>
      <w:pPr>
        <w:ind w:left="9860"/>
        <w:spacing w:after="0"/>
        <w:tabs>
          <w:tab w:leader="none" w:pos="10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Administrative Agent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This Designated Borrower Request is made and delivered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that certain Credit Agreement, dated as of February 1, 2012 (as amended, modified, supplemented and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Brady Corporation,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Borrowers from time to time party thereto, the Guarantors identified therein, the Lenders identified therein, and Bank of America, N.A., as Administrative Agent, L/C Issuer and Swing Line Lender. All capitalized terms used in this Designated Borrower Request and not otherwise defined herein shall have the meanings assigned to them in the Credit Agreement.</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Each of (the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the Company hereby confirms, represents and warrants to the Administrative Agent and the Lenders that the Designated Borrower is a Wholly Owned Subsidiary of the Company that is not an Excluded Subsidiary.</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The documents required to be delivered to the Administrative Agent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 will be furnished to the Administrative Agent in accordance with the requirements of the Credit Agreement.</w:t>
      </w:r>
    </w:p>
    <w:p>
      <w:pPr>
        <w:spacing w:after="0" w:line="10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true and correct unique identification number that has been issued to the Designated Borrower by its jurisdiction of organization and the name of such jurisdiction are set forth below:</w:t>
      </w:r>
    </w:p>
    <w:p>
      <w:pPr>
        <w:spacing w:after="0" w:line="155" w:lineRule="exact"/>
        <w:rPr>
          <w:sz w:val="20"/>
          <w:szCs w:val="20"/>
          <w:color w:val="auto"/>
        </w:rPr>
      </w:pPr>
    </w:p>
    <w:p>
      <w:pPr>
        <w:spacing w:after="0"/>
        <w:tabs>
          <w:tab w:leader="none" w:pos="9760" w:val="left"/>
        </w:tabs>
        <w:rPr>
          <w:sz w:val="20"/>
          <w:szCs w:val="20"/>
          <w:color w:val="auto"/>
        </w:rPr>
      </w:pPr>
      <w:r>
        <w:rPr>
          <w:rFonts w:ascii="Arial" w:cs="Arial" w:eastAsia="Arial" w:hAnsi="Arial"/>
          <w:sz w:val="14"/>
          <w:szCs w:val="14"/>
          <w:b w:val="1"/>
          <w:bCs w:val="1"/>
          <w:color w:val="auto"/>
        </w:rPr>
        <w:t>Identification Number</w:t>
      </w:r>
      <w:r>
        <w:rPr>
          <w:sz w:val="20"/>
          <w:szCs w:val="20"/>
          <w:color w:val="auto"/>
        </w:rPr>
        <w:tab/>
      </w:r>
      <w:r>
        <w:rPr>
          <w:rFonts w:ascii="Arial" w:cs="Arial" w:eastAsia="Arial" w:hAnsi="Arial"/>
          <w:sz w:val="12"/>
          <w:szCs w:val="12"/>
          <w:b w:val="1"/>
          <w:bCs w:val="1"/>
          <w:u w:val="single" w:color="auto"/>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661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3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The parties hereto hereby request that the Designated Borrower be entitled to receive Loans and to have Letters of Credit issued for its account under the Credit Agreement, and understand, acknowledge and agree that neither the Designated Borrower nor the Company on its behalf shall have any right to request any Loans or Letters of Credit for its account unless and until, unless otherwise agreed by the Administrative Agent, the date five Business Days after the effective date designated by the Administrative Agent and the Lenders or the Required Lenders, as applicable, in a Designated Borrower Joinder Agreement delivered to the Company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of the Credit Agreement.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Designated Borrower Request shall constitute a Loan Document under the Credit Agreement.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THIS DESIGNATED BORROWER REQUEST SHALL BE GOVERNED BY, AND CONSTRUED IN ACCORDANCE WITH, THE LAW OF THE STATE OF ILLINOIS.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4" w:right="239" w:bottom="1440" w:gutter="0" w:footer="0" w:header="0"/>
        </w:sectPr>
      </w:pPr>
    </w:p>
    <w:bookmarkStart w:id="125" w:name="page126"/>
    <w:bookmarkEnd w:id="12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Designated Borrower Request to be duly executed and delivered by their proper and duly authorized officers as of the day and year first above written.</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[DESIGNATED BORROWER]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BRADY CORPORATION,</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Wisconsin corporation</w:t>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2.14(b)</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DESIGNATED BORROWER JOINDER AGREEMENT</w:t>
      </w:r>
    </w:p>
    <w:p>
      <w:pPr>
        <w:spacing w:after="0" w:line="150" w:lineRule="exact"/>
        <w:rPr>
          <w:sz w:val="20"/>
          <w:szCs w:val="20"/>
          <w:color w:val="auto"/>
        </w:rPr>
      </w:pPr>
    </w:p>
    <w:p>
      <w:pPr>
        <w:ind w:left="9860"/>
        <w:spacing w:after="0"/>
        <w:tabs>
          <w:tab w:leader="none" w:pos="10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Brady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Lenders party to the Credit Agreement referred to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This Designated Borrower Joinder Agreement is executed and delivered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of that certain Credit Agreement, dated as of February 1, 2012 (as amended, restated, extended, supplemented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Brady Corporation, a Wisconsin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Borrowers from time to time party thereto, the Guarantors identified therein, the Lenders identified therein, and Bank of America, N.A., as Administrative Agent, L/C Issuer and Swing Line Lender. All capitalized terms used in this Designated Borrower Joinder Agreement and not otherwise defined herein shall have the meanings assigned to them in the Credit Agreement.</w:t>
      </w:r>
    </w:p>
    <w:p>
      <w:pPr>
        <w:spacing w:after="0" w:line="83"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 xml:space="preserve">The parties hereto hereby confirm that from and after the date hereof, </w:t>
      </w:r>
      <w:r>
        <w:rPr>
          <w:rFonts w:ascii="Arial" w:cs="Arial" w:eastAsia="Arial" w:hAnsi="Arial"/>
          <w:sz w:val="16"/>
          <w:szCs w:val="16"/>
          <w:b w:val="1"/>
          <w:bCs w:val="1"/>
          <w:color w:val="auto"/>
        </w:rPr>
        <w:t>[Name of Designated Borrower]</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New Designated Borrower</w:t>
      </w:r>
      <w:r>
        <w:rPr>
          <w:rFonts w:ascii="Arial" w:cs="Arial" w:eastAsia="Arial" w:hAnsi="Arial"/>
          <w:sz w:val="16"/>
          <w:szCs w:val="16"/>
          <w:color w:val="auto"/>
        </w:rPr>
        <w:t>”) shall be bound by all of the terms, provisions and conditions applicable to the Borrowers contained in the Credit Agreement. The New Designated Borrower confirms its acceptance of, and consents to, all representations and warranties, covenants, and other terms and provisions of the Credit Agreement.</w:t>
      </w:r>
    </w:p>
    <w:p>
      <w:pPr>
        <w:spacing w:after="0" w:line="7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Effective as of the date hereof, the New Designated Borrower shall be a Designated Borrower and be permitted to receive Loans and Letters of Credit for its account on the terms and conditions set forth in the Credit Agreement [and herein]</w:t>
      </w:r>
      <w:r>
        <w:rPr>
          <w:rFonts w:ascii="Arial" w:cs="Arial" w:eastAsia="Arial" w:hAnsi="Arial"/>
          <w:sz w:val="11"/>
          <w:szCs w:val="11"/>
          <w:color w:val="auto"/>
        </w:rPr>
        <w:t>2</w:t>
      </w:r>
      <w:r>
        <w:rPr>
          <w:rFonts w:ascii="Arial" w:cs="Arial" w:eastAsia="Arial" w:hAnsi="Arial"/>
          <w:sz w:val="18"/>
          <w:szCs w:val="18"/>
          <w:color w:val="auto"/>
        </w:rPr>
        <w:t xml:space="preserve"> and shall otherwise be a Borrower for all purposes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Notice or Letter of Credit Application may be submitted by or on behalf of the New Designated Borrower until, unless otherwise agreed by the Administrative Agent, the date five Business Days after such effective 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additional terms and conditions applicable to extensions of credit to the New Designated Borrower shall be: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applicable terms and conditions.]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Designated Borrower Joinder Agreement shall constitute a Loan Document under the Credit Agreement.</w:t>
      </w:r>
    </w:p>
    <w:p>
      <w:pPr>
        <w:spacing w:after="0" w:line="14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22"/>
          <w:szCs w:val="22"/>
          <w:color w:val="auto"/>
          <w:vertAlign w:val="superscript"/>
        </w:rPr>
      </w:pPr>
      <w:r>
        <w:rPr>
          <w:rFonts w:ascii="Arial" w:cs="Arial" w:eastAsia="Arial" w:hAnsi="Arial"/>
          <w:sz w:val="18"/>
          <w:szCs w:val="18"/>
          <w:color w:val="auto"/>
        </w:rPr>
        <w:t>Include bracketed language if additional terms and conditions apply.</w:t>
      </w:r>
    </w:p>
    <w:p>
      <w:pPr>
        <w:sectPr>
          <w:pgSz w:w="11900" w:h="16838" w:orient="portrait"/>
          <w:cols w:equalWidth="0" w:num="1">
            <w:col w:w="11420"/>
          </w:cols>
          <w:pgMar w:left="240" w:top="274" w:right="239" w:bottom="1440" w:gutter="0" w:footer="0" w:header="0"/>
        </w:sectPr>
      </w:pPr>
    </w:p>
    <w:bookmarkStart w:id="127" w:name="page128"/>
    <w:bookmarkEnd w:id="12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-129540</wp:posOffset>
            </wp:positionV>
            <wp:extent cx="2718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[NEW DESIGNATED BORROWER]</w:t>
      </w:r>
    </w:p>
    <w:p>
      <w:pPr>
        <w:spacing w:after="0" w:line="1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4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BRADY CORPORATION,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Wisconsin corporation</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2540</wp:posOffset>
            </wp:positionV>
            <wp:extent cx="2658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841" w:right="1440"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FORMS OF U.S. TAX COMPLIANCE CERTIFICATES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129" w:name="page130"/>
    <w:bookmarkEnd w:id="129"/>
    <w:p>
      <w:pPr>
        <w:ind w:left="51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3.01-A</w:t>
      </w:r>
    </w:p>
    <w:p>
      <w:pPr>
        <w:spacing w:after="0" w:line="144" w:lineRule="exact"/>
        <w:rPr>
          <w:sz w:val="20"/>
          <w:szCs w:val="20"/>
          <w:color w:val="auto"/>
        </w:rPr>
      </w:pPr>
    </w:p>
    <w:p>
      <w:pPr>
        <w:ind w:left="5340"/>
        <w:spacing w:after="0"/>
        <w:rPr>
          <w:sz w:val="20"/>
          <w:szCs w:val="20"/>
          <w:color w:val="auto"/>
        </w:rPr>
      </w:pPr>
      <w:r>
        <w:rPr>
          <w:rFonts w:ascii="Arial" w:cs="Arial" w:eastAsia="Arial" w:hAnsi="Arial"/>
          <w:sz w:val="18"/>
          <w:szCs w:val="18"/>
          <w:u w:val="single" w:color="auto"/>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 TAX COMPLIANCE CERTIFICATE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Reference is hereby made to the Credit Agreement dated as of February 1, 2012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Brady Corporation, a Wisconsin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other Borrowers identified therein, the Guarantors identified therein, the Lenders identified therein and Bank of America, N.A., as Administrative Agent, Swing Line Lender and L/C Issuer.</w:t>
      </w:r>
    </w:p>
    <w:p>
      <w:pPr>
        <w:spacing w:after="0" w:line="8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Internal Revenue Code, (iii) it is not a ten percent shareholder of a Borrower within the meaning of Section 871(h)(3)(B) of the Internal Revenue Code and (iv) it is not a controlled foreign corporation related to a Borrower as described in Section 881(c)(3)(C) of the Internal Revenue Code.</w:t>
      </w:r>
    </w:p>
    <w:p>
      <w:pPr>
        <w:spacing w:after="0" w:line="8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undersigned has furnished the Administrative Agent and the Company with a certificate of its non-U.S. Person status on IRS Form W-8BEN.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16" w:lineRule="exact"/>
        <w:rPr>
          <w:sz w:val="20"/>
          <w:szCs w:val="20"/>
          <w:color w:val="auto"/>
        </w:rPr>
      </w:pPr>
    </w:p>
    <w:p>
      <w:pPr>
        <w:ind w:right="240" w:firstLine="456"/>
        <w:spacing w:after="0" w:line="440"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 [NAME OF LENDER]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-129540</wp:posOffset>
            </wp:positionV>
            <wp:extent cx="25215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0" w:name="page131"/>
    <w:bookmarkEnd w:id="130"/>
    <w:p>
      <w:pPr>
        <w:ind w:left="52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3.01-B</w:t>
      </w:r>
    </w:p>
    <w:p>
      <w:pPr>
        <w:spacing w:after="0" w:line="144" w:lineRule="exact"/>
        <w:rPr>
          <w:sz w:val="20"/>
          <w:szCs w:val="20"/>
          <w:color w:val="auto"/>
        </w:rPr>
      </w:pPr>
    </w:p>
    <w:p>
      <w:pPr>
        <w:ind w:left="5340"/>
        <w:spacing w:after="0"/>
        <w:rPr>
          <w:sz w:val="20"/>
          <w:szCs w:val="20"/>
          <w:color w:val="auto"/>
        </w:rPr>
      </w:pPr>
      <w:r>
        <w:rPr>
          <w:rFonts w:ascii="Arial" w:cs="Arial" w:eastAsia="Arial" w:hAnsi="Arial"/>
          <w:sz w:val="18"/>
          <w:szCs w:val="18"/>
          <w:u w:val="single" w:color="auto"/>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 TAX COMPLIANCE CERTIFICATE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Reference is hereby made to the Credit Agreement dated as of February 1, 2012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Brady Corporation, a Wisconsin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other Borrowers identified therein, the Guarantors identified therein, the Lenders identified therein and Bank of America, N.A., as Administrative Agent, Swing Line Lender and L/C Issuer.</w:t>
      </w:r>
    </w:p>
    <w:p>
      <w:pPr>
        <w:spacing w:after="0" w:line="8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Internal Revenue Code,</w:t>
      </w:r>
    </w:p>
    <w:p>
      <w:pPr>
        <w:ind w:firstLine="8"/>
        <w:spacing w:after="0" w:line="261" w:lineRule="auto"/>
        <w:tabs>
          <w:tab w:leader="none" w:pos="3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 is not a ten percent shareholder of a Borrower within the meaning of Section 871(h)(3)(B) of the Internal Revenue Code, and (iv) it is not a controlled foreign corporation related to a Borrower as described in Section 881(c)(3)(C) of the Internal Revenue Code.</w:t>
      </w:r>
    </w:p>
    <w:p>
      <w:pPr>
        <w:spacing w:after="0" w:line="11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w:t>
      </w:r>
    </w:p>
    <w:p>
      <w:pPr>
        <w:ind w:firstLine="8"/>
        <w:spacing w:after="0" w:line="261" w:lineRule="auto"/>
        <w:tabs>
          <w:tab w:leader="none" w:pos="2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11" w:lineRule="exact"/>
        <w:rPr>
          <w:sz w:val="20"/>
          <w:szCs w:val="20"/>
          <w:color w:val="auto"/>
        </w:rPr>
      </w:pPr>
    </w:p>
    <w:p>
      <w:pPr>
        <w:ind w:right="240" w:firstLine="456"/>
        <w:spacing w:after="0" w:line="425"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 [NAME OF PARTICIPANT]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-129540</wp:posOffset>
            </wp:positionV>
            <wp:extent cx="25215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1" w:name="page132"/>
    <w:bookmarkEnd w:id="131"/>
    <w:p>
      <w:pPr>
        <w:ind w:left="52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3.01-C</w:t>
      </w:r>
    </w:p>
    <w:p>
      <w:pPr>
        <w:spacing w:after="0" w:line="144" w:lineRule="exact"/>
        <w:rPr>
          <w:sz w:val="20"/>
          <w:szCs w:val="20"/>
          <w:color w:val="auto"/>
        </w:rPr>
      </w:pPr>
    </w:p>
    <w:p>
      <w:pPr>
        <w:ind w:left="5340"/>
        <w:spacing w:after="0"/>
        <w:rPr>
          <w:sz w:val="20"/>
          <w:szCs w:val="20"/>
          <w:color w:val="auto"/>
        </w:rPr>
      </w:pPr>
      <w:r>
        <w:rPr>
          <w:rFonts w:ascii="Arial" w:cs="Arial" w:eastAsia="Arial" w:hAnsi="Arial"/>
          <w:sz w:val="18"/>
          <w:szCs w:val="18"/>
          <w:u w:val="single" w:color="auto"/>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 TAX COMPLIANCE CERTIFICATE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Reference is hereby made to the Credit Agreement dated as of February 1, 2012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Brady Corporation, a Wisconsin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other Borrowers identified therein, the Guarantors identified therein, the Lenders identified therein and Bank of America, N.A., as Administrative Agent, Swing Line Lender and L/C Issuer.</w:t>
      </w:r>
    </w:p>
    <w:p>
      <w:pPr>
        <w:spacing w:after="0" w:line="8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w:t>
      </w:r>
    </w:p>
    <w:p>
      <w:pPr>
        <w:jc w:val="both"/>
        <w:ind w:firstLine="8"/>
        <w:spacing w:after="0" w:line="281" w:lineRule="auto"/>
        <w:tabs>
          <w:tab w:leader="none" w:pos="33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with respect such participation, neither the undersigned nor any of its direct or indirect partners/members is a bank extending credit pursuant to a loan agreement entered into in the ordinary course of its trade or business within the meaning of Section 881(c)(3)(A) of the Internal Revenue Code, (iv) none of its direct or indirect partners/members is a ten percent shareholder of a Borrower within the meaning of Section 871(h)(3)(B) of the Internal Revenue Code and</w:t>
      </w:r>
    </w:p>
    <w:p>
      <w:pPr>
        <w:spacing w:after="0" w:line="2" w:lineRule="exact"/>
        <w:rPr>
          <w:rFonts w:ascii="Arial" w:cs="Arial" w:eastAsia="Arial" w:hAnsi="Arial"/>
          <w:sz w:val="16"/>
          <w:szCs w:val="16"/>
          <w:color w:val="auto"/>
        </w:rPr>
      </w:pPr>
    </w:p>
    <w:p>
      <w:pPr>
        <w:ind w:firstLine="8"/>
        <w:spacing w:after="0" w:line="261" w:lineRule="auto"/>
        <w:tabs>
          <w:tab w:leader="none" w:pos="2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none of its direct or indirect partners/members is a controlled foreign corporation related to a Borrower as described in Section 881(c)(3)(C) of the Internal Revenue Code.</w:t>
      </w:r>
    </w:p>
    <w:p>
      <w:pPr>
        <w:spacing w:after="0" w:line="11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93" w:lineRule="exact"/>
        <w:rPr>
          <w:sz w:val="20"/>
          <w:szCs w:val="20"/>
          <w:color w:val="auto"/>
        </w:rPr>
      </w:pPr>
    </w:p>
    <w:p>
      <w:pPr>
        <w:ind w:right="240" w:firstLine="456"/>
        <w:spacing w:after="0" w:line="440"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 [NAME OF PARTICIPANT]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-129540</wp:posOffset>
            </wp:positionV>
            <wp:extent cx="25215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2" w:name="page133"/>
    <w:bookmarkEnd w:id="132"/>
    <w:p>
      <w:pPr>
        <w:ind w:left="51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3.01-D</w:t>
      </w:r>
    </w:p>
    <w:p>
      <w:pPr>
        <w:spacing w:after="0" w:line="144" w:lineRule="exact"/>
        <w:rPr>
          <w:sz w:val="20"/>
          <w:szCs w:val="20"/>
          <w:color w:val="auto"/>
        </w:rPr>
      </w:pPr>
    </w:p>
    <w:p>
      <w:pPr>
        <w:ind w:left="5340"/>
        <w:spacing w:after="0"/>
        <w:rPr>
          <w:sz w:val="20"/>
          <w:szCs w:val="20"/>
          <w:color w:val="auto"/>
        </w:rPr>
      </w:pPr>
      <w:r>
        <w:rPr>
          <w:rFonts w:ascii="Arial" w:cs="Arial" w:eastAsia="Arial" w:hAnsi="Arial"/>
          <w:sz w:val="18"/>
          <w:szCs w:val="18"/>
          <w:u w:val="single" w:color="auto"/>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 TAX COMPLIANCE CERTIFICATE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Reference is hereby made to the Credit Agreement dated as of February 1, 2012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Brady Corporation, a Wisconsin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other Borrowers identified therein, the Guarantors identified therein, the Lenders identified therein and Bank of America, N.A., as Administrative Agent, Swing Line Lender and L/C Issuer.</w:t>
      </w:r>
    </w:p>
    <w:p>
      <w:pPr>
        <w:spacing w:after="0" w:line="8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Internal Revenue Code, (iv) none of its direct or indirect partners/members is a ten percent shareholder of a Borrower within the meaning of Section 871(h)(3)(B) of the Internal Revenue Code and (v) none of its direct or indirect partners/members is a controlled foreign corporation related to a Borrower as described in Section 881(c)(3)(C) of the Internal Revenue Code.</w:t>
      </w:r>
    </w:p>
    <w:p>
      <w:pPr>
        <w:spacing w:after="0" w:line="9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The undersigned has furnished the Administrative Agent and the Company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Administrative Agent, and</w:t>
      </w:r>
    </w:p>
    <w:p>
      <w:pPr>
        <w:spacing w:after="0" w:line="3" w:lineRule="exact"/>
        <w:rPr>
          <w:sz w:val="20"/>
          <w:szCs w:val="20"/>
          <w:color w:val="auto"/>
        </w:rPr>
      </w:pPr>
    </w:p>
    <w:p>
      <w:pPr>
        <w:ind w:firstLine="8"/>
        <w:spacing w:after="0" w:line="323" w:lineRule="auto"/>
        <w:tabs>
          <w:tab w:leader="none" w:pos="25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66" w:lineRule="exact"/>
        <w:rPr>
          <w:sz w:val="20"/>
          <w:szCs w:val="20"/>
          <w:color w:val="auto"/>
        </w:rPr>
      </w:pPr>
    </w:p>
    <w:p>
      <w:pPr>
        <w:ind w:right="240" w:firstLine="456"/>
        <w:spacing w:after="0" w:line="440"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 [NAME OF LENDER]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-129540</wp:posOffset>
            </wp:positionV>
            <wp:extent cx="25215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wp:posOffset>
            </wp:positionV>
            <wp:extent cx="24872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7.01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Financial Statement Date:</w:t>
            </w:r>
          </w:p>
        </w:tc>
        <w:tc>
          <w:tcPr>
            <w:tcW w:w="54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1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Administrative Agent</w:t>
      </w:r>
    </w:p>
    <w:p>
      <w:pPr>
        <w:spacing w:after="0" w:line="158" w:lineRule="exact"/>
        <w:rPr>
          <w:sz w:val="20"/>
          <w:szCs w:val="20"/>
          <w:color w:val="auto"/>
        </w:rPr>
      </w:pPr>
    </w:p>
    <w:p>
      <w:pPr>
        <w:jc w:val="both"/>
        <w:ind w:left="460" w:hanging="459"/>
        <w:spacing w:after="0" w:line="256" w:lineRule="auto"/>
        <w:tabs>
          <w:tab w:leader="none" w:pos="440" w:val="left"/>
        </w:tabs>
        <w:rPr>
          <w:sz w:val="20"/>
          <w:szCs w:val="20"/>
          <w:color w:val="auto"/>
        </w:rPr>
      </w:pPr>
      <w:r>
        <w:rPr>
          <w:rFonts w:ascii="Arial" w:cs="Arial" w:eastAsia="Arial" w:hAnsi="Arial"/>
          <w:sz w:val="18"/>
          <w:szCs w:val="18"/>
          <w:color w:val="auto"/>
        </w:rPr>
        <w:t>Re:</w:t>
        <w:tab/>
        <w:t>Credit Agreement (as amended, modified, supplemented and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February 1, 2012 among Brady Corporation,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Borrowers identified therein, the Guarantors identified therein, the Lenders identified therein and Bank of America, N.A., as Administrative Agent, Swing Line Lender and L/C Issuer. Capitalized terms used but not otherwise defined herein have the meanings provided in the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undersigned Responsible Officer hereby certifies as of the date hereof that [he/she] is the of the Company, and that, in [his/her] capacity as such, [he/she] is authorized to execute and deliver this Certificate to the Administrative Agent on the behalf of the Company, and that: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[Use following paragraph 1 for fiscal year-end financial statements:]</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[1.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the year-end audited financial statements required by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of the Credit Agreement for the Fiscal Year of the Company ended as of the above date, together with the report and statement of an independent certified public accountant required by such section.]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[Use following paragraph 1 for fiscal quarter-end financial statements:]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[1.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unaudited financial statements required by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of the Credit Agreement for the Fiscal Quarter of the Company ended as of the above date. Such financial statements fairly present the consolidated financial position and results of operations of the Company and its consolidated Subsidiaries in accordance with GAAP as at such date and for such period, subject to normal year-end audit adjustments and the absence of footnotes.]</w:t>
      </w:r>
    </w:p>
    <w:p>
      <w:pPr>
        <w:spacing w:after="0" w:line="116" w:lineRule="exact"/>
        <w:rPr>
          <w:sz w:val="20"/>
          <w:szCs w:val="20"/>
          <w:color w:val="auto"/>
        </w:rPr>
      </w:pPr>
    </w:p>
    <w:p>
      <w:pPr>
        <w:ind w:firstLine="8"/>
        <w:spacing w:after="0" w:line="332" w:lineRule="auto"/>
        <w:tabs>
          <w:tab w:leader="none" w:pos="19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undersigned has reviewed and is familiar with the terms of the Credit Agreement and has made, or has caused to be made, a detailed review of the transactions and condition (financial or otherwise) of the Company during the accounting period covered by the attached financial statements.</w:t>
      </w:r>
    </w:p>
    <w:p>
      <w:pPr>
        <w:spacing w:after="0" w:line="58" w:lineRule="exact"/>
        <w:rPr>
          <w:rFonts w:ascii="Arial" w:cs="Arial" w:eastAsia="Arial" w:hAnsi="Arial"/>
          <w:sz w:val="16"/>
          <w:szCs w:val="16"/>
          <w:color w:val="auto"/>
        </w:rPr>
      </w:pPr>
    </w:p>
    <w:p>
      <w:pPr>
        <w:ind w:firstLine="8"/>
        <w:spacing w:after="0" w:line="268" w:lineRule="auto"/>
        <w:tabs>
          <w:tab w:leader="none" w:pos="19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review of the activities of the Company during such fiscal period has been made under the supervision of the undersigned with a view to determining whether during such fiscal period the Loan Parties performed and observed all their Obligations under the Loan Documents, and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[select one:]</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the best knowledge of the undersigned during such fiscal period, the Loan Parties performed and observed each covenant and condition of the Loan Documents applicable to them.]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274" w:right="239" w:bottom="1440" w:gutter="0" w:footer="0" w:header="0"/>
        </w:sectPr>
      </w:pPr>
    </w:p>
    <w:bookmarkStart w:id="134" w:name="page135"/>
    <w:bookmarkEnd w:id="13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covenants or conditions have not been performed or observed and the following is a list of each such Default and its nature and status, including a description of the steps, if any, being taken to cure each such Default:]</w:t>
      </w:r>
    </w:p>
    <w:p>
      <w:pPr>
        <w:spacing w:after="0" w:line="105" w:lineRule="exact"/>
        <w:rPr>
          <w:sz w:val="20"/>
          <w:szCs w:val="20"/>
          <w:color w:val="auto"/>
        </w:rPr>
      </w:pPr>
    </w:p>
    <w:p>
      <w:pPr>
        <w:ind w:firstLine="8"/>
        <w:spacing w:after="0" w:line="268" w:lineRule="auto"/>
        <w:tabs>
          <w:tab w:leader="none" w:pos="1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financial covenant analyses and information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are true and accurate on and as of the last day of the applicable Computation Period.</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780" w:type="dxa"/>
            <w:vAlign w:val="bottom"/>
          </w:tcPr>
          <w:p>
            <w:pPr>
              <w:spacing w:after="0"/>
              <w:rPr>
                <w:sz w:val="20"/>
                <w:szCs w:val="20"/>
                <w:color w:val="auto"/>
              </w:rPr>
            </w:pPr>
            <w:r>
              <w:rPr>
                <w:rFonts w:ascii="Arial" w:cs="Arial" w:eastAsia="Arial" w:hAnsi="Arial"/>
                <w:sz w:val="18"/>
                <w:szCs w:val="18"/>
                <w:color w:val="auto"/>
                <w:w w:val="93"/>
              </w:rPr>
              <w:t>IN WITNESS WHEREOF, the undersigned has executed this Certificate as of</w:t>
            </w:r>
          </w:p>
        </w:tc>
        <w:tc>
          <w:tcPr>
            <w:tcW w:w="76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BRADY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Wisconsin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 to Compliance Certificate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Covenant Calculations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960" w:type="dxa"/>
            <w:vAlign w:val="bottom"/>
            <w:gridSpan w:val="3"/>
          </w:tcPr>
          <w:p>
            <w:pPr>
              <w:ind w:left="440"/>
              <w:spacing w:after="0"/>
              <w:rPr>
                <w:sz w:val="20"/>
                <w:szCs w:val="20"/>
                <w:color w:val="auto"/>
              </w:rPr>
            </w:pPr>
            <w:r>
              <w:rPr>
                <w:rFonts w:ascii="Arial" w:cs="Arial" w:eastAsia="Arial" w:hAnsi="Arial"/>
                <w:sz w:val="18"/>
                <w:szCs w:val="18"/>
                <w:color w:val="auto"/>
              </w:rPr>
              <w:t>I. Consolidated Leverage Ratio — Section 7.06(a)</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Consolidated Funded Debt (as of the last day of the Computation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(b) Consolidated EBITDA (for such Computation Period)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 Consolidated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w w:val="97"/>
              </w:rPr>
              <w:t>(ii) To the extent deducted or included in computing Consolidated Net Income, as applicable, and without duplication (all as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360" w:type="dxa"/>
            <w:vAlign w:val="bottom"/>
            <w:gridSpan w:val="2"/>
          </w:tcPr>
          <w:p>
            <w:pPr>
              <w:ind w:left="40"/>
              <w:spacing w:after="0"/>
              <w:rPr>
                <w:sz w:val="20"/>
                <w:szCs w:val="20"/>
                <w:color w:val="auto"/>
              </w:rPr>
            </w:pPr>
            <w:r>
              <w:rPr>
                <w:rFonts w:ascii="Arial" w:cs="Arial" w:eastAsia="Arial" w:hAnsi="Arial"/>
                <w:sz w:val="18"/>
                <w:szCs w:val="18"/>
                <w:color w:val="auto"/>
              </w:rPr>
              <w:t>determined in accordance with GAAP):</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 + depreciation and amortization expense for such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gridSpan w:val="2"/>
          </w:tcPr>
          <w:p>
            <w:pPr>
              <w:ind w:left="260"/>
              <w:spacing w:after="0"/>
              <w:rPr>
                <w:sz w:val="20"/>
                <w:szCs w:val="20"/>
                <w:color w:val="auto"/>
              </w:rPr>
            </w:pPr>
            <w:r>
              <w:rPr>
                <w:rFonts w:ascii="Arial" w:cs="Arial" w:eastAsia="Arial" w:hAnsi="Arial"/>
                <w:sz w:val="18"/>
                <w:szCs w:val="18"/>
                <w:color w:val="auto"/>
              </w:rPr>
              <w:t>(B) + Consolidated Interest Expense for such period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 + income tax expense for such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gridSpan w:val="2"/>
          </w:tcPr>
          <w:p>
            <w:pPr>
              <w:ind w:left="260"/>
              <w:spacing w:after="0"/>
              <w:rPr>
                <w:sz w:val="20"/>
                <w:szCs w:val="20"/>
                <w:color w:val="auto"/>
              </w:rPr>
            </w:pPr>
            <w:r>
              <w:rPr>
                <w:rFonts w:ascii="Arial" w:cs="Arial" w:eastAsia="Arial" w:hAnsi="Arial"/>
                <w:sz w:val="18"/>
                <w:szCs w:val="18"/>
                <w:color w:val="auto"/>
                <w:w w:val="88"/>
              </w:rPr>
              <w:t>(D) + other non-cash charges for such period (excluding any write- down of current assets and any such non-cash charges to the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360" w:type="dxa"/>
            <w:vAlign w:val="bottom"/>
            <w:gridSpan w:val="2"/>
          </w:tcPr>
          <w:p>
            <w:pPr>
              <w:ind w:left="460"/>
              <w:spacing w:after="0"/>
              <w:rPr>
                <w:sz w:val="20"/>
                <w:szCs w:val="20"/>
                <w:color w:val="auto"/>
              </w:rPr>
            </w:pPr>
            <w:r>
              <w:rPr>
                <w:rFonts w:ascii="Arial" w:cs="Arial" w:eastAsia="Arial" w:hAnsi="Arial"/>
                <w:sz w:val="18"/>
                <w:szCs w:val="18"/>
                <w:color w:val="auto"/>
              </w:rPr>
              <w:t>extent that such charge represents an accrual of or reserve for a future cash payment)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(E) + acquisition-related restructuring charges and acquisition- related fees in an aggregate amount not to exceed $15,000,000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during any twelve month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gridSpan w:val="2"/>
          </w:tcPr>
          <w:p>
            <w:pPr>
              <w:ind w:left="260"/>
              <w:spacing w:after="0"/>
              <w:rPr>
                <w:sz w:val="20"/>
                <w:szCs w:val="20"/>
                <w:color w:val="auto"/>
              </w:rPr>
            </w:pPr>
            <w:r>
              <w:rPr>
                <w:rFonts w:ascii="Arial" w:cs="Arial" w:eastAsia="Arial" w:hAnsi="Arial"/>
                <w:sz w:val="18"/>
                <w:szCs w:val="18"/>
                <w:color w:val="auto"/>
              </w:rPr>
              <w:t>(F) + non-cash losses realized in connection with a sale or other disposition of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(G) - non-cash income for such period (excluding any non-cash income to the extent that such income represents a receivable or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asset for a future cash receipt)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60" w:type="dxa"/>
            <w:vAlign w:val="bottom"/>
            <w:gridSpan w:val="2"/>
          </w:tcPr>
          <w:p>
            <w:pPr>
              <w:ind w:left="260"/>
              <w:spacing w:after="0"/>
              <w:rPr>
                <w:sz w:val="20"/>
                <w:szCs w:val="20"/>
                <w:color w:val="auto"/>
              </w:rPr>
            </w:pPr>
            <w:r>
              <w:rPr>
                <w:rFonts w:ascii="Arial" w:cs="Arial" w:eastAsia="Arial" w:hAnsi="Arial"/>
                <w:sz w:val="18"/>
                <w:szCs w:val="18"/>
                <w:color w:val="auto"/>
              </w:rPr>
              <w:t>(H) - non-cash gains realized in connection with a sale or other disposition of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(iii) Consolidated EBITDA (for such Computation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(c) Consolidated Leverage Ratio: (a) / (b)(iii) =</w:t>
            </w:r>
          </w:p>
        </w:tc>
        <w:tc>
          <w:tcPr>
            <w:tcW w:w="180" w:type="dxa"/>
            <w:vAlign w:val="bottom"/>
          </w:tcPr>
          <w:p>
            <w:pPr>
              <w:spacing w:after="0"/>
              <w:rPr>
                <w:sz w:val="19"/>
                <w:szCs w:val="19"/>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1.00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rPr>
              <w:t>II. Consolidated Interest Coverage Ratio — Section 7.06(b)</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Consolidated EBITDA (for such Computation Period) (see (I)(b)(iii))</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(b) Consolidated Interest Expense (for such Computation Period)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 Consolidated Interest Coverage Ratio: (a) / (b)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rPr>
              <w:t>III. Consolidated Net Leverage Ratio — Section 7.01(c)</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Consolidated Funded Debt (as of the last day of the Computation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(b) Specified Cash (as of the last day of the Computation Period)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 Consolidated EBITDA (for such Computation Period) (see (I)(b)(iii))</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_____________</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(d) Consolidated Net Leverage Ratio: ((a)-(b)) / (c)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 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2"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22"/>
          <w:szCs w:val="22"/>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of the Credit Agreement.</w:t>
      </w:r>
    </w:p>
    <w:p>
      <w:pPr>
        <w:spacing w:after="0" w:line="112"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22"/>
          <w:szCs w:val="22"/>
          <w:color w:val="auto"/>
          <w:vertAlign w:val="superscript"/>
        </w:rPr>
      </w:pPr>
      <w:r>
        <w:rPr>
          <w:rFonts w:ascii="Arial" w:cs="Arial" w:eastAsia="Arial" w:hAnsi="Arial"/>
          <w:sz w:val="18"/>
          <w:szCs w:val="18"/>
          <w:color w:val="auto"/>
        </w:rPr>
        <w:t xml:space="preserve">Minimum permitted is 3.00 to 1.00, per </w:t>
      </w:r>
      <w:r>
        <w:rPr>
          <w:rFonts w:ascii="Arial" w:cs="Arial" w:eastAsia="Arial" w:hAnsi="Arial"/>
          <w:sz w:val="18"/>
          <w:szCs w:val="18"/>
          <w:u w:val="single" w:color="auto"/>
          <w:color w:val="auto"/>
        </w:rPr>
        <w:t>Section 7.06(b)</w:t>
      </w:r>
      <w:r>
        <w:rPr>
          <w:rFonts w:ascii="Arial" w:cs="Arial" w:eastAsia="Arial" w:hAnsi="Arial"/>
          <w:sz w:val="18"/>
          <w:szCs w:val="18"/>
          <w:color w:val="auto"/>
        </w:rPr>
        <w:t xml:space="preserve"> of the Credit Agreement.</w:t>
      </w:r>
    </w:p>
    <w:p>
      <w:pPr>
        <w:sectPr>
          <w:pgSz w:w="11900" w:h="16838" w:orient="portrait"/>
          <w:cols w:equalWidth="0" w:num="1">
            <w:col w:w="11420"/>
          </w:cols>
          <w:pgMar w:left="240" w:top="280"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7.16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JOINDER AGREEMENT</w:t>
      </w:r>
    </w:p>
    <w:p>
      <w:pPr>
        <w:spacing w:after="0" w:line="150" w:lineRule="exact"/>
        <w:rPr>
          <w:sz w:val="20"/>
          <w:szCs w:val="20"/>
          <w:color w:val="auto"/>
        </w:rPr>
      </w:pPr>
    </w:p>
    <w:p>
      <w:pPr>
        <w:ind w:left="460"/>
        <w:spacing w:after="0"/>
        <w:tabs>
          <w:tab w:leader="none" w:pos="5500" w:val="left"/>
          <w:tab w:leader="none" w:pos="6320" w:val="left"/>
          <w:tab w:leader="none" w:pos="8200" w:val="left"/>
          <w:tab w:leader="none" w:pos="8980" w:val="left"/>
        </w:tabs>
        <w:rPr>
          <w:sz w:val="20"/>
          <w:szCs w:val="20"/>
          <w:color w:val="auto"/>
        </w:rPr>
      </w:pPr>
      <w:r>
        <w:rPr>
          <w:rFonts w:ascii="Arial" w:cs="Arial" w:eastAsia="Arial" w:hAnsi="Arial"/>
          <w:sz w:val="18"/>
          <w:szCs w:val="18"/>
          <w:color w:val="auto"/>
        </w:rPr>
        <w:t>THIS JOINDER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is by and between</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New Subsidiary</w:t>
      </w:r>
      <w:r>
        <w:rPr>
          <w:rFonts w:ascii="Arial" w:cs="Arial" w:eastAsia="Arial" w:hAnsi="Arial"/>
          <w:sz w:val="16"/>
          <w:szCs w:val="16"/>
          <w:color w:val="auto"/>
        </w:rPr>
        <w:t>”), and Bank</w:t>
      </w:r>
    </w:p>
    <w:p>
      <w:pPr>
        <w:spacing w:after="0" w:line="1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of America, N.A., in its capacity as Administrative Agent under that certain Credit Agreement (as amended, modified, supplemented and extended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February 1, 2012 among Brady Corporation, a Wisconsin corporation (“</w:t>
      </w:r>
      <w:r>
        <w:rPr>
          <w:rFonts w:ascii="Arial" w:cs="Arial" w:eastAsia="Arial" w:hAnsi="Arial"/>
          <w:sz w:val="16"/>
          <w:szCs w:val="16"/>
          <w:u w:val="single" w:color="auto"/>
          <w:color w:val="auto"/>
        </w:rPr>
        <w:t>the Company</w:t>
      </w:r>
      <w:r>
        <w:rPr>
          <w:rFonts w:ascii="Arial" w:cs="Arial" w:eastAsia="Arial" w:hAnsi="Arial"/>
          <w:sz w:val="16"/>
          <w:szCs w:val="16"/>
          <w:color w:val="auto"/>
        </w:rPr>
        <w:t>”), the other Borrowers identified therein, the Guarantors identified therein, the Lenders identified therein and Bank of America, N.A., as Administrative Agent, Swing Line Lender and L/C Issuer. Capitalized terms used herein and not otherwise defined herein shall have the meanings assigned to such terms in the Credit Agreement.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Loan Parties are required by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of the Credit Agreement to cause the New Subsidiary to become a “Guarantor” thereunder. Accordingly,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New Subsidiary hereby agrees as follows with the Administrative Agent, for the benefit of the Lenders:</w:t>
      </w:r>
    </w:p>
    <w:p>
      <w:pPr>
        <w:spacing w:after="0" w:line="138" w:lineRule="exact"/>
        <w:rPr>
          <w:sz w:val="20"/>
          <w:szCs w:val="20"/>
          <w:color w:val="auto"/>
        </w:rPr>
      </w:pPr>
    </w:p>
    <w:p>
      <w:pPr>
        <w:jc w:val="both"/>
        <w:ind w:firstLine="464"/>
        <w:spacing w:after="0" w:line="290" w:lineRule="auto"/>
        <w:tabs>
          <w:tab w:leader="none" w:pos="64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New Subsidiary hereby acknowledges, agrees and confirms that, by its execution of this Agreement, the New Subsidiary will be deemed to be a party to the Credit Agreement and a “Guarantor” for all purposes of the Credit Agreement, and shall have all of the obligations of a Guarantor thereunder as if it had executed the Credit Agreement. The New Subsidiary hereby ratifies, as of the date hereof, and agrees to be bound by, all of the terms, provisions and conditions applicable to the Guarantors contained in the Credit Agreement. Without limiting the generality of the foregoing terms of this paragraph 1, the New Subsidiary hereby, jointly and severally together with the other Guarantors, guarantees to each Lender and the Administrative Agent, as provided in Article IV of the Credit Agreement, the prompt payment of the Obligations in full when due (whether at stated maturity, as a mandatory prepayment, by acceleration or otherwise) strictly in accordance with the terms thereof.</w:t>
      </w:r>
    </w:p>
    <w:p>
      <w:pPr>
        <w:spacing w:after="0" w:line="91" w:lineRule="exact"/>
        <w:rPr>
          <w:rFonts w:ascii="Arial" w:cs="Arial" w:eastAsia="Arial" w:hAnsi="Arial"/>
          <w:sz w:val="16"/>
          <w:szCs w:val="16"/>
          <w:color w:val="auto"/>
        </w:rPr>
      </w:pPr>
    </w:p>
    <w:p>
      <w:pPr>
        <w:ind w:right="20" w:firstLine="464"/>
        <w:spacing w:after="0" w:line="268" w:lineRule="auto"/>
        <w:tabs>
          <w:tab w:leader="none" w:pos="63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address of the New Subsidiary for purposes of all notices and other communications is the address designated for all Loan Parties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such other address as the New Subsidiary may from time to time notify the Administrative Agent in writing.</w:t>
      </w:r>
    </w:p>
    <w:p>
      <w:pPr>
        <w:spacing w:after="0" w:line="104" w:lineRule="exact"/>
        <w:rPr>
          <w:rFonts w:ascii="Arial" w:cs="Arial" w:eastAsia="Arial" w:hAnsi="Arial"/>
          <w:sz w:val="18"/>
          <w:szCs w:val="18"/>
          <w:color w:val="auto"/>
        </w:rPr>
      </w:pPr>
    </w:p>
    <w:p>
      <w:pPr>
        <w:ind w:right="20" w:firstLine="464"/>
        <w:spacing w:after="0" w:line="268" w:lineRule="auto"/>
        <w:tabs>
          <w:tab w:leader="none" w:pos="6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New Subsidiary hereby waives acceptance by the Administrative Agent and the Lenders of the guaranty by the New Subsidiary under Article IV of the Credit Agreement upon the execution of this Agreement by the New Subsidiary.</w:t>
      </w:r>
    </w:p>
    <w:p>
      <w:pPr>
        <w:spacing w:after="0" w:line="104" w:lineRule="exact"/>
        <w:rPr>
          <w:rFonts w:ascii="Arial" w:cs="Arial" w:eastAsia="Arial" w:hAnsi="Arial"/>
          <w:sz w:val="18"/>
          <w:szCs w:val="18"/>
          <w:color w:val="auto"/>
        </w:rPr>
      </w:pPr>
    </w:p>
    <w:p>
      <w:pPr>
        <w:ind w:firstLine="464"/>
        <w:spacing w:after="0" w:line="268" w:lineRule="auto"/>
        <w:tabs>
          <w:tab w:leader="none" w:pos="63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Agreement may be executed in multiple counterparts, each of which shall constitute an original but all of which when taken together shall constitute one contract.</w:t>
      </w:r>
    </w:p>
    <w:p>
      <w:pPr>
        <w:spacing w:after="0" w:line="104" w:lineRule="exact"/>
        <w:rPr>
          <w:rFonts w:ascii="Arial" w:cs="Arial" w:eastAsia="Arial" w:hAnsi="Arial"/>
          <w:sz w:val="18"/>
          <w:szCs w:val="18"/>
          <w:color w:val="auto"/>
        </w:rPr>
      </w:pPr>
    </w:p>
    <w:p>
      <w:pPr>
        <w:ind w:firstLine="464"/>
        <w:spacing w:after="0" w:line="268" w:lineRule="auto"/>
        <w:tabs>
          <w:tab w:leader="none" w:pos="65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INTERPRETED IN ACCORDANCE WITH THE LAWS OF THE STATE OF ILLINOIS.</w:t>
      </w:r>
    </w:p>
    <w:p>
      <w:pPr>
        <w:sectPr>
          <w:pgSz w:w="11900" w:h="16838" w:orient="portrait"/>
          <w:cols w:equalWidth="0" w:num="1">
            <w:col w:w="11420"/>
          </w:cols>
          <w:pgMar w:left="240" w:top="274" w:right="239" w:bottom="1440" w:gutter="0" w:footer="0" w:header="0"/>
        </w:sectPr>
      </w:pPr>
    </w:p>
    <w:bookmarkStart w:id="137" w:name="page138"/>
    <w:bookmarkEnd w:id="137"/>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New Subsidiary has caused this Joinder Agreement to be duly executed by its authorized officer, and the Administrative Agent, for the benefit of the Lenders, has caused the same to be accepted by its authorized officer, as of the day and year first above written.</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SUBSIDIARY]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-129540</wp:posOffset>
            </wp:positionV>
            <wp:extent cx="25984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-129540</wp:posOffset>
            </wp:positionV>
            <wp:extent cx="25984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11.06(b)</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[Insert name of Assignor] (the “</w:t>
      </w:r>
      <w:r>
        <w:rPr>
          <w:rFonts w:ascii="Arial" w:cs="Arial" w:eastAsia="Arial" w:hAnsi="Arial"/>
          <w:sz w:val="18"/>
          <w:szCs w:val="18"/>
          <w:u w:val="single" w:color="auto"/>
          <w:color w:val="auto"/>
        </w:rPr>
        <w:t>Assignor</w:t>
      </w:r>
      <w:r>
        <w:rPr>
          <w:rFonts w:ascii="Arial" w:cs="Arial" w:eastAsia="Arial" w:hAnsi="Arial"/>
          <w:sz w:val="18"/>
          <w:szCs w:val="18"/>
          <w:color w:val="auto"/>
        </w:rPr>
        <w:t>”) and [Insert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have the meanings provided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as a Lender under the Credit Agreement and any other documents or instruments delivered pursuant thereto in the amounts and equal to the percentage interests identified below of such outstanding rights and obligations under the respective facilities identified below (including, without limitation, Letters of Credit, Guarantees and Swing 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Assignor.</w:t>
      </w:r>
    </w:p>
    <w:p>
      <w:pPr>
        <w:spacing w:after="0" w:line="286" w:lineRule="exact"/>
        <w:rPr>
          <w:sz w:val="20"/>
          <w:szCs w:val="20"/>
          <w:color w:val="auto"/>
        </w:rPr>
      </w:pPr>
    </w:p>
    <w:p>
      <w:pPr>
        <w:ind w:left="940" w:hanging="564"/>
        <w:spacing w:after="0"/>
        <w:tabs>
          <w:tab w:leader="none" w:pos="9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Assignor:</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Assignor [is] [is not] a Defaulting Lender.</w:t>
            </w:r>
          </w:p>
        </w:tc>
      </w:tr>
      <w:tr>
        <w:trPr>
          <w:trHeight w:val="385"/>
        </w:trPr>
        <w:tc>
          <w:tcPr>
            <w:tcW w:w="340" w:type="dxa"/>
            <w:vAlign w:val="bottom"/>
          </w:tcPr>
          <w:p>
            <w:pPr>
              <w:jc w:val="right"/>
              <w:ind w:right="138"/>
              <w:spacing w:after="0"/>
              <w:rPr>
                <w:sz w:val="20"/>
                <w:szCs w:val="20"/>
                <w:color w:val="auto"/>
              </w:rPr>
            </w:pPr>
            <w:r>
              <w:rPr>
                <w:rFonts w:ascii="Arial" w:cs="Arial" w:eastAsia="Arial" w:hAnsi="Arial"/>
                <w:sz w:val="16"/>
                <w:szCs w:val="16"/>
                <w:color w:val="auto"/>
                <w:w w:val="74"/>
              </w:rPr>
              <w:t>2.</w:t>
            </w:r>
          </w:p>
        </w:tc>
        <w:tc>
          <w:tcPr>
            <w:tcW w:w="2240" w:type="dxa"/>
            <w:vAlign w:val="bottom"/>
          </w:tcPr>
          <w:p>
            <w:pPr>
              <w:ind w:left="220"/>
              <w:spacing w:after="0"/>
              <w:rPr>
                <w:sz w:val="20"/>
                <w:szCs w:val="20"/>
                <w:color w:val="auto"/>
              </w:rPr>
            </w:pPr>
            <w:r>
              <w:rPr>
                <w:rFonts w:ascii="Arial" w:cs="Arial" w:eastAsia="Arial" w:hAnsi="Arial"/>
                <w:sz w:val="18"/>
                <w:szCs w:val="18"/>
                <w:color w:val="auto"/>
              </w:rPr>
              <w:t>Assignee:</w:t>
            </w:r>
          </w:p>
        </w:tc>
        <w:tc>
          <w:tcPr>
            <w:tcW w:w="8260" w:type="dxa"/>
            <w:vAlign w:val="bottom"/>
          </w:tcPr>
          <w:p>
            <w:pPr>
              <w:ind w:left="1380"/>
              <w:spacing w:after="0"/>
              <w:rPr>
                <w:sz w:val="20"/>
                <w:szCs w:val="20"/>
                <w:color w:val="auto"/>
              </w:rPr>
            </w:pPr>
            <w:r>
              <w:rPr>
                <w:rFonts w:ascii="Arial" w:cs="Arial" w:eastAsia="Arial" w:hAnsi="Arial"/>
                <w:sz w:val="18"/>
                <w:szCs w:val="18"/>
                <w:color w:val="auto"/>
              </w:rPr>
              <w:t>[and is an</w:t>
            </w:r>
          </w:p>
        </w:tc>
      </w:tr>
      <w:tr>
        <w:trPr>
          <w:trHeight w:val="222"/>
        </w:trPr>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Affiliate/Approved Fund of [identify Lender]]</w:t>
            </w:r>
          </w:p>
        </w:tc>
      </w:tr>
      <w:tr>
        <w:trPr>
          <w:trHeight w:val="392"/>
        </w:trPr>
        <w:tc>
          <w:tcPr>
            <w:tcW w:w="340" w:type="dxa"/>
            <w:vAlign w:val="bottom"/>
          </w:tcPr>
          <w:p>
            <w:pPr>
              <w:jc w:val="right"/>
              <w:ind w:right="138"/>
              <w:spacing w:after="0"/>
              <w:rPr>
                <w:sz w:val="20"/>
                <w:szCs w:val="20"/>
                <w:color w:val="auto"/>
              </w:rPr>
            </w:pPr>
            <w:r>
              <w:rPr>
                <w:rFonts w:ascii="Arial" w:cs="Arial" w:eastAsia="Arial" w:hAnsi="Arial"/>
                <w:sz w:val="16"/>
                <w:szCs w:val="16"/>
                <w:color w:val="auto"/>
                <w:w w:val="74"/>
              </w:rPr>
              <w:t>3.</w:t>
            </w:r>
          </w:p>
        </w:tc>
        <w:tc>
          <w:tcPr>
            <w:tcW w:w="2240" w:type="dxa"/>
            <w:vAlign w:val="bottom"/>
          </w:tcPr>
          <w:p>
            <w:pPr>
              <w:ind w:left="220"/>
              <w:spacing w:after="0"/>
              <w:rPr>
                <w:sz w:val="20"/>
                <w:szCs w:val="20"/>
                <w:color w:val="auto"/>
              </w:rPr>
            </w:pPr>
            <w:r>
              <w:rPr>
                <w:rFonts w:ascii="Arial" w:cs="Arial" w:eastAsia="Arial" w:hAnsi="Arial"/>
                <w:sz w:val="18"/>
                <w:szCs w:val="18"/>
                <w:color w:val="auto"/>
              </w:rPr>
              <w:t>Company:</w:t>
            </w:r>
          </w:p>
        </w:tc>
        <w:tc>
          <w:tcPr>
            <w:tcW w:w="8260" w:type="dxa"/>
            <w:vAlign w:val="bottom"/>
          </w:tcPr>
          <w:p>
            <w:pPr>
              <w:ind w:left="460"/>
              <w:spacing w:after="0"/>
              <w:rPr>
                <w:sz w:val="20"/>
                <w:szCs w:val="20"/>
                <w:color w:val="auto"/>
              </w:rPr>
            </w:pPr>
            <w:r>
              <w:rPr>
                <w:rFonts w:ascii="Arial" w:cs="Arial" w:eastAsia="Arial" w:hAnsi="Arial"/>
                <w:sz w:val="18"/>
                <w:szCs w:val="18"/>
                <w:color w:val="auto"/>
              </w:rPr>
              <w:t>Brady Corporation, a Wisconsin corporation</w:t>
            </w:r>
          </w:p>
        </w:tc>
      </w:tr>
      <w:tr>
        <w:trPr>
          <w:trHeight w:val="392"/>
        </w:trPr>
        <w:tc>
          <w:tcPr>
            <w:tcW w:w="340" w:type="dxa"/>
            <w:vAlign w:val="bottom"/>
          </w:tcPr>
          <w:p>
            <w:pPr>
              <w:jc w:val="right"/>
              <w:ind w:right="138"/>
              <w:spacing w:after="0"/>
              <w:rPr>
                <w:sz w:val="20"/>
                <w:szCs w:val="20"/>
                <w:color w:val="auto"/>
              </w:rPr>
            </w:pPr>
            <w:r>
              <w:rPr>
                <w:rFonts w:ascii="Arial" w:cs="Arial" w:eastAsia="Arial" w:hAnsi="Arial"/>
                <w:sz w:val="16"/>
                <w:szCs w:val="16"/>
                <w:color w:val="auto"/>
                <w:w w:val="74"/>
              </w:rPr>
              <w:t>4.</w:t>
            </w:r>
          </w:p>
        </w:tc>
        <w:tc>
          <w:tcPr>
            <w:tcW w:w="2240" w:type="dxa"/>
            <w:vAlign w:val="bottom"/>
          </w:tcPr>
          <w:p>
            <w:pPr>
              <w:ind w:left="220"/>
              <w:spacing w:after="0"/>
              <w:rPr>
                <w:sz w:val="20"/>
                <w:szCs w:val="20"/>
                <w:color w:val="auto"/>
              </w:rPr>
            </w:pPr>
            <w:r>
              <w:rPr>
                <w:rFonts w:ascii="Arial" w:cs="Arial" w:eastAsia="Arial" w:hAnsi="Arial"/>
                <w:sz w:val="18"/>
                <w:szCs w:val="18"/>
                <w:color w:val="auto"/>
              </w:rPr>
              <w:t>Administrative Agent:</w:t>
            </w:r>
          </w:p>
        </w:tc>
        <w:tc>
          <w:tcPr>
            <w:tcW w:w="8260" w:type="dxa"/>
            <w:vAlign w:val="bottom"/>
          </w:tcPr>
          <w:p>
            <w:pPr>
              <w:ind w:left="460"/>
              <w:spacing w:after="0"/>
              <w:rPr>
                <w:sz w:val="20"/>
                <w:szCs w:val="20"/>
                <w:color w:val="auto"/>
              </w:rPr>
            </w:pPr>
            <w:r>
              <w:rPr>
                <w:rFonts w:ascii="Arial" w:cs="Arial" w:eastAsia="Arial" w:hAnsi="Arial"/>
                <w:sz w:val="18"/>
                <w:szCs w:val="18"/>
                <w:color w:val="auto"/>
              </w:rPr>
              <w:t>Bank of America, N.A., as the Administrative Agent under the Credit Agreement</w:t>
            </w:r>
          </w:p>
        </w:tc>
      </w:tr>
      <w:tr>
        <w:trPr>
          <w:trHeight w:val="385"/>
        </w:trPr>
        <w:tc>
          <w:tcPr>
            <w:tcW w:w="340" w:type="dxa"/>
            <w:vAlign w:val="bottom"/>
          </w:tcPr>
          <w:p>
            <w:pPr>
              <w:jc w:val="right"/>
              <w:ind w:right="138"/>
              <w:spacing w:after="0"/>
              <w:rPr>
                <w:sz w:val="20"/>
                <w:szCs w:val="20"/>
                <w:color w:val="auto"/>
              </w:rPr>
            </w:pPr>
            <w:r>
              <w:rPr>
                <w:rFonts w:ascii="Arial" w:cs="Arial" w:eastAsia="Arial" w:hAnsi="Arial"/>
                <w:sz w:val="16"/>
                <w:szCs w:val="16"/>
                <w:color w:val="auto"/>
                <w:w w:val="74"/>
              </w:rPr>
              <w:t>5.</w:t>
            </w:r>
          </w:p>
        </w:tc>
        <w:tc>
          <w:tcPr>
            <w:tcW w:w="2240" w:type="dxa"/>
            <w:vAlign w:val="bottom"/>
          </w:tcPr>
          <w:p>
            <w:pPr>
              <w:ind w:left="220"/>
              <w:spacing w:after="0"/>
              <w:rPr>
                <w:sz w:val="20"/>
                <w:szCs w:val="20"/>
                <w:color w:val="auto"/>
              </w:rPr>
            </w:pPr>
            <w:r>
              <w:rPr>
                <w:rFonts w:ascii="Arial" w:cs="Arial" w:eastAsia="Arial" w:hAnsi="Arial"/>
                <w:sz w:val="18"/>
                <w:szCs w:val="18"/>
                <w:color w:val="auto"/>
              </w:rPr>
              <w:t>Credit Agreement:</w:t>
            </w:r>
          </w:p>
        </w:tc>
        <w:tc>
          <w:tcPr>
            <w:tcW w:w="8260" w:type="dxa"/>
            <w:vAlign w:val="bottom"/>
          </w:tcPr>
          <w:p>
            <w:pPr>
              <w:ind w:left="460"/>
              <w:spacing w:after="0"/>
              <w:rPr>
                <w:sz w:val="20"/>
                <w:szCs w:val="20"/>
                <w:color w:val="auto"/>
              </w:rPr>
            </w:pPr>
            <w:r>
              <w:rPr>
                <w:rFonts w:ascii="Arial" w:cs="Arial" w:eastAsia="Arial" w:hAnsi="Arial"/>
                <w:sz w:val="18"/>
                <w:szCs w:val="18"/>
                <w:color w:val="auto"/>
                <w:w w:val="87"/>
              </w:rPr>
              <w:t>Credit Agreement dated as of February 1, 2012 by and among the Company, the other Borrowers party thereto,</w:t>
            </w:r>
          </w:p>
        </w:tc>
      </w:tr>
      <w:tr>
        <w:trPr>
          <w:trHeight w:val="216"/>
        </w:trPr>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w w:val="91"/>
              </w:rPr>
              <w:t>the Guarantors identified therein, the Lenders parties thereto and Bank of America, N.A., as Administrative</w:t>
            </w:r>
          </w:p>
        </w:tc>
      </w:tr>
      <w:tr>
        <w:trPr>
          <w:trHeight w:val="222"/>
        </w:trPr>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Agent, Swing Line Lender and L/C Issuer.</w:t>
            </w:r>
          </w:p>
        </w:tc>
      </w:tr>
    </w:tbl>
    <w:p>
      <w:pPr>
        <w:sectPr>
          <w:pgSz w:w="11900" w:h="16838" w:orient="portrait"/>
          <w:cols w:equalWidth="0" w:num="1">
            <w:col w:w="11420"/>
          </w:cols>
          <w:pgMar w:left="240" w:top="274" w:right="239" w:bottom="1440" w:gutter="0" w:footer="0" w:header="0"/>
        </w:sectPr>
      </w:pPr>
    </w:p>
    <w:bookmarkStart w:id="139" w:name="page140"/>
    <w:bookmarkEnd w:id="139"/>
    <w:p>
      <w:pPr>
        <w:ind w:left="960" w:hanging="570"/>
        <w:spacing w:after="0"/>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Assigned Interest: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Aggregate Amount of</w:t>
            </w:r>
          </w:p>
        </w:tc>
        <w:tc>
          <w:tcPr>
            <w:tcW w:w="4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Commitments of all</w:t>
            </w:r>
          </w:p>
        </w:tc>
        <w:tc>
          <w:tcPr>
            <w:tcW w:w="480" w:type="dxa"/>
            <w:vAlign w:val="bottom"/>
          </w:tcPr>
          <w:p>
            <w:pPr>
              <w:spacing w:after="0"/>
              <w:rPr>
                <w:sz w:val="18"/>
                <w:szCs w:val="18"/>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Amount of</w:t>
            </w:r>
          </w:p>
        </w:tc>
        <w:tc>
          <w:tcPr>
            <w:tcW w:w="2720" w:type="dxa"/>
            <w:vAlign w:val="bottom"/>
          </w:tcPr>
          <w:p>
            <w:pPr>
              <w:jc w:val="center"/>
              <w:spacing w:after="0"/>
              <w:rPr>
                <w:sz w:val="20"/>
                <w:szCs w:val="20"/>
                <w:color w:val="auto"/>
              </w:rPr>
            </w:pPr>
            <w:r>
              <w:rPr>
                <w:rFonts w:ascii="Arial" w:cs="Arial" w:eastAsia="Arial" w:hAnsi="Arial"/>
                <w:sz w:val="18"/>
                <w:szCs w:val="18"/>
                <w:color w:val="auto"/>
                <w:w w:val="85"/>
              </w:rPr>
              <w:t>Percentage of</w:t>
            </w:r>
          </w:p>
        </w:tc>
        <w:tc>
          <w:tcPr>
            <w:tcW w:w="0" w:type="dxa"/>
            <w:vAlign w:val="bottom"/>
          </w:tcPr>
          <w:p>
            <w:pPr>
              <w:spacing w:after="0"/>
              <w:rPr>
                <w:sz w:val="1"/>
                <w:szCs w:val="1"/>
                <w:color w:val="auto"/>
              </w:rPr>
            </w:pPr>
          </w:p>
        </w:tc>
      </w:tr>
      <w:tr>
        <w:trPr>
          <w:trHeight w:val="231"/>
        </w:trPr>
        <w:tc>
          <w:tcPr>
            <w:tcW w:w="1880" w:type="dxa"/>
            <w:vAlign w:val="bottom"/>
            <w:gridSpan w:val="3"/>
          </w:tcPr>
          <w:p>
            <w:pPr>
              <w:spacing w:after="0"/>
              <w:rPr>
                <w:sz w:val="20"/>
                <w:szCs w:val="20"/>
                <w:color w:val="auto"/>
              </w:rPr>
            </w:pPr>
            <w:r>
              <w:rPr>
                <w:rFonts w:ascii="Arial" w:cs="Arial" w:eastAsia="Arial" w:hAnsi="Arial"/>
                <w:sz w:val="18"/>
                <w:szCs w:val="18"/>
                <w:color w:val="auto"/>
              </w:rPr>
              <w:t>Facility Assigned</w:t>
            </w:r>
          </w:p>
        </w:tc>
        <w:tc>
          <w:tcPr>
            <w:tcW w:w="1000" w:type="dxa"/>
            <w:vAlign w:val="bottom"/>
          </w:tcPr>
          <w:p>
            <w:pPr>
              <w:spacing w:after="0"/>
              <w:rPr>
                <w:sz w:val="20"/>
                <w:szCs w:val="20"/>
                <w:color w:val="auto"/>
              </w:rPr>
            </w:pP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Lenders</w:t>
            </w:r>
          </w:p>
        </w:tc>
        <w:tc>
          <w:tcPr>
            <w:tcW w:w="480" w:type="dxa"/>
            <w:vAlign w:val="bottom"/>
          </w:tcPr>
          <w:p>
            <w:pPr>
              <w:spacing w:after="0"/>
              <w:rPr>
                <w:sz w:val="20"/>
                <w:szCs w:val="20"/>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Commitment Assigned</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Commitment Assigned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Revolving Commitment</w:t>
            </w:r>
          </w:p>
        </w:tc>
        <w:tc>
          <w:tcPr>
            <w:tcW w:w="10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860" w:type="dxa"/>
            <w:vAlign w:val="bottom"/>
            <w:gridSpan w:val="2"/>
          </w:tcPr>
          <w:p>
            <w:pPr>
              <w:ind w:left="440"/>
              <w:spacing w:after="0"/>
              <w:rPr>
                <w:sz w:val="20"/>
                <w:szCs w:val="20"/>
                <w:color w:val="auto"/>
              </w:rPr>
            </w:pPr>
            <w:r>
              <w:rPr>
                <w:rFonts w:ascii="Arial" w:cs="Arial" w:eastAsia="Arial" w:hAnsi="Arial"/>
                <w:sz w:val="18"/>
                <w:szCs w:val="18"/>
                <w:color w:val="auto"/>
              </w:rPr>
              <w:t>7. Trade Date:</w:t>
            </w:r>
          </w:p>
        </w:tc>
        <w:tc>
          <w:tcPr>
            <w:tcW w:w="1000" w:type="dxa"/>
            <w:vAlign w:val="bottom"/>
          </w:tcPr>
          <w:p>
            <w:pPr>
              <w:jc w:val="right"/>
              <w:ind w:right="744"/>
              <w:spacing w:after="0"/>
              <w:rPr>
                <w:sz w:val="20"/>
                <w:szCs w:val="20"/>
                <w:color w:val="auto"/>
              </w:rPr>
            </w:pPr>
            <w:r>
              <w:rPr>
                <w:rFonts w:ascii="Arial" w:cs="Arial" w:eastAsia="Arial" w:hAnsi="Arial"/>
                <w:sz w:val="11"/>
                <w:szCs w:val="11"/>
                <w:color w:val="auto"/>
              </w:rPr>
              <w:t>1</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860" w:type="dxa"/>
            <w:vAlign w:val="bottom"/>
            <w:gridSpan w:val="2"/>
          </w:tcPr>
          <w:p>
            <w:pPr>
              <w:ind w:left="440"/>
              <w:spacing w:after="0"/>
              <w:rPr>
                <w:sz w:val="20"/>
                <w:szCs w:val="20"/>
                <w:color w:val="auto"/>
              </w:rPr>
            </w:pPr>
            <w:r>
              <w:rPr>
                <w:rFonts w:ascii="Arial" w:cs="Arial" w:eastAsia="Arial" w:hAnsi="Arial"/>
                <w:sz w:val="18"/>
                <w:szCs w:val="18"/>
                <w:color w:val="auto"/>
              </w:rPr>
              <w:t>8. Effective Date:</w:t>
            </w:r>
          </w:p>
        </w:tc>
        <w:tc>
          <w:tcPr>
            <w:tcW w:w="1000" w:type="dxa"/>
            <w:vAlign w:val="bottom"/>
          </w:tcPr>
          <w:p>
            <w:pPr>
              <w:jc w:val="right"/>
              <w:ind w:right="504"/>
              <w:spacing w:after="0"/>
              <w:rPr>
                <w:sz w:val="20"/>
                <w:szCs w:val="20"/>
                <w:color w:val="auto"/>
              </w:rPr>
            </w:pPr>
            <w:r>
              <w:rPr>
                <w:rFonts w:ascii="Arial" w:cs="Arial" w:eastAsia="Arial" w:hAnsi="Arial"/>
                <w:sz w:val="11"/>
                <w:szCs w:val="11"/>
                <w:color w:val="auto"/>
              </w:rPr>
              <w:t>2</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40" w:type="dxa"/>
            <w:vAlign w:val="bottom"/>
            <w:gridSpan w:val="6"/>
          </w:tcPr>
          <w:p>
            <w:pPr>
              <w:spacing w:after="0"/>
              <w:rPr>
                <w:sz w:val="20"/>
                <w:szCs w:val="20"/>
                <w:color w:val="auto"/>
              </w:rPr>
            </w:pPr>
            <w:r>
              <w:rPr>
                <w:rFonts w:ascii="Arial" w:cs="Arial" w:eastAsia="Arial" w:hAnsi="Arial"/>
                <w:sz w:val="18"/>
                <w:szCs w:val="18"/>
                <w:color w:val="auto"/>
                <w:w w:val="93"/>
              </w:rPr>
              <w:t>The terms set forth in this Assignment and Assumption are hereby agreed to:</w:t>
            </w: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80" w:type="dxa"/>
            <w:vAlign w:val="bottom"/>
            <w:gridSpan w:val="3"/>
          </w:tcPr>
          <w:p>
            <w:pPr>
              <w:spacing w:after="0"/>
              <w:rPr>
                <w:sz w:val="20"/>
                <w:szCs w:val="20"/>
                <w:color w:val="auto"/>
              </w:rPr>
            </w:pPr>
            <w:r>
              <w:rPr>
                <w:rFonts w:ascii="Arial" w:cs="Arial" w:eastAsia="Arial" w:hAnsi="Arial"/>
                <w:sz w:val="18"/>
                <w:szCs w:val="18"/>
                <w:color w:val="auto"/>
              </w:rPr>
              <w:t>ASSIGNOR:</w:t>
            </w: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[NAME OF ASSIGNOR]</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By:</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line="190" w:lineRule="exact"/>
              <w:rPr>
                <w:sz w:val="20"/>
                <w:szCs w:val="20"/>
                <w:color w:val="auto"/>
              </w:rPr>
            </w:pPr>
            <w:r>
              <w:rPr>
                <w:rFonts w:ascii="Arial" w:cs="Arial" w:eastAsia="Arial" w:hAnsi="Arial"/>
                <w:sz w:val="18"/>
                <w:szCs w:val="18"/>
                <w:color w:val="auto"/>
                <w:w w:val="86"/>
              </w:rPr>
              <w:t>Name:</w:t>
            </w:r>
          </w:p>
        </w:tc>
        <w:tc>
          <w:tcPr>
            <w:tcW w:w="2480" w:type="dxa"/>
            <w:vAlign w:val="bottom"/>
            <w:tcBorders>
              <w:top w:val="single" w:sz="8" w:color="auto"/>
            </w:tcBorders>
            <w:gridSpan w:val="2"/>
          </w:tcPr>
          <w:p>
            <w:pPr>
              <w:spacing w:after="0"/>
              <w:rPr>
                <w:sz w:val="16"/>
                <w:szCs w:val="16"/>
                <w:color w:val="auto"/>
              </w:rPr>
            </w:pPr>
          </w:p>
        </w:tc>
        <w:tc>
          <w:tcPr>
            <w:tcW w:w="2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Title:</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80" w:type="dxa"/>
            <w:vAlign w:val="bottom"/>
            <w:gridSpan w:val="3"/>
          </w:tcPr>
          <w:p>
            <w:pPr>
              <w:spacing w:after="0"/>
              <w:rPr>
                <w:sz w:val="20"/>
                <w:szCs w:val="20"/>
                <w:color w:val="auto"/>
              </w:rPr>
            </w:pPr>
            <w:r>
              <w:rPr>
                <w:rFonts w:ascii="Arial" w:cs="Arial" w:eastAsia="Arial" w:hAnsi="Arial"/>
                <w:sz w:val="18"/>
                <w:szCs w:val="18"/>
                <w:color w:val="auto"/>
              </w:rPr>
              <w:t>ASSIGNEE:</w:t>
            </w: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[NAME OF ASSIGNEE]</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By:</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line="190" w:lineRule="exact"/>
              <w:rPr>
                <w:sz w:val="20"/>
                <w:szCs w:val="20"/>
                <w:color w:val="auto"/>
              </w:rPr>
            </w:pPr>
            <w:r>
              <w:rPr>
                <w:rFonts w:ascii="Arial" w:cs="Arial" w:eastAsia="Arial" w:hAnsi="Arial"/>
                <w:sz w:val="18"/>
                <w:szCs w:val="18"/>
                <w:color w:val="auto"/>
                <w:w w:val="86"/>
              </w:rPr>
              <w:t>Name:</w:t>
            </w:r>
          </w:p>
        </w:tc>
        <w:tc>
          <w:tcPr>
            <w:tcW w:w="2480" w:type="dxa"/>
            <w:vAlign w:val="bottom"/>
            <w:tcBorders>
              <w:top w:val="single" w:sz="8" w:color="auto"/>
            </w:tcBorders>
            <w:gridSpan w:val="2"/>
          </w:tcPr>
          <w:p>
            <w:pPr>
              <w:spacing w:after="0"/>
              <w:rPr>
                <w:sz w:val="16"/>
                <w:szCs w:val="16"/>
                <w:color w:val="auto"/>
              </w:rPr>
            </w:pPr>
          </w:p>
        </w:tc>
        <w:tc>
          <w:tcPr>
            <w:tcW w:w="2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Title:</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11"/>
          <w:szCs w:val="11"/>
          <w:color w:val="auto"/>
        </w:rPr>
        <w:t>3</w:t>
      </w:r>
      <w:r>
        <w:rPr>
          <w:rFonts w:ascii="Arial" w:cs="Arial" w:eastAsia="Arial" w:hAnsi="Arial"/>
          <w:sz w:val="18"/>
          <w:szCs w:val="18"/>
          <w:color w:val="auto"/>
        </w:rPr>
        <w:t xml:space="preserve"> Accepted: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-129540</wp:posOffset>
            </wp:positionV>
            <wp:extent cx="25984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-129540</wp:posOffset>
            </wp:positionV>
            <wp:extent cx="25215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022" w:right="2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50"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50"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50"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To be completed if the Assignor and the Assignee intend that the minimum assignment amount is to be determined as of the Trade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To be inserted by Administrative Agent and shall be the effective date of recordation of transfer in the register therefor.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be added only if the consent of the Administrative Agent is required by the terms of the Credit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be added only if the consent of the Company is required by the terms of the Credit Agreement.</w:t>
      </w:r>
    </w:p>
    <w:p>
      <w:pPr>
        <w:sectPr>
          <w:pgSz w:w="11900" w:h="16838" w:orient="portrait"/>
          <w:cols w:equalWidth="0" w:num="2">
            <w:col w:w="60" w:space="400"/>
            <w:col w:w="10960"/>
          </w:cols>
          <w:pgMar w:left="240" w:top="1022" w:right="239"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Assignment and Assumption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w:t>
      </w:r>
    </w:p>
    <w:p>
      <w:pPr>
        <w:spacing w:after="0" w:line="158"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xml:space="preserve">.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6"/>
          <w:szCs w:val="16"/>
          <w:b w:val="1"/>
          <w:bCs w:val="1"/>
          <w:color w:val="auto"/>
        </w:rPr>
        <w:t>[not]</w:t>
      </w:r>
      <w:r>
        <w:rPr>
          <w:rFonts w:ascii="Arial" w:cs="Arial" w:eastAsia="Arial" w:hAnsi="Arial"/>
          <w:sz w:val="16"/>
          <w:szCs w:val="16"/>
          <w:color w:val="auto"/>
        </w:rPr>
        <w:t xml:space="preserve">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Borrowers, any of their Subsidiaries or Affiliates or any other Person obligated in respect of any Loan Document or (iv) the performance or observance by the Borrowers, any of their Subsidiaries or Affiliates or any other Person of any of their respective obligations under any Loan Document.</w:t>
      </w:r>
    </w:p>
    <w:p>
      <w:pPr>
        <w:spacing w:after="0" w:line="91"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the requirements to be an assignee under </w:t>
      </w:r>
      <w:r>
        <w:rPr>
          <w:rFonts w:ascii="Arial" w:cs="Arial" w:eastAsia="Arial" w:hAnsi="Arial"/>
          <w:sz w:val="16"/>
          <w:szCs w:val="16"/>
          <w:u w:val="single" w:color="auto"/>
          <w:color w:val="auto"/>
        </w:rPr>
        <w:t>Section 11.06(b)(iii)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11.06(b)(iii)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Assigned Interest, and (vii) if it is a Foreign Lender, attached hereto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97" w:lineRule="exact"/>
        <w:rPr>
          <w:sz w:val="20"/>
          <w:szCs w:val="20"/>
          <w:color w:val="auto"/>
        </w:rPr>
      </w:pPr>
    </w:p>
    <w:p>
      <w:pPr>
        <w:jc w:val="both"/>
        <w:ind w:firstLine="464"/>
        <w:spacing w:after="0" w:line="298" w:lineRule="auto"/>
        <w:tabs>
          <w:tab w:leader="none" w:pos="632"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Notwithstanding the foregoing, the Administrative Agent shall make all payments of interest, fees or other amounts paid or payable in kind in respect of the Assigned Interest from and after the Effective Date to the Assignee.</w:t>
      </w:r>
    </w:p>
    <w:p>
      <w:pPr>
        <w:sectPr>
          <w:pgSz w:w="11900" w:h="16838" w:orient="portrait"/>
          <w:cols w:equalWidth="0" w:num="1">
            <w:col w:w="11420"/>
          </w:cols>
          <w:pgMar w:left="240" w:top="280" w:right="239" w:bottom="1440" w:gutter="0" w:footer="0" w:header="0"/>
        </w:sectPr>
      </w:pPr>
    </w:p>
    <w:bookmarkStart w:id="141" w:name="page142"/>
    <w:bookmarkEnd w:id="141"/>
    <w:p>
      <w:pPr>
        <w:jc w:val="both"/>
        <w:ind w:left="-464" w:firstLine="464"/>
        <w:spacing w:after="0" w:line="255" w:lineRule="auto"/>
        <w:tabs>
          <w:tab w:leader="none" w:pos="195"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Illinois.</w:t>
      </w:r>
    </w:p>
    <w:p>
      <w:pPr>
        <w:sectPr>
          <w:pgSz w:w="11900" w:h="16838" w:orient="portrait"/>
          <w:cols w:equalWidth="0" w:num="1">
            <w:col w:w="10956"/>
          </w:cols>
          <w:pgMar w:left="704" w:top="2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Enters into New Credit Agreement</w:t>
      </w:r>
    </w:p>
    <w:p>
      <w:pPr>
        <w:spacing w:after="0" w:line="1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MILWAUKEE (February 1, 2012)—Brady Corporation (NYSE: BRC), a world leader in identification solutions, announced that on February 1, 2012, it entered into an unsecured $300,000,000 revolving credit agreement with a group of six banks, that replaced and terminated its previous $200,000,000 revolving credit agreement that had been entered into on October 5, 2006 and amended on March 18, 2008. No fees were paid for terminating the previous credit agreement prior to its expiration date.</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Under the new credit agreement, which has a final maturity date of February 1, 2017, Brady has the option to select either a base interest rate (based upon the higher of the federal funds rate plus one-half of 1 percent or the prime rate of Bank of America plus a margin based on Brady’s consolidated leverage ratio) or a Eurocurrency interest rate (at the LIBOR rate plus a margin based on Brady’s consolidated leverage ratio).</w:t>
      </w:r>
    </w:p>
    <w:p>
      <w:pPr>
        <w:spacing w:after="0" w:line="8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new credit agreement is guaranteed by Brady’s domestic subsidiaries and contains various financial covenants, including a debt-to-EBITDA ratio of 3.25-to-1.0 and an interest coverage ratio of 3.0-to-1.0. A commitment fee is payable on the unused amount of the credit facility. Brady intends to use the flexibility provided by the new agreement to fund future acquisitions, to refinance existing debt, and for general corporate purposes.</w:t>
      </w:r>
    </w:p>
    <w:p>
      <w:pPr>
        <w:spacing w:after="0" w:line="8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as of July 31, 2011 employed approximately 6,500 people at operations in the Americas, Europe and Asia-Pacific. Brady’s fiscal 2011 sales were approximately $1.34 billion. 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w:t>
      </w:r>
    </w:p>
    <w:p>
      <w:pPr>
        <w:sectPr>
          <w:pgSz w:w="11900" w:h="16838" w:orient="portrait"/>
          <w:cols w:equalWidth="0" w:num="1">
            <w:col w:w="11420"/>
          </w:cols>
          <w:pgMar w:left="240" w:top="125" w:right="239" w:bottom="1440" w:gutter="0" w:footer="0" w:header="0"/>
        </w:sectPr>
      </w:pPr>
    </w:p>
    <w:bookmarkStart w:id="143" w:name="page144"/>
    <w:bookmarkEnd w:id="143"/>
    <w:p>
      <w:pPr>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2011. These uncertainties may cause Brady’s actual future results to be materially different than those expressed in its forward-looking statements. Brady does not undertake to update its forward-looking statements.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1)"/>
      <w:numFmt w:val="lowerRoman"/>
      <w:start w:val="4"/>
    </w:lvl>
  </w:abstractNum>
  <w:abstractNum w:abstractNumId="3">
    <w:nsid w:val="71EA1109"/>
    <w:multiLevelType w:val="hybridMultilevel"/>
    <w:lvl w:ilvl="0">
      <w:lvlJc w:val="left"/>
      <w:lvlText w:val="(%1)"/>
      <w:numFmt w:val="lowerLetter"/>
      <w:start w:val="8"/>
    </w:lvl>
  </w:abstractNum>
  <w:abstractNum w:abstractNumId="4">
    <w:nsid w:val="100F59DC"/>
    <w:multiLevelType w:val="hybridMultilevel"/>
    <w:lvl w:ilvl="0">
      <w:lvlJc w:val="left"/>
      <w:lvlText w:val="(%1)"/>
      <w:numFmt w:val="lowerLetter"/>
      <w:start w:val="1"/>
    </w:lvl>
  </w:abstractNum>
  <w:abstractNum w:abstractNumId="5">
    <w:nsid w:val="7FB7E0AA"/>
    <w:multiLevelType w:val="hybridMultilevel"/>
    <w:lvl w:ilvl="0">
      <w:lvlJc w:val="left"/>
      <w:lvlText w:val="(%1)"/>
      <w:numFmt w:val="lowerLetter"/>
      <w:start w:val="1"/>
    </w:lvl>
  </w:abstractNum>
  <w:abstractNum w:abstractNumId="6">
    <w:nsid w:val="6EB5BD4"/>
    <w:multiLevelType w:val="hybridMultilevel"/>
    <w:lvl w:ilvl="0">
      <w:lvlJc w:val="left"/>
      <w:lvlText w:val="(%1)"/>
      <w:numFmt w:val="lowerLetter"/>
      <w:start w:val="3"/>
    </w:lvl>
  </w:abstractNum>
  <w:abstractNum w:abstractNumId="7">
    <w:nsid w:val="6F6DD9AC"/>
    <w:multiLevelType w:val="hybridMultilevel"/>
    <w:lvl w:ilvl="0">
      <w:lvlJc w:val="left"/>
      <w:lvlText w:val="(%1)"/>
      <w:numFmt w:val="lowerLetter"/>
      <w:start w:val="3"/>
    </w:lvl>
  </w:abstractNum>
  <w:abstractNum w:abstractNumId="8">
    <w:nsid w:val="94211F2"/>
    <w:multiLevelType w:val="hybridMultilevel"/>
    <w:lvl w:ilvl="0">
      <w:lvlJc w:val="left"/>
      <w:lvlText w:val="(%1)"/>
      <w:numFmt w:val="lowerRoman"/>
      <w:start w:val="3"/>
    </w:lvl>
  </w:abstractNum>
  <w:abstractNum w:abstractNumId="9">
    <w:nsid w:val="885E1B"/>
    <w:multiLevelType w:val="hybridMultilevel"/>
    <w:lvl w:ilvl="0">
      <w:lvlJc w:val="left"/>
      <w:lvlText w:val="(%1)"/>
      <w:numFmt w:val="lowerLetter"/>
      <w:start w:val="1"/>
    </w:lvl>
    <w:lvl w:ilvl="1">
      <w:lvlJc w:val="left"/>
      <w:lvlText w:val="(%2)"/>
      <w:numFmt w:val="lowerRoman"/>
      <w:start w:val="2"/>
    </w:lvl>
  </w:abstractNum>
  <w:abstractNum w:abstractNumId="10">
    <w:nsid w:val="76272110"/>
    <w:multiLevelType w:val="hybridMultilevel"/>
    <w:lvl w:ilvl="0">
      <w:lvlJc w:val="left"/>
      <w:lvlText w:val="%1"/>
      <w:numFmt w:val="lowerLetter"/>
      <w:start w:val="1"/>
    </w:lvl>
    <w:lvl w:ilvl="1">
      <w:lvlJc w:val="left"/>
      <w:lvlText w:val="(%2)"/>
      <w:numFmt w:val="lowerRoman"/>
      <w:start w:val="4"/>
    </w:lvl>
  </w:abstractNum>
  <w:abstractNum w:abstractNumId="11">
    <w:nsid w:val="4C04A8AF"/>
    <w:multiLevelType w:val="hybridMultilevel"/>
    <w:lvl w:ilvl="0">
      <w:lvlJc w:val="left"/>
      <w:lvlText w:val="(%1)"/>
      <w:numFmt w:val="lowerLetter"/>
      <w:start w:val="3"/>
    </w:lvl>
    <w:lvl w:ilvl="1">
      <w:lvlJc w:val="left"/>
      <w:lvlText w:val="%2"/>
      <w:numFmt w:val="lowerRoman"/>
      <w:start w:val="1"/>
    </w:lvl>
  </w:abstractNum>
  <w:abstractNum w:abstractNumId="12">
    <w:nsid w:val="1716703B"/>
    <w:multiLevelType w:val="hybridMultilevel"/>
    <w:lvl w:ilvl="0">
      <w:lvlJc w:val="left"/>
      <w:lvlText w:val="(%1)"/>
      <w:numFmt w:val="lowerLetter"/>
      <w:start w:val="1"/>
    </w:lvl>
  </w:abstractNum>
  <w:abstractNum w:abstractNumId="13">
    <w:nsid w:val="14E17E33"/>
    <w:multiLevelType w:val="hybridMultilevel"/>
    <w:lvl w:ilvl="0">
      <w:lvlJc w:val="left"/>
      <w:lvlText w:val="(%1)"/>
      <w:numFmt w:val="lowerLetter"/>
      <w:start w:val="1"/>
    </w:lvl>
  </w:abstractNum>
  <w:abstractNum w:abstractNumId="14">
    <w:nsid w:val="3222E7CD"/>
    <w:multiLevelType w:val="hybridMultilevel"/>
    <w:lvl w:ilvl="0">
      <w:lvlJc w:val="left"/>
      <w:lvlText w:val="(%1)"/>
      <w:numFmt w:val="lowerLetter"/>
      <w:start w:val="1"/>
    </w:lvl>
  </w:abstractNum>
  <w:abstractNum w:abstractNumId="15">
    <w:nsid w:val="74DE0EE3"/>
    <w:multiLevelType w:val="hybridMultilevel"/>
    <w:lvl w:ilvl="0">
      <w:lvlJc w:val="left"/>
      <w:lvlText w:val="(%1)"/>
      <w:numFmt w:val="lowerLetter"/>
      <w:start w:val="3"/>
    </w:lvl>
  </w:abstractNum>
  <w:abstractNum w:abstractNumId="16">
    <w:nsid w:val="68EBC550"/>
    <w:multiLevelType w:val="hybridMultilevel"/>
    <w:lvl w:ilvl="0">
      <w:lvlJc w:val="left"/>
      <w:lvlText w:val="(%1)"/>
      <w:numFmt w:val="lowerLetter"/>
      <w:start w:val="1"/>
    </w:lvl>
  </w:abstractNum>
  <w:abstractNum w:abstractNumId="17">
    <w:nsid w:val="2DF6D648"/>
    <w:multiLevelType w:val="hybridMultilevel"/>
    <w:lvl w:ilvl="0">
      <w:lvlJc w:val="left"/>
      <w:lvlText w:val="(%1)"/>
      <w:numFmt w:val="lowerLetter"/>
      <w:start w:val="1"/>
    </w:lvl>
    <w:lvl w:ilvl="1">
      <w:lvlJc w:val="left"/>
      <w:lvlText w:val="(%2)"/>
      <w:numFmt w:val="lowerRoman"/>
      <w:start w:val="1"/>
    </w:lvl>
  </w:abstractNum>
  <w:abstractNum w:abstractNumId="18">
    <w:nsid w:val="46B7D447"/>
    <w:multiLevelType w:val="hybridMultilevel"/>
    <w:lvl w:ilvl="0">
      <w:lvlJc w:val="left"/>
      <w:lvlText w:val="(%1)"/>
      <w:numFmt w:val="lowerLetter"/>
      <w:start w:val="1"/>
    </w:lvl>
  </w:abstractNum>
  <w:abstractNum w:abstractNumId="19">
    <w:nsid w:val="4A2AC315"/>
    <w:multiLevelType w:val="hybridMultilevel"/>
    <w:lvl w:ilvl="0">
      <w:lvlJc w:val="left"/>
      <w:lvlText w:val="(%1)"/>
      <w:numFmt w:val="lowerLetter"/>
      <w:start w:val="3"/>
    </w:lvl>
  </w:abstractNum>
  <w:abstractNum w:abstractNumId="20">
    <w:nsid w:val="39EE015C"/>
    <w:multiLevelType w:val="hybridMultilevel"/>
    <w:lvl w:ilvl="0">
      <w:lvlJc w:val="left"/>
      <w:lvlText w:val="(%1)"/>
      <w:numFmt w:val="lowerLetter"/>
      <w:start w:val="1"/>
    </w:lvl>
    <w:lvl w:ilvl="1">
      <w:lvlJc w:val="left"/>
      <w:lvlText w:val="(%2)"/>
      <w:numFmt w:val="lowerLetter"/>
      <w:start w:val="9"/>
    </w:lvl>
  </w:abstractNum>
  <w:abstractNum w:abstractNumId="21">
    <w:nsid w:val="57FC4FBB"/>
    <w:multiLevelType w:val="hybridMultilevel"/>
    <w:lvl w:ilvl="0">
      <w:lvlJc w:val="left"/>
      <w:lvlText w:val="(%1)"/>
      <w:numFmt w:val="lowerRoman"/>
      <w:start w:val="2"/>
    </w:lvl>
    <w:lvl w:ilvl="1">
      <w:lvlJc w:val="left"/>
      <w:lvlText w:val="(%2)"/>
      <w:numFmt w:val="upperLetter"/>
      <w:start w:val="1"/>
    </w:lvl>
  </w:abstractNum>
  <w:abstractNum w:abstractNumId="22">
    <w:nsid w:val="CC1016F"/>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6"/>
    </w:lvl>
  </w:abstractNum>
  <w:abstractNum w:abstractNumId="23">
    <w:nsid w:val="43F18422"/>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24">
    <w:nsid w:val="60EF0119"/>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25">
    <w:nsid w:val="26F324BA"/>
    <w:multiLevelType w:val="hybridMultilevel"/>
    <w:lvl w:ilvl="0">
      <w:lvlJc w:val="left"/>
      <w:lvlText w:val="(%1)"/>
      <w:numFmt w:val="lowerLetter"/>
      <w:start w:val="2"/>
    </w:lvl>
    <w:lvl w:ilvl="1">
      <w:lvlJc w:val="left"/>
      <w:lvlText w:val="(%2)"/>
      <w:numFmt w:val="lowerLetter"/>
      <w:start w:val="9"/>
    </w:lvl>
  </w:abstractNum>
  <w:abstractNum w:abstractNumId="26">
    <w:nsid w:val="7F01579B"/>
    <w:multiLevelType w:val="hybridMultilevel"/>
    <w:lvl w:ilvl="0">
      <w:lvlJc w:val="left"/>
      <w:lvlText w:val="(%1)"/>
      <w:numFmt w:val="lowerRoman"/>
      <w:start w:val="2"/>
    </w:lvl>
  </w:abstractNum>
  <w:abstractNum w:abstractNumId="27">
    <w:nsid w:val="49DA307D"/>
    <w:multiLevelType w:val="hybridMultilevel"/>
    <w:lvl w:ilvl="0">
      <w:lvlJc w:val="left"/>
      <w:lvlText w:val="(%1)"/>
      <w:numFmt w:val="lowerLetter"/>
      <w:start w:val="3"/>
    </w:lvl>
    <w:lvl w:ilvl="1">
      <w:lvlJc w:val="left"/>
      <w:lvlText w:val="(%2)"/>
      <w:numFmt w:val="lowerRoman"/>
      <w:start w:val="1"/>
    </w:lvl>
  </w:abstractNum>
  <w:abstractNum w:abstractNumId="28">
    <w:nsid w:val="7055A5F5"/>
    <w:multiLevelType w:val="hybridMultilevel"/>
    <w:lvl w:ilvl="0">
      <w:lvlJc w:val="left"/>
      <w:lvlText w:val="%1"/>
      <w:numFmt w:val="lowerLetter"/>
      <w:start w:val="1"/>
    </w:lvl>
    <w:lvl w:ilvl="1">
      <w:lvlJc w:val="left"/>
      <w:lvlText w:val="(%2)"/>
      <w:numFmt w:val="lowerRoman"/>
      <w:start w:val="4"/>
    </w:lvl>
  </w:abstractNum>
  <w:abstractNum w:abstractNumId="29">
    <w:nsid w:val="5FB8370B"/>
    <w:multiLevelType w:val="hybridMultilevel"/>
    <w:lvl w:ilvl="0">
      <w:lvlJc w:val="left"/>
      <w:lvlText w:val="(%1)"/>
      <w:numFmt w:val="lowerLetter"/>
      <w:start w:val="4"/>
    </w:lvl>
    <w:lvl w:ilvl="1">
      <w:lvlJc w:val="left"/>
      <w:lvlText w:val="(%2)"/>
      <w:numFmt w:val="lowerRoman"/>
      <w:start w:val="1"/>
    </w:lvl>
  </w:abstractNum>
  <w:abstractNum w:abstractNumId="30">
    <w:nsid w:val="50801EE1"/>
    <w:multiLevelType w:val="hybridMultilevel"/>
    <w:lvl w:ilvl="0">
      <w:lvlJc w:val="left"/>
      <w:lvlText w:val="(%1)"/>
      <w:numFmt w:val="lowerLetter"/>
      <w:start w:val="5"/>
    </w:lvl>
    <w:lvl w:ilvl="1">
      <w:lvlJc w:val="left"/>
      <w:lvlText w:val="(%2)"/>
      <w:numFmt w:val="lowerRoman"/>
      <w:start w:val="1"/>
    </w:lvl>
  </w:abstractNum>
  <w:abstractNum w:abstractNumId="31">
    <w:nsid w:val="488AC1A"/>
    <w:multiLevelType w:val="hybridMultilevel"/>
    <w:lvl w:ilvl="0">
      <w:lvlJc w:val="left"/>
      <w:lvlText w:val="(%1)"/>
      <w:numFmt w:val="lowerRoman"/>
      <w:start w:val="9"/>
    </w:lvl>
  </w:abstractNum>
  <w:abstractNum w:abstractNumId="32">
    <w:nsid w:val="5FB8011C"/>
    <w:multiLevelType w:val="hybridMultilevel"/>
    <w:lvl w:ilvl="0">
      <w:lvlJc w:val="left"/>
      <w:lvlText w:val="%1"/>
      <w:numFmt w:val="lowerLetter"/>
      <w:start w:val="1"/>
    </w:lvl>
    <w:lvl w:ilvl="1">
      <w:lvlJc w:val="left"/>
      <w:lvlText w:val="(%2)"/>
      <w:numFmt w:val="lowerLetter"/>
      <w:start w:val="6"/>
    </w:lvl>
  </w:abstractNum>
  <w:abstractNum w:abstractNumId="33">
    <w:nsid w:val="6AA78F7F"/>
    <w:multiLevelType w:val="hybridMultilevel"/>
    <w:lvl w:ilvl="0">
      <w:lvlJc w:val="left"/>
      <w:lvlText w:val="(%1)"/>
      <w:numFmt w:val="lowerLetter"/>
      <w:start w:val="9"/>
    </w:lvl>
    <w:lvl w:ilvl="1">
      <w:lvlJc w:val="left"/>
      <w:lvlText w:val="(%2)"/>
      <w:numFmt w:val="lowerLetter"/>
      <w:start w:val="7"/>
    </w:lvl>
  </w:abstractNum>
  <w:abstractNum w:abstractNumId="34">
    <w:nsid w:val="7672BD23"/>
    <w:multiLevelType w:val="hybridMultilevel"/>
    <w:lvl w:ilvl="0">
      <w:lvlJc w:val="left"/>
      <w:lvlText w:val="(%1)"/>
      <w:numFmt w:val="lowerLetter"/>
      <w:start w:val="8"/>
    </w:lvl>
  </w:abstractNum>
  <w:abstractNum w:abstractNumId="35">
    <w:nsid w:val="6FC75AF8"/>
    <w:multiLevelType w:val="hybridMultilevel"/>
    <w:lvl w:ilvl="0">
      <w:lvlJc w:val="left"/>
      <w:lvlText w:val="(%1)"/>
      <w:numFmt w:val="lowerLetter"/>
      <w:start w:val="1"/>
    </w:lvl>
  </w:abstractNum>
  <w:abstractNum w:abstractNumId="36">
    <w:nsid w:val="6A5F7029"/>
    <w:multiLevelType w:val="hybridMultilevel"/>
    <w:lvl w:ilvl="0">
      <w:lvlJc w:val="left"/>
      <w:lvlText w:val="(%1)"/>
      <w:numFmt w:val="lowerLetter"/>
      <w:start w:val="3"/>
    </w:lvl>
    <w:lvl w:ilvl="1">
      <w:lvlJc w:val="left"/>
      <w:lvlText w:val="(%2)"/>
      <w:numFmt w:val="lowerRoman"/>
      <w:start w:val="1"/>
    </w:lvl>
  </w:abstractNum>
  <w:abstractNum w:abstractNumId="37">
    <w:nsid w:val="7D5E18F8"/>
    <w:multiLevelType w:val="hybridMultilevel"/>
    <w:lvl w:ilvl="0">
      <w:lvlJc w:val="left"/>
      <w:lvlText w:val="(%1)"/>
      <w:numFmt w:val="lowerLetter"/>
      <w:start w:val="4"/>
    </w:lvl>
    <w:lvl w:ilvl="1">
      <w:lvlJc w:val="left"/>
      <w:lvlText w:val="(%2)"/>
      <w:numFmt w:val="lowerRoman"/>
      <w:start w:val="1"/>
    </w:lvl>
  </w:abstractNum>
  <w:abstractNum w:abstractNumId="38">
    <w:nsid w:val="5F3534A4"/>
    <w:multiLevelType w:val="hybridMultilevel"/>
    <w:lvl w:ilvl="0">
      <w:lvlJc w:val="left"/>
      <w:lvlText w:val="(%1)"/>
      <w:numFmt w:val="lowerLetter"/>
      <w:start w:val="1"/>
    </w:lvl>
    <w:lvl w:ilvl="1">
      <w:lvlJc w:val="left"/>
      <w:lvlText w:val="(%2)"/>
      <w:numFmt w:val="lowerLetter"/>
      <w:start w:val="9"/>
    </w:lvl>
  </w:abstractNum>
  <w:abstractNum w:abstractNumId="39">
    <w:nsid w:val="73A1821B"/>
    <w:multiLevelType w:val="hybridMultilevel"/>
    <w:lvl w:ilvl="0">
      <w:lvlJc w:val="left"/>
      <w:lvlText w:val="%1"/>
      <w:numFmt w:val="lowerLetter"/>
      <w:start w:val="1"/>
    </w:lvl>
    <w:lvl w:ilvl="1">
      <w:lvlJc w:val="left"/>
      <w:lvlText w:val="(%2)"/>
      <w:numFmt w:val="lowerLetter"/>
      <w:start w:val="35"/>
    </w:lvl>
  </w:abstractNum>
  <w:abstractNum w:abstractNumId="40">
    <w:nsid w:val="7DE67713"/>
    <w:multiLevelType w:val="hybridMultilevel"/>
    <w:lvl w:ilvl="0">
      <w:lvlJc w:val="left"/>
      <w:lvlText w:val="(%1)"/>
      <w:numFmt w:val="lowerLetter"/>
      <w:start w:val="2"/>
    </w:lvl>
    <w:lvl w:ilvl="1">
      <w:lvlJc w:val="left"/>
      <w:lvlText w:val="(%2)"/>
      <w:numFmt w:val="lowerLetter"/>
      <w:start w:val="9"/>
    </w:lvl>
  </w:abstractNum>
  <w:abstractNum w:abstractNumId="41">
    <w:nsid w:val="555C55B5"/>
    <w:multiLevelType w:val="hybridMultilevel"/>
    <w:lvl w:ilvl="0">
      <w:lvlJc w:val="left"/>
      <w:lvlText w:val="(%1)"/>
      <w:numFmt w:val="lowerRoman"/>
      <w:start w:val="2"/>
    </w:lvl>
    <w:lvl w:ilvl="1">
      <w:lvlJc w:val="left"/>
      <w:lvlText w:val="(%2)"/>
      <w:numFmt w:val="upperLetter"/>
      <w:start w:val="1"/>
    </w:lvl>
  </w:abstractNum>
  <w:abstractNum w:abstractNumId="42">
    <w:nsid w:val="3FA62ACA"/>
    <w:multiLevelType w:val="hybridMultilevel"/>
    <w:lvl w:ilvl="0">
      <w:lvlJc w:val="left"/>
      <w:lvlText w:val="(%1)"/>
      <w:numFmt w:val="upperLetter"/>
      <w:start w:val="2"/>
    </w:lvl>
  </w:abstractNum>
  <w:abstractNum w:abstractNumId="43">
    <w:nsid w:val="14FCE74E"/>
    <w:multiLevelType w:val="hybridMultilevel"/>
    <w:lvl w:ilvl="0">
      <w:lvlJc w:val="left"/>
      <w:lvlText w:val="(%1)"/>
      <w:numFmt w:val="lowerLetter"/>
      <w:start w:val="1"/>
    </w:lvl>
  </w:abstractNum>
  <w:abstractNum w:abstractNumId="44">
    <w:nsid w:val="6A3DD3E8"/>
    <w:multiLevelType w:val="hybridMultilevel"/>
    <w:lvl w:ilvl="0">
      <w:lvlJc w:val="left"/>
      <w:lvlText w:val="%1"/>
      <w:numFmt w:val="lowerLetter"/>
      <w:start w:val="1"/>
    </w:lvl>
    <w:lvl w:ilvl="1">
      <w:lvlJc w:val="left"/>
      <w:lvlText w:val="(%2)"/>
      <w:numFmt w:val="lowerLetter"/>
      <w:start w:val="1"/>
    </w:lvl>
  </w:abstractNum>
  <w:abstractNum w:abstractNumId="45">
    <w:nsid w:val="71C91298"/>
    <w:multiLevelType w:val="hybridMultilevel"/>
    <w:lvl w:ilvl="0">
      <w:lvlJc w:val="left"/>
      <w:lvlText w:val="(%1)"/>
      <w:numFmt w:val="lowerLetter"/>
      <w:start w:val="35"/>
    </w:lvl>
    <w:lvl w:ilvl="1">
      <w:lvlJc w:val="left"/>
      <w:lvlText w:val="%2"/>
      <w:numFmt w:val="lowerLetter"/>
      <w:start w:val="1"/>
    </w:lvl>
  </w:abstractNum>
  <w:abstractNum w:abstractNumId="46">
    <w:nsid w:val="9DAF632"/>
    <w:multiLevelType w:val="hybridMultilevel"/>
    <w:lvl w:ilvl="0">
      <w:lvlJc w:val="left"/>
      <w:lvlText w:val="(%1)"/>
      <w:numFmt w:val="lowerLetter"/>
      <w:start w:val="2"/>
    </w:lvl>
    <w:lvl w:ilvl="1">
      <w:lvlJc w:val="left"/>
      <w:lvlText w:val="(%2)"/>
      <w:numFmt w:val="lowerRoman"/>
      <w:start w:val="2"/>
    </w:lvl>
  </w:abstractNum>
  <w:abstractNum w:abstractNumId="47">
    <w:nsid w:val="53299938"/>
    <w:multiLevelType w:val="hybridMultilevel"/>
    <w:lvl w:ilvl="0">
      <w:lvlJc w:val="left"/>
      <w:lvlText w:val="(%1)"/>
      <w:numFmt w:val="lowerLetter"/>
      <w:start w:val="1"/>
    </w:lvl>
    <w:lvl w:ilvl="1">
      <w:lvlJc w:val="left"/>
      <w:lvlText w:val="(%2)"/>
      <w:numFmt w:val="lowerLetter"/>
      <w:start w:val="9"/>
    </w:lvl>
  </w:abstractNum>
  <w:abstractNum w:abstractNumId="48">
    <w:nsid w:val="1FBFE8E0"/>
    <w:multiLevelType w:val="hybridMultilevel"/>
    <w:lvl w:ilvl="0">
      <w:lvlJc w:val="left"/>
      <w:lvlText w:val="(%1)"/>
      <w:numFmt w:val="lowerRoman"/>
      <w:start w:val="2"/>
    </w:lvl>
  </w:abstractNum>
  <w:abstractNum w:abstractNumId="49">
    <w:nsid w:val="5092CA79"/>
    <w:multiLevelType w:val="hybridMultilevel"/>
    <w:lvl w:ilvl="0">
      <w:lvlJc w:val="left"/>
      <w:lvlText w:val="(%1)"/>
      <w:numFmt w:val="lowerLetter"/>
      <w:start w:val="1"/>
    </w:lvl>
  </w:abstractNum>
  <w:abstractNum w:abstractNumId="50">
    <w:nsid w:val="1D545C4D"/>
    <w:multiLevelType w:val="hybridMultilevel"/>
    <w:lvl w:ilvl="0">
      <w:lvlJc w:val="left"/>
      <w:lvlText w:val="(%1)"/>
      <w:numFmt w:val="lowerLetter"/>
      <w:start w:val="1"/>
    </w:lvl>
  </w:abstractNum>
  <w:abstractNum w:abstractNumId="51">
    <w:nsid w:val="59ADEA3D"/>
    <w:multiLevelType w:val="hybridMultilevel"/>
    <w:lvl w:ilvl="0">
      <w:lvlJc w:val="left"/>
      <w:lvlText w:val="(%1)"/>
      <w:numFmt w:val="lowerLetter"/>
      <w:start w:val="2"/>
    </w:lvl>
  </w:abstractNum>
  <w:abstractNum w:abstractNumId="52">
    <w:nsid w:val="288F1A34"/>
    <w:multiLevelType w:val="hybridMultilevel"/>
    <w:lvl w:ilvl="0">
      <w:lvlJc w:val="left"/>
      <w:lvlText w:val="(%1)"/>
      <w:numFmt w:val="lowerLetter"/>
      <w:start w:val="1"/>
    </w:lvl>
  </w:abstractNum>
  <w:abstractNum w:abstractNumId="53">
    <w:nsid w:val="2A155DBC"/>
    <w:multiLevelType w:val="hybridMultilevel"/>
    <w:lvl w:ilvl="0">
      <w:lvlJc w:val="left"/>
      <w:lvlText w:val="(%1)"/>
      <w:numFmt w:val="lowerRoman"/>
      <w:start w:val="2"/>
    </w:lvl>
  </w:abstractNum>
  <w:abstractNum w:abstractNumId="54">
    <w:nsid w:val="1D9F6E5F"/>
    <w:multiLevelType w:val="hybridMultilevel"/>
    <w:lvl w:ilvl="0">
      <w:lvlJc w:val="left"/>
      <w:lvlText w:val="(%1)"/>
      <w:numFmt w:val="lowerLetter"/>
      <w:start w:val="3"/>
    </w:lvl>
  </w:abstractNum>
  <w:abstractNum w:abstractNumId="55">
    <w:nsid w:val="97E1B4E"/>
    <w:multiLevelType w:val="hybridMultilevel"/>
    <w:lvl w:ilvl="0">
      <w:lvlJc w:val="left"/>
      <w:lvlText w:val="(%1)"/>
      <w:numFmt w:val="lowerRoman"/>
      <w:start w:val="1"/>
    </w:lvl>
  </w:abstractNum>
  <w:abstractNum w:abstractNumId="56">
    <w:nsid w:val="51088277"/>
    <w:multiLevelType w:val="hybridMultilevel"/>
    <w:lvl w:ilvl="0">
      <w:lvlJc w:val="left"/>
      <w:lvlText w:val="(%1)"/>
      <w:numFmt w:val="lowerLetter"/>
      <w:start w:val="1"/>
    </w:lvl>
  </w:abstractNum>
  <w:abstractNum w:abstractNumId="57">
    <w:nsid w:val="1CA0C5FA"/>
    <w:multiLevelType w:val="hybridMultilevel"/>
    <w:lvl w:ilvl="0">
      <w:lvlJc w:val="left"/>
      <w:lvlText w:val="(%1)"/>
      <w:numFmt w:val="lowerLetter"/>
      <w:start w:val="3"/>
    </w:lvl>
  </w:abstractNum>
  <w:abstractNum w:abstractNumId="58">
    <w:nsid w:val="53584BCB"/>
    <w:multiLevelType w:val="hybridMultilevel"/>
    <w:lvl w:ilvl="0">
      <w:lvlJc w:val="left"/>
      <w:lvlText w:val="%1"/>
      <w:numFmt w:val="lowerRoman"/>
      <w:start w:val="1"/>
    </w:lvl>
    <w:lvl w:ilvl="1">
      <w:lvlJc w:val="left"/>
      <w:lvlText w:val="(%2)"/>
      <w:numFmt w:val="lowerLetter"/>
      <w:start w:val="1"/>
    </w:lvl>
  </w:abstractNum>
  <w:abstractNum w:abstractNumId="59">
    <w:nsid w:val="415E286C"/>
    <w:multiLevelType w:val="hybridMultilevel"/>
    <w:lvl w:ilvl="0">
      <w:lvlJc w:val="left"/>
      <w:lvlText w:val="(%1)"/>
      <w:numFmt w:val="lowerRoman"/>
      <w:start w:val="4"/>
    </w:lvl>
    <w:lvl w:ilvl="1">
      <w:lvlJc w:val="left"/>
      <w:lvlText w:val="(%2)"/>
      <w:numFmt w:val="lowerLetter"/>
      <w:start w:val="2"/>
    </w:lvl>
  </w:abstractNum>
  <w:abstractNum w:abstractNumId="60">
    <w:nsid w:val="7C58FD05"/>
    <w:multiLevelType w:val="hybridMultilevel"/>
    <w:lvl w:ilvl="0">
      <w:lvlJc w:val="left"/>
      <w:lvlText w:val="(%1)"/>
      <w:numFmt w:val="lowerLetter"/>
      <w:start w:val="3"/>
    </w:lvl>
  </w:abstractNum>
  <w:abstractNum w:abstractNumId="61">
    <w:nsid w:val="23D86AAC"/>
    <w:multiLevelType w:val="hybridMultilevel"/>
    <w:lvl w:ilvl="0">
      <w:lvlJc w:val="left"/>
      <w:lvlText w:val="(%1)"/>
      <w:numFmt w:val="lowerLetter"/>
      <w:start w:val="1"/>
    </w:lvl>
    <w:lvl w:ilvl="1">
      <w:lvlJc w:val="left"/>
      <w:lvlText w:val="(%2)"/>
      <w:numFmt w:val="lowerRoman"/>
      <w:start w:val="1"/>
    </w:lvl>
  </w:abstractNum>
  <w:abstractNum w:abstractNumId="62">
    <w:nsid w:val="45E6D48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63">
    <w:nsid w:val="5C10FE21"/>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64">
    <w:nsid w:val="E7FFA2B"/>
    <w:multiLevelType w:val="hybridMultilevel"/>
    <w:lvl w:ilvl="0">
      <w:lvlJc w:val="left"/>
      <w:lvlText w:val="(%1)"/>
      <w:numFmt w:val="lowerLetter"/>
      <w:start w:val="3"/>
    </w:lvl>
  </w:abstractNum>
  <w:abstractNum w:abstractNumId="65">
    <w:nsid w:val="3C5991AA"/>
    <w:multiLevelType w:val="hybridMultilevel"/>
    <w:lvl w:ilvl="0">
      <w:lvlJc w:val="left"/>
      <w:lvlText w:val="(%1)"/>
      <w:numFmt w:val="lowerLetter"/>
      <w:start w:val="1"/>
    </w:lvl>
    <w:lvl w:ilvl="1">
      <w:lvlJc w:val="left"/>
      <w:lvlText w:val="(%2)"/>
      <w:numFmt w:val="lowerRoman"/>
      <w:start w:val="1"/>
    </w:lvl>
  </w:abstractNum>
  <w:abstractNum w:abstractNumId="66">
    <w:nsid w:val="4BD8591A"/>
    <w:multiLevelType w:val="hybridMultilevel"/>
    <w:lvl w:ilvl="0">
      <w:lvlJc w:val="left"/>
      <w:lvlText w:val="%1"/>
      <w:numFmt w:val="lowerLetter"/>
      <w:start w:val="1"/>
    </w:lvl>
    <w:lvl w:ilvl="1">
      <w:lvlJc w:val="left"/>
      <w:lvlText w:val="(%2)"/>
      <w:numFmt w:val="lowerLetter"/>
      <w:start w:val="61"/>
    </w:lvl>
  </w:abstractNum>
  <w:abstractNum w:abstractNumId="67">
    <w:nsid w:val="78DF6A55"/>
    <w:multiLevelType w:val="hybridMultilevel"/>
    <w:lvl w:ilvl="0">
      <w:lvlJc w:val="left"/>
      <w:lvlText w:val="(%1)"/>
      <w:numFmt w:val="lowerLetter"/>
      <w:start w:val="2"/>
    </w:lvl>
    <w:lvl w:ilvl="1">
      <w:lvlJc w:val="left"/>
      <w:lvlText w:val="(%2)"/>
      <w:numFmt w:val="lowerLetter"/>
      <w:start w:val="35"/>
    </w:lvl>
  </w:abstractNum>
  <w:abstractNum w:abstractNumId="68">
    <w:nsid w:val="39B7AAA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9">
    <w:nsid w:val="2B0D8DBE"/>
    <w:multiLevelType w:val="hybridMultilevel"/>
    <w:lvl w:ilvl="0">
      <w:lvlJc w:val="left"/>
      <w:lvlText w:val="(%1)"/>
      <w:numFmt w:val="upperLetter"/>
      <w:start w:val="2"/>
    </w:lvl>
    <w:lvl w:ilvl="1">
      <w:lvlJc w:val="left"/>
      <w:lvlText w:val="(%2)"/>
      <w:numFmt w:val="decimal"/>
      <w:start w:val="1"/>
    </w:lvl>
  </w:abstractNum>
  <w:abstractNum w:abstractNumId="70">
    <w:nsid w:val="6C80EC7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71">
    <w:nsid w:val="379E21B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72">
    <w:nsid w:val="69E373"/>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73">
    <w:nsid w:val="2C27173B"/>
    <w:multiLevelType w:val="hybridMultilevel"/>
    <w:lvl w:ilvl="0">
      <w:lvlJc w:val="left"/>
      <w:lvlText w:val="(%1)"/>
      <w:numFmt w:val="lowerLetter"/>
      <w:start w:val="1"/>
    </w:lvl>
    <w:lvl w:ilvl="1">
      <w:lvlJc w:val="left"/>
      <w:lvlText w:val="(%2)"/>
      <w:numFmt w:val="lowerRoman"/>
      <w:start w:val="1"/>
    </w:lvl>
  </w:abstractNum>
  <w:abstractNum w:abstractNumId="74">
    <w:nsid w:val="4C9B0904"/>
    <w:multiLevelType w:val="hybridMultilevel"/>
    <w:lvl w:ilvl="0">
      <w:lvlJc w:val="left"/>
      <w:lvlText w:val="(%1)"/>
      <w:numFmt w:val="lowerLetter"/>
      <w:start w:val="2"/>
    </w:lvl>
  </w:abstractNum>
  <w:abstractNum w:abstractNumId="75">
    <w:nsid w:val="6AA7B75C"/>
    <w:multiLevelType w:val="hybridMultilevel"/>
    <w:lvl w:ilvl="0">
      <w:lvlJc w:val="left"/>
      <w:lvlText w:val="(%1)"/>
      <w:numFmt w:val="lowerLetter"/>
      <w:start w:val="3"/>
    </w:lvl>
  </w:abstractNum>
  <w:abstractNum w:abstractNumId="76">
    <w:nsid w:val="1DF029D3"/>
    <w:multiLevelType w:val="hybridMultilevel"/>
    <w:lvl w:ilvl="0">
      <w:lvlJc w:val="left"/>
      <w:lvlText w:val="(%1)"/>
      <w:numFmt w:val="lowerLetter"/>
      <w:start w:val="1"/>
    </w:lvl>
  </w:abstractNum>
  <w:abstractNum w:abstractNumId="77">
    <w:nsid w:val="5675FF36"/>
    <w:multiLevelType w:val="hybridMultilevel"/>
    <w:lvl w:ilvl="0">
      <w:lvlJc w:val="left"/>
      <w:lvlText w:val="(%1)"/>
      <w:numFmt w:val="lowerLetter"/>
      <w:start w:val="1"/>
    </w:lvl>
  </w:abstractNum>
  <w:abstractNum w:abstractNumId="78">
    <w:nsid w:val="3DD15094"/>
    <w:multiLevelType w:val="hybridMultilevel"/>
    <w:lvl w:ilvl="0">
      <w:lvlJc w:val="left"/>
      <w:lvlText w:val="(%1)"/>
      <w:numFmt w:val="lowerLetter"/>
      <w:start w:val="1"/>
    </w:lvl>
  </w:abstractNum>
  <w:abstractNum w:abstractNumId="79">
    <w:nsid w:val="3DB012B3"/>
    <w:multiLevelType w:val="hybridMultilevel"/>
    <w:lvl w:ilvl="0">
      <w:lvlJc w:val="left"/>
      <w:lvlText w:val="(%1)"/>
      <w:numFmt w:val="lowerLetter"/>
      <w:start w:val="5"/>
    </w:lvl>
  </w:abstractNum>
  <w:abstractNum w:abstractNumId="80">
    <w:nsid w:val="2708C9AF"/>
    <w:multiLevelType w:val="hybridMultilevel"/>
    <w:lvl w:ilvl="0">
      <w:lvlJc w:val="left"/>
      <w:lvlText w:val="(%1)"/>
      <w:numFmt w:val="lowerLetter"/>
      <w:start w:val="1"/>
    </w:lvl>
  </w:abstractNum>
  <w:abstractNum w:abstractNumId="81">
    <w:nsid w:val="5B25ACE2"/>
    <w:multiLevelType w:val="hybridMultilevel"/>
    <w:lvl w:ilvl="0">
      <w:lvlJc w:val="left"/>
      <w:lvlText w:val="(%1)"/>
      <w:numFmt w:val="lowerLetter"/>
      <w:start w:val="1"/>
    </w:lvl>
    <w:lvl w:ilvl="1">
      <w:lvlJc w:val="left"/>
      <w:lvlText w:val="(%2)"/>
      <w:numFmt w:val="lowerLetter"/>
      <w:start w:val="9"/>
    </w:lvl>
  </w:abstractNum>
  <w:abstractNum w:abstractNumId="82">
    <w:nsid w:val="175DFCF0"/>
    <w:multiLevelType w:val="hybridMultilevel"/>
    <w:lvl w:ilvl="0">
      <w:lvlJc w:val="left"/>
      <w:lvlText w:val="%1"/>
      <w:numFmt w:val="lowerLetter"/>
      <w:start w:val="1"/>
    </w:lvl>
    <w:lvl w:ilvl="1">
      <w:lvlJc w:val="left"/>
      <w:lvlText w:val="(%2)"/>
      <w:numFmt w:val="lowerRoman"/>
      <w:start w:val="2"/>
    </w:lvl>
  </w:abstractNum>
  <w:abstractNum w:abstractNumId="83">
    <w:nsid w:val="4F97E3E4"/>
    <w:multiLevelType w:val="hybridMultilevel"/>
    <w:lvl w:ilvl="0">
      <w:lvlJc w:val="left"/>
      <w:lvlText w:val="(%1)"/>
      <w:numFmt w:val="lowerLetter"/>
      <w:start w:val="6"/>
    </w:lvl>
    <w:lvl w:ilvl="1">
      <w:lvlJc w:val="left"/>
      <w:lvlText w:val="%2"/>
      <w:numFmt w:val="lowerRoman"/>
      <w:start w:val="1"/>
    </w:lvl>
  </w:abstractNum>
  <w:abstractNum w:abstractNumId="84">
    <w:nsid w:val="53B0A9E"/>
    <w:multiLevelType w:val="hybridMultilevel"/>
    <w:lvl w:ilvl="0">
      <w:lvlJc w:val="left"/>
      <w:lvlText w:val="(%1)"/>
      <w:numFmt w:val="lowerLetter"/>
      <w:start w:val="1"/>
    </w:lvl>
  </w:abstractNum>
  <w:abstractNum w:abstractNumId="85">
    <w:nsid w:val="34FD6B4F"/>
    <w:multiLevelType w:val="hybridMultilevel"/>
    <w:lvl w:ilvl="0">
      <w:lvlJc w:val="left"/>
      <w:lvlText w:val="(%1)"/>
      <w:numFmt w:val="lowerLetter"/>
      <w:start w:val="2"/>
    </w:lvl>
  </w:abstractNum>
  <w:abstractNum w:abstractNumId="86">
    <w:nsid w:val="5915FF32"/>
    <w:multiLevelType w:val="hybridMultilevel"/>
    <w:lvl w:ilvl="0">
      <w:lvlJc w:val="left"/>
      <w:lvlText w:val="%1"/>
      <w:numFmt w:val="lowerLetter"/>
      <w:start w:val="1"/>
    </w:lvl>
    <w:lvl w:ilvl="1">
      <w:lvlJc w:val="left"/>
      <w:lvlText w:val="(%2)"/>
      <w:numFmt w:val="lowerLetter"/>
      <w:start w:val="1"/>
    </w:lvl>
  </w:abstractNum>
  <w:abstractNum w:abstractNumId="87">
    <w:nsid w:val="56438D15"/>
    <w:multiLevelType w:val="hybridMultilevel"/>
    <w:lvl w:ilvl="0">
      <w:lvlJc w:val="left"/>
      <w:lvlText w:val="(%1)"/>
      <w:numFmt w:val="lowerLetter"/>
      <w:start w:val="3"/>
    </w:lvl>
    <w:lvl w:ilvl="1">
      <w:lvlJc w:val="left"/>
      <w:lvlText w:val="%2"/>
      <w:numFmt w:val="lowerLetter"/>
      <w:start w:val="1"/>
    </w:lvl>
  </w:abstractNum>
  <w:abstractNum w:abstractNumId="88">
    <w:nsid w:val="519E3149"/>
    <w:multiLevelType w:val="hybridMultilevel"/>
    <w:lvl w:ilvl="0">
      <w:lvlJc w:val="left"/>
      <w:lvlText w:val="(%1)"/>
      <w:numFmt w:val="lowerLetter"/>
      <w:start w:val="1"/>
    </w:lvl>
  </w:abstractNum>
  <w:abstractNum w:abstractNumId="89">
    <w:nsid w:val="2C6E4AFD"/>
    <w:multiLevelType w:val="hybridMultilevel"/>
    <w:lvl w:ilvl="0">
      <w:lvlJc w:val="left"/>
      <w:lvlText w:val="(%1)"/>
      <w:numFmt w:val="lowerLetter"/>
      <w:start w:val="3"/>
    </w:lvl>
    <w:lvl w:ilvl="1">
      <w:lvlJc w:val="left"/>
      <w:lvlText w:val="(%2)"/>
      <w:numFmt w:val="lowerRoman"/>
      <w:start w:val="1"/>
    </w:lvl>
  </w:abstractNum>
  <w:abstractNum w:abstractNumId="90">
    <w:nsid w:val="17A1B582"/>
    <w:multiLevelType w:val="hybridMultilevel"/>
    <w:lvl w:ilvl="0">
      <w:lvlJc w:val="left"/>
      <w:lvlText w:val="(%1)"/>
      <w:numFmt w:val="lowerLetter"/>
      <w:start w:val="6"/>
    </w:lvl>
  </w:abstractNum>
  <w:abstractNum w:abstractNumId="91">
    <w:nsid w:val="4DF72E4E"/>
    <w:multiLevelType w:val="hybridMultilevel"/>
    <w:lvl w:ilvl="0">
      <w:lvlJc w:val="left"/>
      <w:lvlText w:val="%1"/>
      <w:numFmt w:val="lowerLetter"/>
      <w:start w:val="1"/>
    </w:lvl>
    <w:lvl w:ilvl="1">
      <w:lvlJc w:val="left"/>
      <w:lvlText w:val="(%2)"/>
      <w:numFmt w:val="lowerLetter"/>
      <w:start w:val="1"/>
    </w:lvl>
  </w:abstractNum>
  <w:abstractNum w:abstractNumId="92">
    <w:nsid w:val="5046B5A9"/>
    <w:multiLevelType w:val="hybridMultilevel"/>
    <w:lvl w:ilvl="0">
      <w:lvlJc w:val="left"/>
      <w:lvlText w:val="(%1)"/>
      <w:numFmt w:val="lowerLetter"/>
      <w:start w:val="3"/>
    </w:lvl>
    <w:lvl w:ilvl="1">
      <w:lvlJc w:val="left"/>
      <w:lvlText w:val="%2"/>
      <w:numFmt w:val="lowerLetter"/>
      <w:start w:val="1"/>
    </w:lvl>
  </w:abstractNum>
  <w:abstractNum w:abstractNumId="93">
    <w:nsid w:val="5D888A08"/>
    <w:multiLevelType w:val="hybridMultilevel"/>
    <w:lvl w:ilvl="0">
      <w:lvlJc w:val="left"/>
      <w:lvlText w:val="(%1)"/>
      <w:numFmt w:val="lowerLetter"/>
      <w:start w:val="1"/>
    </w:lvl>
  </w:abstractNum>
  <w:abstractNum w:abstractNumId="94">
    <w:nsid w:val="2A082C70"/>
    <w:multiLevelType w:val="hybridMultilevel"/>
    <w:lvl w:ilvl="0">
      <w:lvlJc w:val="left"/>
      <w:lvlText w:val="(%1)"/>
      <w:numFmt w:val="lowerLetter"/>
      <w:start w:val="1"/>
    </w:lvl>
  </w:abstractNum>
  <w:abstractNum w:abstractNumId="95">
    <w:nsid w:val="5EC6AFD4"/>
    <w:multiLevelType w:val="hybridMultilevel"/>
    <w:lvl w:ilvl="0">
      <w:lvlJc w:val="left"/>
      <w:lvlText w:val="%1"/>
      <w:numFmt w:val="lowerLetter"/>
      <w:start w:val="1"/>
    </w:lvl>
    <w:lvl w:ilvl="1">
      <w:lvlJc w:val="left"/>
      <w:lvlText w:val="(%2)"/>
      <w:numFmt w:val="lowerLetter"/>
      <w:start w:val="1"/>
    </w:lvl>
  </w:abstractNum>
  <w:abstractNum w:abstractNumId="96">
    <w:nsid w:val="19E21BB2"/>
    <w:multiLevelType w:val="hybridMultilevel"/>
    <w:lvl w:ilvl="0">
      <w:lvlJc w:val="left"/>
      <w:lvlText w:val="(%1)"/>
      <w:numFmt w:val="lowerLetter"/>
      <w:start w:val="26"/>
    </w:lvl>
    <w:lvl w:ilvl="1">
      <w:lvlJc w:val="left"/>
      <w:lvlText w:val="(%2)"/>
      <w:numFmt w:val="lowerLetter"/>
      <w:start w:val="3"/>
    </w:lvl>
  </w:abstractNum>
  <w:abstractNum w:abstractNumId="97">
    <w:nsid w:val="75E0858A"/>
    <w:multiLevelType w:val="hybridMultilevel"/>
    <w:lvl w:ilvl="0">
      <w:lvlJc w:val="left"/>
      <w:lvlText w:val="(%1)"/>
      <w:numFmt w:val="lowerLetter"/>
      <w:start w:val="5"/>
    </w:lvl>
  </w:abstractNum>
  <w:abstractNum w:abstractNumId="98">
    <w:nsid w:val="57A61A29"/>
    <w:multiLevelType w:val="hybridMultilevel"/>
    <w:lvl w:ilvl="0">
      <w:lvlJc w:val="left"/>
      <w:lvlText w:val="(%1)"/>
      <w:numFmt w:val="lowerLetter"/>
      <w:start w:val="1"/>
    </w:lvl>
  </w:abstractNum>
  <w:abstractNum w:abstractNumId="99">
    <w:nsid w:val="5399C654"/>
    <w:multiLevelType w:val="hybridMultilevel"/>
    <w:lvl w:ilvl="0">
      <w:lvlJc w:val="left"/>
      <w:lvlText w:val="%1"/>
      <w:numFmt w:val="lowerLetter"/>
      <w:start w:val="1"/>
    </w:lvl>
    <w:lvl w:ilvl="1">
      <w:lvlJc w:val="left"/>
      <w:lvlText w:val="(%2)"/>
      <w:numFmt w:val="lowerLetter"/>
      <w:start w:val="8"/>
    </w:lvl>
  </w:abstractNum>
  <w:abstractNum w:abstractNumId="100">
    <w:nsid w:val="20EE1348"/>
    <w:multiLevelType w:val="hybridMultilevel"/>
    <w:lvl w:ilvl="0">
      <w:lvlJc w:val="left"/>
      <w:lvlText w:val="(%1)"/>
      <w:numFmt w:val="lowerLetter"/>
      <w:start w:val="13"/>
    </w:lvl>
    <w:lvl w:ilvl="1">
      <w:lvlJc w:val="left"/>
      <w:lvlText w:val="%2"/>
      <w:numFmt w:val="lowerLetter"/>
      <w:start w:val="1"/>
    </w:lvl>
  </w:abstractNum>
  <w:abstractNum w:abstractNumId="101">
    <w:nsid w:val="4427069A"/>
    <w:multiLevelType w:val="hybridMultilevel"/>
    <w:lvl w:ilvl="0">
      <w:lvlJc w:val="left"/>
      <w:lvlText w:val="(%1)"/>
      <w:numFmt w:val="lowerLetter"/>
      <w:start w:val="1"/>
    </w:lvl>
  </w:abstractNum>
  <w:abstractNum w:abstractNumId="102">
    <w:nsid w:val="B37E80A"/>
    <w:multiLevelType w:val="hybridMultilevel"/>
    <w:lvl w:ilvl="0">
      <w:lvlJc w:val="left"/>
      <w:lvlText w:val="(%1)"/>
      <w:numFmt w:val="lowerLetter"/>
      <w:start w:val="2"/>
    </w:lvl>
  </w:abstractNum>
  <w:abstractNum w:abstractNumId="103">
    <w:nsid w:val="2157F6BC"/>
    <w:multiLevelType w:val="hybridMultilevel"/>
    <w:lvl w:ilvl="0">
      <w:lvlJc w:val="left"/>
      <w:lvlText w:val="(%1)"/>
      <w:numFmt w:val="lowerLetter"/>
      <w:start w:val="10"/>
    </w:lvl>
  </w:abstractNum>
  <w:abstractNum w:abstractNumId="104">
    <w:nsid w:val="704E1DD5"/>
    <w:multiLevelType w:val="hybridMultilevel"/>
    <w:lvl w:ilvl="0">
      <w:lvlJc w:val="left"/>
      <w:lvlText w:val="(%1)"/>
      <w:numFmt w:val="lowerLetter"/>
      <w:start w:val="1"/>
    </w:lvl>
  </w:abstractNum>
  <w:abstractNum w:abstractNumId="105">
    <w:nsid w:val="57D2F10E"/>
    <w:multiLevelType w:val="hybridMultilevel"/>
    <w:lvl w:ilvl="0">
      <w:lvlJc w:val="left"/>
      <w:lvlText w:val="(%1)"/>
      <w:numFmt w:val="lowerLetter"/>
      <w:start w:val="3"/>
    </w:lvl>
  </w:abstractNum>
  <w:abstractNum w:abstractNumId="106">
    <w:nsid w:val="BFFAE18"/>
    <w:multiLevelType w:val="hybridMultilevel"/>
    <w:lvl w:ilvl="0">
      <w:lvlJc w:val="left"/>
      <w:lvlText w:val="(%1)"/>
      <w:numFmt w:val="lowerLetter"/>
      <w:start w:val="5"/>
    </w:lvl>
  </w:abstractNum>
  <w:abstractNum w:abstractNumId="107">
    <w:nsid w:val="E3E47A8"/>
    <w:multiLevelType w:val="hybridMultilevel"/>
    <w:lvl w:ilvl="0">
      <w:lvlJc w:val="left"/>
      <w:lvlText w:val="(%1)"/>
      <w:numFmt w:val="lowerLetter"/>
      <w:start w:val="1"/>
    </w:lvl>
  </w:abstractNum>
  <w:abstractNum w:abstractNumId="108">
    <w:nsid w:val="2E48F044"/>
    <w:multiLevelType w:val="hybridMultilevel"/>
    <w:lvl w:ilvl="0">
      <w:lvlJc w:val="left"/>
      <w:lvlText w:val="(%1)"/>
      <w:numFmt w:val="lowerLetter"/>
      <w:start w:val="11"/>
    </w:lvl>
  </w:abstractNum>
  <w:abstractNum w:abstractNumId="109">
    <w:nsid w:val="49D0FEAC"/>
    <w:multiLevelType w:val="hybridMultilevel"/>
    <w:lvl w:ilvl="0">
      <w:lvlJc w:val="left"/>
      <w:lvlText w:val="(%1)"/>
      <w:numFmt w:val="lowerLetter"/>
      <w:start w:val="1"/>
    </w:lvl>
  </w:abstractNum>
  <w:abstractNum w:abstractNumId="110">
    <w:nsid w:val="4BEE5A5B"/>
    <w:multiLevelType w:val="hybridMultilevel"/>
    <w:lvl w:ilvl="0">
      <w:lvlJc w:val="left"/>
      <w:lvlText w:val="(%1)"/>
      <w:numFmt w:val="lowerLetter"/>
      <w:start w:val="2"/>
    </w:lvl>
  </w:abstractNum>
  <w:abstractNum w:abstractNumId="111">
    <w:nsid w:val="5551B9F3"/>
    <w:multiLevelType w:val="hybridMultilevel"/>
    <w:lvl w:ilvl="0">
      <w:lvlJc w:val="left"/>
      <w:lvlText w:val="(%1)"/>
      <w:numFmt w:val="lowerLetter"/>
      <w:start w:val="1"/>
    </w:lvl>
  </w:abstractNum>
  <w:abstractNum w:abstractNumId="112">
    <w:nsid w:val="24F6AB8E"/>
    <w:multiLevelType w:val="hybridMultilevel"/>
    <w:lvl w:ilvl="0">
      <w:lvlJc w:val="left"/>
      <w:lvlText w:val="%1"/>
      <w:numFmt w:val="lowerLetter"/>
      <w:start w:val="1"/>
    </w:lvl>
    <w:lvl w:ilvl="1">
      <w:lvlJc w:val="left"/>
      <w:lvlText w:val="(%2)"/>
      <w:numFmt w:val="lowerLetter"/>
      <w:start w:val="3"/>
    </w:lvl>
  </w:abstractNum>
  <w:abstractNum w:abstractNumId="113">
    <w:nsid w:val="634C574C"/>
    <w:multiLevelType w:val="hybridMultilevel"/>
    <w:lvl w:ilvl="0">
      <w:lvlJc w:val="left"/>
      <w:lvlText w:val="(%1)"/>
      <w:numFmt w:val="lowerLetter"/>
      <w:start w:val="61"/>
    </w:lvl>
    <w:lvl w:ilvl="1">
      <w:lvlJc w:val="left"/>
      <w:lvlText w:val="(%2)"/>
      <w:numFmt w:val="lowerLetter"/>
      <w:start w:val="5"/>
    </w:lvl>
  </w:abstractNum>
  <w:abstractNum w:abstractNumId="114">
    <w:nsid w:val="24E99DD7"/>
    <w:multiLevelType w:val="hybridMultilevel"/>
    <w:lvl w:ilvl="0">
      <w:lvlJc w:val="left"/>
      <w:lvlText w:val="(%1)"/>
      <w:numFmt w:val="lowerLetter"/>
      <w:start w:val="8"/>
    </w:lvl>
  </w:abstractNum>
  <w:abstractNum w:abstractNumId="115">
    <w:nsid w:val="2A31B62D"/>
    <w:multiLevelType w:val="hybridMultilevel"/>
    <w:lvl w:ilvl="0">
      <w:lvlJc w:val="left"/>
      <w:lvlText w:val="(%1)"/>
      <w:numFmt w:val="lowerLetter"/>
      <w:start w:val="1"/>
    </w:lvl>
  </w:abstractNum>
  <w:abstractNum w:abstractNumId="116">
    <w:nsid w:val="1849C29B"/>
    <w:multiLevelType w:val="hybridMultilevel"/>
    <w:lvl w:ilvl="0">
      <w:lvlJc w:val="left"/>
      <w:lvlText w:val="(%1)"/>
      <w:numFmt w:val="lowerLetter"/>
      <w:start w:val="1"/>
    </w:lvl>
  </w:abstractNum>
  <w:abstractNum w:abstractNumId="117">
    <w:nsid w:val="7DFF9D09"/>
    <w:multiLevelType w:val="hybridMultilevel"/>
    <w:lvl w:ilvl="0">
      <w:lvlJc w:val="left"/>
      <w:lvlText w:val="(%1)"/>
      <w:numFmt w:val="lowerLetter"/>
      <w:start w:val="3"/>
    </w:lvl>
  </w:abstractNum>
  <w:abstractNum w:abstractNumId="118">
    <w:nsid w:val="754342"/>
    <w:multiLevelType w:val="hybridMultilevel"/>
    <w:lvl w:ilvl="0">
      <w:lvlJc w:val="left"/>
      <w:lvlText w:val="(%1)"/>
      <w:numFmt w:val="lowerLetter"/>
      <w:start w:val="1"/>
    </w:lvl>
  </w:abstractNum>
  <w:abstractNum w:abstractNumId="119">
    <w:nsid w:val="69E7F3E5"/>
    <w:multiLevelType w:val="hybridMultilevel"/>
    <w:lvl w:ilvl="0">
      <w:lvlJc w:val="left"/>
      <w:lvlText w:val="(%1)"/>
      <w:numFmt w:val="lowerLetter"/>
      <w:start w:val="4"/>
    </w:lvl>
  </w:abstractNum>
  <w:abstractNum w:abstractNumId="120">
    <w:nsid w:val="2A6DE806"/>
    <w:multiLevelType w:val="hybridMultilevel"/>
    <w:lvl w:ilvl="0">
      <w:lvlJc w:val="left"/>
      <w:lvlText w:val="(%1)"/>
      <w:numFmt w:val="lowerLetter"/>
      <w:start w:val="1"/>
    </w:lvl>
  </w:abstractNum>
  <w:abstractNum w:abstractNumId="121">
    <w:nsid w:val="1816F8C4"/>
    <w:multiLevelType w:val="hybridMultilevel"/>
    <w:lvl w:ilvl="0">
      <w:lvlJc w:val="left"/>
      <w:lvlText w:val="(%1)"/>
      <w:numFmt w:val="lowerLetter"/>
      <w:start w:val="1"/>
    </w:lvl>
    <w:lvl w:ilvl="1">
      <w:lvlJc w:val="left"/>
      <w:lvlText w:val="(%2)"/>
      <w:numFmt w:val="lowerLetter"/>
      <w:start w:val="9"/>
    </w:lvl>
  </w:abstractNum>
  <w:abstractNum w:abstractNumId="122">
    <w:nsid w:val="37DF2233"/>
    <w:multiLevelType w:val="hybridMultilevel"/>
    <w:lvl w:ilvl="0">
      <w:lvlJc w:val="left"/>
      <w:lvlText w:val="%1"/>
      <w:numFmt w:val="lowerLetter"/>
      <w:start w:val="1"/>
    </w:lvl>
    <w:lvl w:ilvl="1">
      <w:lvlJc w:val="left"/>
      <w:lvlText w:val="(%2)"/>
      <w:numFmt w:val="lowerRoman"/>
      <w:start w:val="2"/>
    </w:lvl>
  </w:abstractNum>
  <w:abstractNum w:abstractNumId="123">
    <w:nsid w:val="7AB49DAF"/>
    <w:multiLevelType w:val="hybridMultilevel"/>
    <w:lvl w:ilvl="0">
      <w:lvlJc w:val="left"/>
      <w:lvlText w:val="(%1)"/>
      <w:numFmt w:val="lowerLetter"/>
      <w:start w:val="2"/>
    </w:lvl>
    <w:lvl w:ilvl="1">
      <w:lvlJc w:val="left"/>
      <w:lvlText w:val="%2"/>
      <w:numFmt w:val="lowerRoman"/>
      <w:start w:val="1"/>
    </w:lvl>
  </w:abstractNum>
  <w:abstractNum w:abstractNumId="124">
    <w:nsid w:val="759F82CD"/>
    <w:multiLevelType w:val="hybridMultilevel"/>
    <w:lvl w:ilvl="0">
      <w:lvlJc w:val="left"/>
      <w:lvlText w:val="(%1)"/>
      <w:numFmt w:val="lowerLetter"/>
      <w:start w:val="1"/>
    </w:lvl>
    <w:lvl w:ilvl="1">
      <w:lvlJc w:val="left"/>
      <w:lvlText w:val="(%2)"/>
      <w:numFmt w:val="lowerRoman"/>
      <w:start w:val="1"/>
    </w:lvl>
  </w:abstractNum>
  <w:abstractNum w:abstractNumId="125">
    <w:nsid w:val="61E74EA3"/>
    <w:multiLevelType w:val="hybridMultilevel"/>
    <w:lvl w:ilvl="0">
      <w:lvlJc w:val="left"/>
      <w:lvlText w:val="(%1)"/>
      <w:numFmt w:val="lowerLetter"/>
      <w:start w:val="2"/>
    </w:lvl>
  </w:abstractNum>
  <w:abstractNum w:abstractNumId="126">
    <w:nsid w:val="597B4D84"/>
    <w:multiLevelType w:val="hybridMultilevel"/>
    <w:lvl w:ilvl="0">
      <w:lvlJc w:val="left"/>
      <w:lvlText w:val="%1"/>
      <w:numFmt w:val="lowerLetter"/>
      <w:start w:val="1"/>
    </w:lvl>
    <w:lvl w:ilvl="1">
      <w:lvlJc w:val="left"/>
      <w:lvlText w:val="(%2)"/>
      <w:numFmt w:val="lowerLetter"/>
      <w:start w:val="3"/>
    </w:lvl>
  </w:abstractNum>
  <w:abstractNum w:abstractNumId="127">
    <w:nsid w:val="F819E7F"/>
    <w:multiLevelType w:val="hybridMultilevel"/>
    <w:lvl w:ilvl="0">
      <w:lvlJc w:val="left"/>
      <w:lvlText w:val="(%1)"/>
      <w:numFmt w:val="lowerLetter"/>
      <w:start w:val="9"/>
    </w:lvl>
    <w:lvl w:ilvl="1">
      <w:lvlJc w:val="left"/>
      <w:lvlText w:val="%2"/>
      <w:numFmt w:val="lowerLetter"/>
      <w:start w:val="1"/>
    </w:lvl>
  </w:abstractNum>
  <w:abstractNum w:abstractNumId="128">
    <w:nsid w:val="57C7D42D"/>
    <w:multiLevelType w:val="hybridMultilevel"/>
    <w:lvl w:ilvl="0">
      <w:lvlJc w:val="left"/>
      <w:lvlText w:val="(%1)"/>
      <w:numFmt w:val="lowerLetter"/>
      <w:start w:val="5"/>
    </w:lvl>
  </w:abstractNum>
  <w:abstractNum w:abstractNumId="129">
    <w:nsid w:val="312167AD"/>
    <w:multiLevelType w:val="hybridMultilevel"/>
    <w:lvl w:ilvl="0">
      <w:lvlJc w:val="left"/>
      <w:lvlText w:val="(%1)"/>
      <w:numFmt w:val="lowerLetter"/>
      <w:start w:val="1"/>
    </w:lvl>
  </w:abstractNum>
  <w:abstractNum w:abstractNumId="130">
    <w:nsid w:val="631B64D4"/>
    <w:multiLevelType w:val="hybridMultilevel"/>
    <w:lvl w:ilvl="0">
      <w:lvlJc w:val="left"/>
      <w:lvlText w:val="%1"/>
      <w:numFmt w:val="lowerLetter"/>
      <w:start w:val="1"/>
    </w:lvl>
    <w:lvl w:ilvl="1">
      <w:lvlJc w:val="left"/>
      <w:lvlText w:val="(%2)"/>
      <w:numFmt w:val="lowerLetter"/>
      <w:start w:val="2"/>
    </w:lvl>
  </w:abstractNum>
  <w:abstractNum w:abstractNumId="131">
    <w:nsid w:val="78B5E776"/>
    <w:multiLevelType w:val="hybridMultilevel"/>
    <w:lvl w:ilvl="0">
      <w:lvlJc w:val="left"/>
      <w:lvlText w:val="(%1)"/>
      <w:numFmt w:val="lowerLetter"/>
      <w:start w:val="24"/>
    </w:lvl>
    <w:lvl w:ilvl="1">
      <w:lvlJc w:val="left"/>
      <w:lvlText w:val="%2"/>
      <w:numFmt w:val="lowerLetter"/>
      <w:start w:val="1"/>
    </w:lvl>
  </w:abstractNum>
  <w:abstractNum w:abstractNumId="132">
    <w:nsid w:val="75486E47"/>
    <w:multiLevelType w:val="hybridMultilevel"/>
    <w:lvl w:ilvl="0">
      <w:lvlJc w:val="left"/>
      <w:lvlText w:val="%1"/>
      <w:numFmt w:val="lowerLetter"/>
      <w:start w:val="1"/>
    </w:lvl>
    <w:lvl w:ilvl="1">
      <w:lvlJc w:val="left"/>
      <w:lvlText w:val="(%2)"/>
      <w:numFmt w:val="lowerLetter"/>
      <w:start w:val="3"/>
    </w:lvl>
  </w:abstractNum>
  <w:abstractNum w:abstractNumId="133">
    <w:nsid w:val="6E534CDE"/>
    <w:multiLevelType w:val="hybridMultilevel"/>
    <w:lvl w:ilvl="0">
      <w:lvlJc w:val="left"/>
      <w:lvlText w:val="(%1)"/>
      <w:numFmt w:val="lowerLetter"/>
      <w:start w:val="2"/>
    </w:lvl>
    <w:lvl w:ilvl="1">
      <w:lvlJc w:val="left"/>
      <w:lvlText w:val="(%2)"/>
      <w:numFmt w:val="lowerLetter"/>
      <w:start w:val="4"/>
    </w:lvl>
  </w:abstractNum>
  <w:abstractNum w:abstractNumId="134">
    <w:nsid w:val="1A0DD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5">
    <w:nsid w:val="65968C1C"/>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36">
    <w:nsid w:val="46263DEC"/>
    <w:multiLevelType w:val="hybridMultilevel"/>
    <w:lvl w:ilvl="0">
      <w:lvlJc w:val="left"/>
      <w:lvlText w:val="(%1)"/>
      <w:numFmt w:val="upperLetter"/>
      <w:start w:val="2"/>
    </w:lvl>
    <w:lvl w:ilvl="1">
      <w:lvlJc w:val="left"/>
      <w:lvlText w:val="(%2)"/>
      <w:numFmt w:val="lowerRoman"/>
      <w:start w:val="6"/>
    </w:lvl>
    <w:lvl w:ilvl="2">
      <w:lvlJc w:val="left"/>
      <w:lvlText w:val="%3"/>
      <w:numFmt w:val="upperLetter"/>
      <w:start w:val="1"/>
    </w:lvl>
  </w:abstractNum>
  <w:abstractNum w:abstractNumId="137">
    <w:nsid w:val="260D8C4A"/>
    <w:multiLevelType w:val="hybridMultilevel"/>
    <w:lvl w:ilvl="0">
      <w:lvlJc w:val="left"/>
      <w:lvlText w:val="(%1)"/>
      <w:numFmt w:val="lowerRoman"/>
      <w:start w:val="7"/>
    </w:lvl>
  </w:abstractNum>
  <w:abstractNum w:abstractNumId="138">
    <w:nsid w:val="73D4D3C4"/>
    <w:multiLevelType w:val="hybridMultilevel"/>
    <w:lvl w:ilvl="0">
      <w:lvlJc w:val="left"/>
      <w:lvlText w:val="(%1)"/>
      <w:numFmt w:val="lowerLetter"/>
      <w:start w:val="3"/>
    </w:lvl>
  </w:abstractNum>
  <w:abstractNum w:abstractNumId="139">
    <w:nsid w:val="746F2E30"/>
    <w:multiLevelType w:val="hybridMultilevel"/>
    <w:lvl w:ilvl="0">
      <w:lvlJc w:val="left"/>
      <w:lvlText w:val="(%1)"/>
      <w:numFmt w:val="lowerLetter"/>
      <w:start w:val="5"/>
    </w:lvl>
  </w:abstractNum>
  <w:abstractNum w:abstractNumId="140">
    <w:nsid w:val="6FDE8AF6"/>
    <w:multiLevelType w:val="hybridMultilevel"/>
    <w:lvl w:ilvl="0">
      <w:lvlJc w:val="left"/>
      <w:lvlText w:val="(%1)"/>
      <w:numFmt w:val="lowerRoman"/>
      <w:start w:val="1"/>
    </w:lvl>
  </w:abstractNum>
  <w:abstractNum w:abstractNumId="141">
    <w:nsid w:val="3FC32E20"/>
    <w:multiLevelType w:val="hybridMultilevel"/>
    <w:lvl w:ilvl="0">
      <w:lvlJc w:val="left"/>
      <w:lvlText w:val="(%1)"/>
      <w:numFmt w:val="lowerLetter"/>
      <w:start w:val="1"/>
    </w:lvl>
  </w:abstractNum>
  <w:abstractNum w:abstractNumId="142">
    <w:nsid w:val="49C0E823"/>
    <w:multiLevelType w:val="hybridMultilevel"/>
    <w:lvl w:ilvl="0">
      <w:lvlJc w:val="left"/>
      <w:lvlText w:val="(%1)"/>
      <w:numFmt w:val="lowerLetter"/>
      <w:start w:val="1"/>
    </w:lvl>
  </w:abstractNum>
  <w:abstractNum w:abstractNumId="143">
    <w:nsid w:val="14D53685"/>
    <w:multiLevelType w:val="hybridMultilevel"/>
    <w:lvl w:ilvl="0">
      <w:lvlJc w:val="left"/>
      <w:lvlText w:val="(%1)"/>
      <w:numFmt w:val="lowerLetter"/>
      <w:start w:val="6"/>
    </w:lvl>
  </w:abstractNum>
  <w:abstractNum w:abstractNumId="144">
    <w:nsid w:val="230F856C"/>
    <w:multiLevelType w:val="hybridMultilevel"/>
    <w:lvl w:ilvl="0">
      <w:lvlJc w:val="left"/>
      <w:lvlText w:val="☐"/>
      <w:numFmt w:val="bullet"/>
      <w:start w:val="1"/>
    </w:lvl>
  </w:abstractNum>
  <w:abstractNum w:abstractNumId="145">
    <w:nsid w:val="6EAA85FB"/>
    <w:multiLevelType w:val="hybridMultilevel"/>
    <w:lvl w:ilvl="0">
      <w:lvlJc w:val="left"/>
      <w:lvlText w:val="(%1)"/>
      <w:numFmt w:val="lowerRoman"/>
      <w:start w:val="2"/>
    </w:lvl>
  </w:abstractNum>
  <w:abstractNum w:abstractNumId="146">
    <w:nsid w:val="3F06ECB2"/>
    <w:multiLevelType w:val="hybridMultilevel"/>
    <w:lvl w:ilvl="0">
      <w:lvlJc w:val="left"/>
      <w:lvlText w:val="1"/>
      <w:numFmt w:val="bullet"/>
      <w:start w:val="1"/>
    </w:lvl>
  </w:abstractNum>
  <w:abstractNum w:abstractNumId="147">
    <w:nsid w:val="3B594807"/>
    <w:multiLevelType w:val="hybridMultilevel"/>
    <w:lvl w:ilvl="0">
      <w:lvlJc w:val="left"/>
      <w:lvlText w:val="2"/>
      <w:numFmt w:val="bullet"/>
      <w:start w:val="1"/>
    </w:lvl>
  </w:abstractNum>
  <w:abstractNum w:abstractNumId="148">
    <w:nsid w:val="6CAA2304"/>
    <w:multiLevelType w:val="hybridMultilevel"/>
    <w:lvl w:ilvl="0">
      <w:lvlJc w:val="left"/>
      <w:lvlText w:val="(%1)"/>
      <w:numFmt w:val="lowerRoman"/>
      <w:start w:val="3"/>
    </w:lvl>
  </w:abstractNum>
  <w:abstractNum w:abstractNumId="149">
    <w:nsid w:val="3F7C2FF4"/>
    <w:multiLevelType w:val="hybridMultilevel"/>
    <w:lvl w:ilvl="0">
      <w:lvlJc w:val="left"/>
      <w:lvlText w:val="(%1)"/>
      <w:numFmt w:val="decimal"/>
      <w:start w:val="2"/>
    </w:lvl>
  </w:abstractNum>
  <w:abstractNum w:abstractNumId="150">
    <w:nsid w:val="25413BEC"/>
    <w:multiLevelType w:val="hybridMultilevel"/>
    <w:lvl w:ilvl="0">
      <w:lvlJc w:val="left"/>
      <w:lvlText w:val="(%1)"/>
      <w:numFmt w:val="lowerRoman"/>
      <w:start w:val="3"/>
    </w:lvl>
  </w:abstractNum>
  <w:abstractNum w:abstractNumId="151">
    <w:nsid w:val="17180B0B"/>
    <w:multiLevelType w:val="hybridMultilevel"/>
    <w:lvl w:ilvl="0">
      <w:lvlJc w:val="left"/>
      <w:lvlText w:val="(%1)"/>
      <w:numFmt w:val="lowerRoman"/>
      <w:start w:val="5"/>
    </w:lvl>
  </w:abstractNum>
  <w:abstractNum w:abstractNumId="152">
    <w:nsid w:val="579328B9"/>
    <w:multiLevelType w:val="hybridMultilevel"/>
    <w:lvl w:ilvl="0">
      <w:lvlJc w:val="left"/>
      <w:lvlText w:val="(%1)"/>
      <w:numFmt w:val="decimal"/>
      <w:start w:val="2"/>
    </w:lvl>
  </w:abstractNum>
  <w:abstractNum w:abstractNumId="153">
    <w:nsid w:val="5D205E20"/>
    <w:multiLevelType w:val="hybridMultilevel"/>
    <w:lvl w:ilvl="0">
      <w:lvlJc w:val="left"/>
      <w:lvlText w:val="%1."/>
      <w:numFmt w:val="decimal"/>
      <w:start w:val="2"/>
    </w:lvl>
  </w:abstractNum>
  <w:abstractNum w:abstractNumId="154">
    <w:nsid w:val="11CCA8BA"/>
    <w:multiLevelType w:val="hybridMultilevel"/>
    <w:lvl w:ilvl="0">
      <w:lvlJc w:val="left"/>
      <w:lvlText w:val="%1."/>
      <w:numFmt w:val="decimal"/>
      <w:start w:val="4"/>
    </w:lvl>
  </w:abstractNum>
  <w:abstractNum w:abstractNumId="155">
    <w:nsid w:val="4D32AB86"/>
    <w:multiLevelType w:val="hybridMultilevel"/>
    <w:lvl w:ilvl="0">
      <w:lvlJc w:val="left"/>
      <w:lvlText w:val="1"/>
      <w:numFmt w:val="bullet"/>
      <w:start w:val="1"/>
    </w:lvl>
  </w:abstractNum>
  <w:abstractNum w:abstractNumId="156">
    <w:nsid w:val="3F07ACC3"/>
    <w:multiLevelType w:val="hybridMultilevel"/>
    <w:lvl w:ilvl="0">
      <w:lvlJc w:val="left"/>
      <w:lvlText w:val="2"/>
      <w:numFmt w:val="bullet"/>
      <w:start w:val="1"/>
    </w:lvl>
  </w:abstractNum>
  <w:abstractNum w:abstractNumId="157">
    <w:nsid w:val="6B47F63E"/>
    <w:multiLevelType w:val="hybridMultilevel"/>
    <w:lvl w:ilvl="0">
      <w:lvlJc w:val="left"/>
      <w:lvlText w:val="%1."/>
      <w:numFmt w:val="decimal"/>
      <w:start w:val="1"/>
    </w:lvl>
  </w:abstractNum>
  <w:abstractNum w:abstractNumId="158">
    <w:nsid w:val="5CB44A05"/>
    <w:multiLevelType w:val="hybridMultilevel"/>
    <w:lvl w:ilvl="0">
      <w:lvlJc w:val="left"/>
      <w:lvlText w:val="%1."/>
      <w:numFmt w:val="decimal"/>
      <w:start w:val="1"/>
    </w:lvl>
  </w:abstractNum>
  <w:abstractNum w:abstractNumId="159">
    <w:nsid w:val="16CF80F1"/>
    <w:multiLevelType w:val="hybridMultilevel"/>
    <w:lvl w:ilvl="0">
      <w:lvlJc w:val="left"/>
      <w:lvlText w:val="%1."/>
      <w:numFmt w:val="decimal"/>
      <w:start w:val="6"/>
    </w:lvl>
  </w:abstractNum>
  <w:abstractNum w:abstractNumId="160">
    <w:nsid w:val="1C695DEC"/>
    <w:multiLevelType w:val="hybridMultilevel"/>
    <w:lvl w:ilvl="0">
      <w:lvlJc w:val="left"/>
      <w:lvlText w:val="%1."/>
      <w:numFmt w:val="decimal"/>
      <w:start w:val="1"/>
    </w:lvl>
  </w:abstractNum>
  <w:abstractNum w:abstractNumId="161">
    <w:nsid w:val="3FCFAED9"/>
    <w:multiLevelType w:val="hybridMultilevel"/>
    <w:lvl w:ilvl="0">
      <w:lvlJc w:val="left"/>
      <w:lvlText w:val="%1."/>
      <w:numFmt w:val="decimal"/>
      <w:start w:val="2"/>
    </w:lvl>
  </w:abstractNum>
  <w:abstractNum w:abstractNumId="162">
    <w:nsid w:val="F85686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2019-12-09T07:55:45Z</dcterms:created>
  <dcterms:modified xsi:type="dcterms:W3CDTF">2019-12-09T07:55:45Z</dcterms:modified>
</cp:coreProperties>
</file>