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30, 2008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580" w:type="dxa"/>
            <w:vAlign w:val="bottom"/>
          </w:tcPr>
          <w:p>
            <w:pPr>
              <w:spacing w:after="0"/>
              <w:rPr>
                <w:sz w:val="17"/>
                <w:szCs w:val="17"/>
                <w:color w:val="auto"/>
              </w:rPr>
            </w:pPr>
          </w:p>
        </w:tc>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to</w:t>
            </w:r>
          </w:p>
        </w:tc>
      </w:tr>
      <w:tr>
        <w:trPr>
          <w:trHeight w:val="20"/>
        </w:trPr>
        <w:tc>
          <w:tcPr>
            <w:tcW w:w="2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53"/>
        </w:trPr>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4"/>
          </w:tcPr>
          <w:p>
            <w:pPr>
              <w:ind w:left="320"/>
              <w:spacing w:after="0"/>
              <w:rPr>
                <w:sz w:val="20"/>
                <w:szCs w:val="20"/>
                <w:color w:val="auto"/>
              </w:rPr>
            </w:pPr>
            <w:r>
              <w:rPr>
                <w:rFonts w:ascii="Arial" w:cs="Arial" w:eastAsia="Arial" w:hAnsi="Arial"/>
                <w:sz w:val="18"/>
                <w:szCs w:val="18"/>
                <w:b w:val="1"/>
                <w:bCs w:val="1"/>
                <w:color w:val="auto"/>
                <w:w w:val="90"/>
              </w:rPr>
              <w:t>Commission File Number 1-14959</w:t>
            </w:r>
          </w:p>
        </w:tc>
      </w:tr>
    </w:tbl>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39-0178960</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(414) 358-6600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right="1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ind w:left="3200" w:right="160" w:hanging="5323"/>
        <w:spacing w:after="0" w:line="219" w:lineRule="exact"/>
        <w:tabs>
          <w:tab w:leader="none" w:pos="31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62" w:lineRule="exact"/>
        <w:rPr>
          <w:sz w:val="24"/>
          <w:szCs w:val="24"/>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As of June 2, 2008, there were outstanding 50,312,341 shares of Class A Nonvoting Common Stock and 3,538,628 shares of Class B Voting Common Stock.</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w w:val="93"/>
              </w:rPr>
              <w:t>FORM 10-Q</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60" w:type="dxa"/>
            <w:vAlign w:val="bottom"/>
            <w:gridSpan w:val="4"/>
          </w:tcPr>
          <w:p>
            <w:pPr>
              <w:jc w:val="center"/>
              <w:ind w:right="3540"/>
              <w:spacing w:after="0"/>
              <w:rPr>
                <w:sz w:val="20"/>
                <w:szCs w:val="20"/>
                <w:color w:val="auto"/>
              </w:rPr>
            </w:pPr>
            <w:r>
              <w:rPr>
                <w:rFonts w:ascii="Arial" w:cs="Arial" w:eastAsia="Arial" w:hAnsi="Arial"/>
                <w:sz w:val="18"/>
                <w:szCs w:val="18"/>
                <w:color w:val="auto"/>
                <w:w w:val="96"/>
              </w:rPr>
              <w:t>BRADY CORPORATION</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2"/>
          </w:tcPr>
          <w:p>
            <w:pPr>
              <w:jc w:val="center"/>
              <w:ind w:right="4260"/>
              <w:spacing w:after="0"/>
              <w:rPr>
                <w:sz w:val="20"/>
                <w:szCs w:val="20"/>
                <w:color w:val="auto"/>
              </w:rPr>
            </w:pPr>
            <w:r>
              <w:rPr>
                <w:rFonts w:ascii="Arial" w:cs="Arial" w:eastAsia="Arial" w:hAnsi="Arial"/>
                <w:sz w:val="18"/>
                <w:szCs w:val="18"/>
                <w:color w:val="auto"/>
              </w:rPr>
              <w:t>INDEX</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5"/>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PART I. Financial Information</w:t>
              </w:r>
            </w:hyperlink>
          </w:p>
        </w:tc>
        <w:tc>
          <w:tcPr>
            <w:tcW w:w="8340" w:type="dxa"/>
            <w:vAlign w:val="bottom"/>
            <w:gridSpan w:val="10"/>
            <w:vMerge w:val="restart"/>
          </w:tcPr>
          <w:p>
            <w:pPr>
              <w:spacing w:after="0"/>
              <w:rPr>
                <w:sz w:val="24"/>
                <w:szCs w:val="2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220" w:type="dxa"/>
            <w:vAlign w:val="bottom"/>
            <w:tcBorders>
              <w:bottom w:val="single" w:sz="8" w:color="0000EE"/>
            </w:tcBorders>
            <w:gridSpan w:val="5"/>
            <w:vMerge w:val="continue"/>
          </w:tcPr>
          <w:p>
            <w:pPr>
              <w:spacing w:after="0"/>
              <w:rPr>
                <w:sz w:val="14"/>
                <w:szCs w:val="14"/>
                <w:color w:val="auto"/>
              </w:rPr>
            </w:pPr>
          </w:p>
        </w:tc>
        <w:tc>
          <w:tcPr>
            <w:tcW w:w="8340" w:type="dxa"/>
            <w:vAlign w:val="bottom"/>
            <w:gridSpan w:val="10"/>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3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Item 4. Controls and Procedures</w:t>
              </w:r>
            </w:hyperlink>
          </w:p>
        </w:tc>
        <w:tc>
          <w:tcPr>
            <w:tcW w:w="8020" w:type="dxa"/>
            <w:vAlign w:val="bottom"/>
            <w:gridSpan w:val="9"/>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0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PART II. Other Information</w:t>
              </w:r>
            </w:hyperlink>
          </w:p>
        </w:tc>
        <w:tc>
          <w:tcPr>
            <w:tcW w:w="8540" w:type="dxa"/>
            <w:vAlign w:val="bottom"/>
            <w:gridSpan w:val="11"/>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4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2. Unregistered Sales of Equity Securities and Use of Proceeds</w:t>
              </w:r>
            </w:hyperlink>
          </w:p>
        </w:tc>
        <w:tc>
          <w:tcPr>
            <w:tcW w:w="5440" w:type="dxa"/>
            <w:vAlign w:val="bottom"/>
            <w:gridSpan w:val="3"/>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15"/>
          </w:tcPr>
          <w:p>
            <w:pPr>
              <w:spacing w:after="0"/>
              <w:rPr>
                <w:sz w:val="20"/>
                <w:szCs w:val="20"/>
                <w:color w:val="auto"/>
              </w:rPr>
            </w:pPr>
            <w:r>
              <w:rPr>
                <w:rFonts w:ascii="Arial" w:cs="Arial" w:eastAsia="Arial" w:hAnsi="Arial"/>
                <w:sz w:val="18"/>
                <w:szCs w:val="18"/>
                <w:color w:val="auto"/>
              </w:rPr>
              <w:t>Certification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gridSpan w:val="15"/>
          </w:tcPr>
          <w:p>
            <w:pPr>
              <w:spacing w:after="0"/>
              <w:rPr>
                <w:sz w:val="20"/>
                <w:szCs w:val="20"/>
                <w:color w:val="auto"/>
              </w:rPr>
            </w:pPr>
            <w:r>
              <w:rPr>
                <w:rFonts w:ascii="Arial" w:cs="Arial" w:eastAsia="Arial" w:hAnsi="Arial"/>
                <w:sz w:val="18"/>
                <w:szCs w:val="18"/>
                <w:color w:val="auto"/>
              </w:rPr>
              <w:t>Certification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gridSpan w:val="15"/>
          </w:tcPr>
          <w:p>
            <w:pPr>
              <w:spacing w:after="0"/>
              <w:rPr>
                <w:sz w:val="20"/>
                <w:szCs w:val="20"/>
                <w:color w:val="auto"/>
              </w:rPr>
            </w:pPr>
            <w:r>
              <w:rPr>
                <w:rFonts w:ascii="Arial" w:cs="Arial" w:eastAsia="Arial" w:hAnsi="Arial"/>
                <w:sz w:val="18"/>
                <w:szCs w:val="18"/>
                <w:color w:val="auto"/>
              </w:rPr>
              <w:t>Section 1350 Certification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gridSpan w:val="15"/>
          </w:tcPr>
          <w:p>
            <w:pPr>
              <w:spacing w:after="0"/>
              <w:rPr>
                <w:sz w:val="20"/>
                <w:szCs w:val="20"/>
                <w:color w:val="auto"/>
              </w:rPr>
            </w:pPr>
            <w:r>
              <w:rPr>
                <w:rFonts w:ascii="Arial" w:cs="Arial" w:eastAsia="Arial" w:hAnsi="Arial"/>
                <w:sz w:val="18"/>
                <w:szCs w:val="18"/>
                <w:color w:val="auto"/>
              </w:rPr>
              <w:t>Section 1350 Certification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2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BRADY CORPORATION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April 30, 2008</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July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227,359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Short term investments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less allowance for losses ($9,863 and $9,109, respectively)</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252,982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Finished products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21,351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Raw materials and supplies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38,714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800"/>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135,557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659,629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786,480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145,563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21,037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Buildings and improvements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272,461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387,344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214,116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173,228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1,818,131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1980"/>
              <w:spacing w:after="0"/>
              <w:rPr>
                <w:sz w:val="20"/>
                <w:szCs w:val="20"/>
                <w:color w:val="auto"/>
              </w:rPr>
            </w:pPr>
            <w:r>
              <w:rPr>
                <w:rFonts w:ascii="Arial" w:cs="Arial" w:eastAsia="Arial" w:hAnsi="Arial"/>
                <w:sz w:val="18"/>
                <w:szCs w:val="18"/>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104,123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70,190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Taxes, other than income taxes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13,914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51,897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21,432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271,276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478,572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810,365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Class A nonvoting common stock – Issued 51,051,487 and 50,586,524 shares, respectively and outstanding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50,170,581 and 50,586,524 shares, respectively</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286,452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612,407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 880,906 and 0 shares, of Class A nonvoting common stock, at cost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134,417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1,007,766</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1,818,131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1,698,857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120"/>
              <w:spacing w:after="0"/>
              <w:rPr>
                <w:sz w:val="20"/>
                <w:szCs w:val="20"/>
                <w:color w:val="auto"/>
              </w:rPr>
            </w:pPr>
            <w:r>
              <w:rPr>
                <w:rFonts w:ascii="Arial" w:cs="Arial" w:eastAsia="Arial" w:hAnsi="Arial"/>
                <w:sz w:val="14"/>
                <w:szCs w:val="14"/>
                <w:color w:val="auto"/>
                <w:w w:val="94"/>
              </w:rPr>
              <w:t>Three Months Ended April 30,</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4"/>
          </w:tcPr>
          <w:p>
            <w:pPr>
              <w:jc w:val="right"/>
              <w:ind w:right="240"/>
              <w:spacing w:after="0"/>
              <w:rPr>
                <w:sz w:val="20"/>
                <w:szCs w:val="20"/>
                <w:color w:val="auto"/>
              </w:rPr>
            </w:pPr>
            <w:r>
              <w:rPr>
                <w:rFonts w:ascii="Arial" w:cs="Arial" w:eastAsia="Arial" w:hAnsi="Arial"/>
                <w:sz w:val="14"/>
                <w:szCs w:val="14"/>
                <w:color w:val="auto"/>
                <w:w w:val="95"/>
              </w:rPr>
              <w:t>Nine Months Ended April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ind w:left="540"/>
              <w:spacing w:after="0"/>
              <w:rPr>
                <w:sz w:val="20"/>
                <w:szCs w:val="20"/>
                <w:color w:val="auto"/>
              </w:rPr>
            </w:pPr>
            <w:r>
              <w:rPr>
                <w:rFonts w:ascii="Arial" w:cs="Arial" w:eastAsia="Arial" w:hAnsi="Arial"/>
                <w:sz w:val="14"/>
                <w:szCs w:val="14"/>
                <w:color w:val="auto"/>
              </w:rPr>
              <w:t>(Unaudited)</w:t>
            </w:r>
          </w:p>
        </w:tc>
        <w:tc>
          <w:tcPr>
            <w:tcW w:w="1400" w:type="dxa"/>
            <w:vAlign w:val="bottom"/>
            <w:gridSpan w:val="2"/>
            <w:vMerge w:val="restart"/>
          </w:tcPr>
          <w:p>
            <w:pPr>
              <w:jc w:val="center"/>
              <w:ind w:right="700"/>
              <w:spacing w:after="0"/>
              <w:rPr>
                <w:sz w:val="20"/>
                <w:szCs w:val="20"/>
                <w:color w:val="auto"/>
              </w:rPr>
            </w:pPr>
            <w:r>
              <w:rPr>
                <w:rFonts w:ascii="Arial" w:cs="Arial" w:eastAsia="Arial" w:hAnsi="Arial"/>
                <w:sz w:val="14"/>
                <w:szCs w:val="14"/>
                <w:color w:val="auto"/>
                <w:w w:val="86"/>
              </w:rPr>
              <w:t>Percentage</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60" w:type="dxa"/>
            <w:vAlign w:val="bottom"/>
            <w:gridSpan w:val="4"/>
          </w:tcPr>
          <w:p>
            <w:pPr>
              <w:jc w:val="right"/>
              <w:ind w:right="740"/>
              <w:spacing w:after="0"/>
              <w:rPr>
                <w:sz w:val="20"/>
                <w:szCs w:val="20"/>
                <w:color w:val="auto"/>
              </w:rPr>
            </w:pPr>
            <w:r>
              <w:rPr>
                <w:rFonts w:ascii="Arial" w:cs="Arial" w:eastAsia="Arial" w:hAnsi="Arial"/>
                <w:sz w:val="14"/>
                <w:szCs w:val="14"/>
                <w:color w:val="auto"/>
              </w:rPr>
              <w:t>(Unaudited)</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381,909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346,332</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1,126,167</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999,866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Cost of products sold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192,333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177,181</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573,901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516,426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189,576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169,151</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483,440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8,739</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26,353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126,720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114,109</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369,579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326,119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136,994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122,848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398,902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352,472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32"/>
        </w:trPr>
        <w:tc>
          <w:tcPr>
            <w:tcW w:w="3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52,582</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46,303</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153,364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130,968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Investment and other income —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385</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3,307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917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(6,428)</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(16,407)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46,540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40,260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136,242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115,478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32,334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3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34,353</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28,987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97,413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83,144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0.54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0.42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Basic 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0.54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0.53</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0.14</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0.40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(in thousands):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jc w:val="right"/>
              <w:ind w:right="19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54,021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53,953</w:t>
            </w: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54,294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53,860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54,717</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54,704</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65"/>
              <w:spacing w:after="0" w:line="149" w:lineRule="exact"/>
              <w:rPr>
                <w:sz w:val="20"/>
                <w:szCs w:val="20"/>
                <w:color w:val="auto"/>
              </w:rPr>
            </w:pPr>
            <w:r>
              <w:rPr>
                <w:rFonts w:ascii="Arial" w:cs="Arial" w:eastAsia="Arial" w:hAnsi="Arial"/>
                <w:sz w:val="14"/>
                <w:szCs w:val="14"/>
                <w:color w:val="auto"/>
              </w:rPr>
              <w:t>April 30,</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color w:val="auto"/>
              </w:rPr>
              <w:t>2008</w:t>
            </w:r>
          </w:p>
        </w:tc>
        <w:tc>
          <w:tcPr>
            <w:tcW w:w="780" w:type="dxa"/>
            <w:vAlign w:val="bottom"/>
            <w:gridSpan w:val="3"/>
          </w:tcPr>
          <w:p>
            <w:pPr>
              <w:jc w:val="center"/>
              <w:spacing w:after="0"/>
              <w:rPr>
                <w:sz w:val="20"/>
                <w:szCs w:val="20"/>
                <w:color w:val="auto"/>
              </w:rPr>
            </w:pPr>
            <w:r>
              <w:rPr>
                <w:rFonts w:ascii="Arial" w:cs="Arial" w:eastAsia="Arial" w:hAnsi="Arial"/>
                <w:sz w:val="14"/>
                <w:szCs w:val="14"/>
                <w:color w:val="auto"/>
                <w:w w:val="95"/>
              </w:rPr>
              <w:t>(Unaudited)</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97,413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45,682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Loss (gain) on disposal of property, plant &amp; equipment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1,054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7,797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15,012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00"/>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1,157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9"/>
              </w:rPr>
              <w:t>152,115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79,657</w:t>
            </w:r>
          </w:p>
        </w:tc>
        <w:tc>
          <w:tcPr>
            <w:tcW w:w="0" w:type="dxa"/>
            <w:vAlign w:val="bottom"/>
          </w:tcPr>
          <w:p>
            <w:pPr>
              <w:spacing w:after="0"/>
              <w:rPr>
                <w:sz w:val="1"/>
                <w:szCs w:val="1"/>
                <w:color w:val="auto"/>
              </w:rPr>
            </w:pPr>
          </w:p>
        </w:tc>
      </w:tr>
      <w:tr>
        <w:trPr>
          <w:trHeight w:val="432"/>
        </w:trPr>
        <w:tc>
          <w:tcPr>
            <w:tcW w:w="7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(28,871)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Payments of contingent consideration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(10,350)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Sales of short-term investments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29,550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(19,678)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649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4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(32,690)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(207,931)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(24,341)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9,517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Principal payments on debt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(110,674)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debt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(28,531)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from the exercise of stock options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4,620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(38,749)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131,599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3,837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9"/>
              </w:rPr>
              <w:t>142,846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113,008</w:t>
            </w:r>
          </w:p>
        </w:tc>
        <w:tc>
          <w:tcPr>
            <w:tcW w:w="0" w:type="dxa"/>
            <w:vAlign w:val="bottom"/>
          </w:tcPr>
          <w:p>
            <w:pPr>
              <w:spacing w:after="0"/>
              <w:rPr>
                <w:sz w:val="1"/>
                <w:szCs w:val="1"/>
                <w:color w:val="auto"/>
              </w:rPr>
            </w:pPr>
          </w:p>
        </w:tc>
      </w:tr>
      <w:tr>
        <w:trPr>
          <w:trHeight w:val="223"/>
        </w:trPr>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227,359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22,450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39,505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18,547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Liabilities assumed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0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16,890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paid for acquisitions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28,871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Nine Months Ended April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17" w:lineRule="exact"/>
        <w:rPr>
          <w:sz w:val="20"/>
          <w:szCs w:val="20"/>
          <w:color w:val="auto"/>
        </w:rPr>
      </w:pPr>
    </w:p>
    <w:p>
      <w:pPr>
        <w:ind w:right="100" w:firstLine="222"/>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and the impact of adopting Financial Accounting Standards Board (“FASB”) Interpretation No. 48, “Accounting for Uncertainty in Income Taxes” (“FIN 48”) (see Note K for further information) as of August 1, 2007, necessary to present fairly the financial position of the Company as of April 30, 2008 and July 3l, 2007, its results of operations for the three and nine months ended April 30, 2008 and 2007, and its cash flows for the nine months ended April 30, 2008 and 2007. The condensed consolidated balance sheet as of July 31, 2007,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5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B — Goodwill and Intangible Assets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carrying amount of goodwill for the nine months ended April 30, 2008,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Direct</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Brady</w:t>
            </w:r>
          </w:p>
        </w:tc>
        <w:tc>
          <w:tcPr>
            <w:tcW w:w="340" w:type="dxa"/>
            <w:vAlign w:val="bottom"/>
          </w:tcPr>
          <w:p>
            <w:pPr>
              <w:spacing w:after="0"/>
              <w:rPr>
                <w:sz w:val="12"/>
                <w:szCs w:val="12"/>
                <w:color w:val="auto"/>
              </w:rPr>
            </w:pP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9"/>
              </w:rPr>
              <w:t>Marketing</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7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&amp; People ID</w:t>
            </w: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Europe</w:t>
            </w:r>
          </w:p>
        </w:tc>
        <w:tc>
          <w:tcPr>
            <w:tcW w:w="680" w:type="dxa"/>
            <w:vAlign w:val="bottom"/>
            <w:vMerge w:val="restart"/>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Asia-Pacific</w:t>
            </w:r>
          </w:p>
        </w:tc>
        <w:tc>
          <w:tcPr>
            <w:tcW w:w="320" w:type="dxa"/>
            <w:vAlign w:val="bottom"/>
          </w:tcPr>
          <w:p>
            <w:pPr>
              <w:spacing w:after="0"/>
              <w:rPr>
                <w:sz w:val="12"/>
                <w:szCs w:val="1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8"/>
              </w:rPr>
              <w:t>Americas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Americas</w:t>
            </w:r>
          </w:p>
        </w:tc>
        <w:tc>
          <w:tcPr>
            <w:tcW w:w="6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$ 143,775</w:t>
            </w:r>
          </w:p>
        </w:tc>
        <w:tc>
          <w:tcPr>
            <w:tcW w:w="3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$ 260,299</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$ 163,699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$ 169,677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$ 737,450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Goodwill acquired during the period</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3,156</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13,734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for prior year acquisitions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3,755</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(1,192)</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(2,914)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3,765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1,521</w:t>
            </w:r>
          </w:p>
        </w:tc>
        <w:tc>
          <w:tcPr>
            <w:tcW w:w="1760" w:type="dxa"/>
            <w:vAlign w:val="bottom"/>
            <w:gridSpan w:val="3"/>
          </w:tcPr>
          <w:p>
            <w:pPr>
              <w:jc w:val="right"/>
              <w:ind w:right="660"/>
              <w:spacing w:after="0"/>
              <w:rPr>
                <w:sz w:val="20"/>
                <w:szCs w:val="20"/>
                <w:color w:val="auto"/>
              </w:rPr>
            </w:pPr>
            <w:r>
              <w:rPr>
                <w:rFonts w:ascii="Arial" w:cs="Arial" w:eastAsia="Arial" w:hAnsi="Arial"/>
                <w:sz w:val="18"/>
                <w:szCs w:val="18"/>
                <w:color w:val="auto"/>
              </w:rPr>
              <w:t>465</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15,785</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10,955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28,726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2008</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$ 149,051</w:t>
            </w:r>
          </w:p>
        </w:tc>
        <w:tc>
          <w:tcPr>
            <w:tcW w:w="17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$ 262,728</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$ 190,304</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$ 184,397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$ 786,480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Goodwill increased $49,030 during the nine months ended April 30, 2008. A portion of the increase related to the November 2007 acquisitions of Transposafe Systems B.V. and Holland Mounting Systems B.V. (collectively “Transposafe”) and the March 2008 acquisition of DAWG, Inc. (“DAWG”), which added $13,734 and $3,156, respectively.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Goodwill also increased as a result of adjustments to the preliminary allocation of purchase price for the acquisitions completed in fiscal 2007, of which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largest adjustment related to the final purchase price adjustments for Comprehensive Identification Products, Inc (“CIPI”) which added $3,668.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$3,668 increase in goodwill attributed to the allocation of the purchase price for CIPI, $1,609 related to the adoption of FIN 48 (see Note K), $1,250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accrual for employee termination costs, and the remaining $809 related to various exit costs associated with the closure of a facility. Goodwill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$1,479 related to the fiscal 2007 acquisition of Sorbent Products Co., Inc. (“SPC”), primarily due to an adjustment in taxes. The increase in goodwill 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the acquisitions of CIPI and SPC was partially offset by a tax adjustment of $1,893 associated with the fiscal 2006 acquisition of Identicam Systems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relating to a deferred tax asset existing at the time of acquisition.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during the nine months ended April 30, 2008, goodwill increased by $28,726 due to the effects of foreign currency translation.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ind w:firstLine="225"/>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purchased software, non-compete agreements and other intangible assets with finite lives being amortized in accordance with Statement of Financial Accounting Standards (“SFAS”) No. 142, “Goodwill and Other Intangible Assets.” The net book value of these assets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5"/>
              </w:rPr>
              <w:t>April 30, 2008</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92"/>
              </w:rPr>
              <w:t>July 31, 2007</w:t>
            </w: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10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Book</w:t>
            </w:r>
          </w:p>
        </w:tc>
        <w:tc>
          <w:tcPr>
            <w:tcW w:w="14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Period</w:t>
            </w: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Period</w:t>
            </w: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26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 intangible</w:t>
            </w: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8,556</w:t>
            </w:r>
          </w:p>
        </w:tc>
        <w:tc>
          <w:tcPr>
            <w:tcW w:w="4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2,149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8,392</w:t>
            </w:r>
          </w:p>
        </w:tc>
        <w:tc>
          <w:tcPr>
            <w:tcW w:w="22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Trademarks and other</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Customer relationships</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148,253</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(53,854)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94,399</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134,125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(36,674)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Non-compete agreements</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12,242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4,202</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Other</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3,298</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other</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42,871</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42,758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221,661</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(76,098)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145,563</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204,446</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(54,685)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The acquisitions completed during the nine months ended April 30, 2008, contributed to the increases in the other amortized intangible assets listed in the table above. A portion of the increase in customer relationships relates to the fiscal 2008 acquisitions of Transposafe and DAWG which added $8,236 and $432 respectively. A significant component of the increase in amortizable trademarks relates to the acquisition of Transposafe, which added $1,287.</w:t>
      </w:r>
    </w:p>
    <w:p>
      <w:pPr>
        <w:spacing w:after="0" w:line="39"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value of goodwill and other intangible assets in the Condensed Consolidated Balance Sheet at April 30, 2008, differs from the value assigned to them in the allocation of purchase price due to the effect of fluctuations in the exchange rates used to translate financial statements into the United States Dollar between the date of acquisition and April 30, 2008.</w:t>
      </w:r>
    </w:p>
    <w:p>
      <w:pPr>
        <w:spacing w:after="0" w:line="73" w:lineRule="exact"/>
        <w:rPr>
          <w:sz w:val="20"/>
          <w:szCs w:val="20"/>
          <w:color w:val="auto"/>
        </w:rPr>
      </w:pPr>
    </w:p>
    <w:p>
      <w:pPr>
        <w:ind w:right="240" w:firstLine="215"/>
        <w:spacing w:after="0" w:line="286" w:lineRule="auto"/>
        <w:rPr>
          <w:sz w:val="20"/>
          <w:szCs w:val="20"/>
          <w:color w:val="auto"/>
        </w:rPr>
      </w:pPr>
      <w:r>
        <w:rPr>
          <w:rFonts w:ascii="Arial" w:cs="Arial" w:eastAsia="Arial" w:hAnsi="Arial"/>
          <w:sz w:val="17"/>
          <w:szCs w:val="17"/>
          <w:color w:val="auto"/>
        </w:rPr>
        <w:t>Amortization expense on intangible assets was $7,260 and $5,673 for the three-month periods ended April 30, 2008 and 2007, respectively and $20,003 and $16,634 for the nine-month periods ended April 30, 2008 and 2007, respectively. Annual amortization is projected to be $27,682, $25,456, $24,515, $20,722 and $11,485 for the years ending July 31, 2008, 2009, 2010, 2011 and 2012, respectively.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C — Comprehensive Income</w:t>
      </w:r>
    </w:p>
    <w:p>
      <w:pPr>
        <w:spacing w:after="0" w:line="117"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Total comprehensive income, which was comprised of net income, foreign currency adjustments, net unrealized gains and losses from cash flow hedges and other investments, the unrealized gain on the post-retirement medical, dental, and vision plans, and their related tax effects amounted to $61,735 and $49,365 for the three months ended April 30, 2008 and 2007, respectively and $148,454 and $116,868 for the nine months ended April 30, 2008 and 2007, respectively. The components of accumulated other comprehensive income are summarized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8"/>
              </w:rPr>
              <w:t>Three Months Ended April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34,353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28,987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Cumulative translation adjustments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27,452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20,423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51,352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5"/>
              </w:rPr>
              <w:t>Unamortized gain on post-retirement medical, dental, and vision plans, net of tax</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spacing w:after="0" w:line="201" w:lineRule="exact"/>
              <w:rPr>
                <w:sz w:val="20"/>
                <w:szCs w:val="20"/>
                <w:color w:val="auto"/>
              </w:rPr>
            </w:pPr>
            <w:r>
              <w:rPr>
                <w:rFonts w:ascii="Arial" w:cs="Arial" w:eastAsia="Arial" w:hAnsi="Arial"/>
                <w:sz w:val="18"/>
                <w:szCs w:val="18"/>
                <w:color w:val="auto"/>
                <w:w w:val="99"/>
              </w:rPr>
              <w:t>Unrealized gain on cash flow hedges and securities in deferred compensation</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plans, net of tax</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61,735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49,365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148,454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116,868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D — Net Income Per Common Share</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Nine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200"/>
              <w:spacing w:after="0" w:line="201" w:lineRule="exact"/>
              <w:rPr>
                <w:sz w:val="20"/>
                <w:szCs w:val="20"/>
                <w:color w:val="auto"/>
              </w:rPr>
            </w:pPr>
            <w:r>
              <w:rPr>
                <w:rFonts w:ascii="Arial" w:cs="Arial" w:eastAsia="Arial" w:hAnsi="Arial"/>
                <w:sz w:val="18"/>
                <w:szCs w:val="18"/>
                <w:color w:val="auto"/>
                <w:w w:val="96"/>
              </w:rPr>
              <w:t>Net income (numerator for basic and diluted Class A net income per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97,413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Preferential dividends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34,353</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96,553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200"/>
              <w:spacing w:after="0" w:line="201" w:lineRule="exact"/>
              <w:rPr>
                <w:sz w:val="20"/>
                <w:szCs w:val="20"/>
                <w:color w:val="auto"/>
              </w:rPr>
            </w:pPr>
            <w:r>
              <w:rPr>
                <w:rFonts w:ascii="Arial" w:cs="Arial" w:eastAsia="Arial" w:hAnsi="Arial"/>
                <w:sz w:val="18"/>
                <w:szCs w:val="18"/>
                <w:color w:val="auto"/>
              </w:rPr>
              <w:t>Denominator for basic net income per share for both Class A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Class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54,021,000</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53,953,000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54,294,000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53,860,000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Plus: Effect of dilutive stock options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606,000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764,000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w w:val="98"/>
              </w:rPr>
              <w:t>Denominator for diluted net income per share for both Class A and</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Class B</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54,627,000</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54,717,000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54,992,000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54,704,000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Class A Nonvoting Common Stock net income per share: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color w:val="auto"/>
              </w:rPr>
              <w:t>Class B Voting Common Stock net income per share:</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00"/>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60" w:firstLine="225"/>
        <w:spacing w:after="0" w:line="259" w:lineRule="auto"/>
        <w:rPr>
          <w:sz w:val="20"/>
          <w:szCs w:val="20"/>
          <w:color w:val="auto"/>
        </w:rPr>
      </w:pPr>
      <w:r>
        <w:rPr>
          <w:rFonts w:ascii="Arial" w:cs="Arial" w:eastAsia="Arial" w:hAnsi="Arial"/>
          <w:sz w:val="18"/>
          <w:szCs w:val="18"/>
          <w:color w:val="auto"/>
        </w:rPr>
        <w:t>Options to purchase 2,171,000 and 1,874,200 shares of Class A Nonvoting Common Stock for the three and nine months ended April 30, 2008, respectively, and 1,259,500 and 1,052,833 shares of Class A Nonvoting Common Stock for the three and nine months ended April 30, 2007, respectively, were not included in the computations of diluted net income per share because the option exercise price was greater than the average market price of the common shares and, therefore, the effect would be anti-dilutive.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E – Acquisitions</w:t>
      </w:r>
    </w:p>
    <w:p>
      <w:pPr>
        <w:spacing w:after="0" w:line="117"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During the nine months ended April 30, 2008, the Company acquired two companies for a total combined purchase, net of cash acquired, of $28,871. Transposafe is headquartered near Amsterdam with operations in Belgium, Germany, and Poland. Transposafe specializes in security sealing and identification solutions for protecting assets during transport. Transposafe was acquired in November 2007. DAWG is headquartered in Terryville, Connecticut. DAWG is a direct marketer of sorbents, spill-containment products, safety-storage cabinets, first aid kits, and other products that help keep facilities safe and clean. DAWG was acquired in March 2008.</w:t>
      </w:r>
    </w:p>
    <w:p>
      <w:pPr>
        <w:spacing w:after="0" w:line="8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purchase agreement of Transposafe includes a provision for contingent payments based upon meeting certain performance conditions over a two-year period of time subsequent to the acquisition. The total maximum contingent payment of approximately $3,000 has been placed in an escrow account for the acquisition of Transposafe. The Company has recorded the contingent payment that has been placed in an escrow account as an other asset on the condensed consolidated balance sheet.</w:t>
      </w:r>
    </w:p>
    <w:p>
      <w:pPr>
        <w:spacing w:after="0" w:line="79"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Payments of approximately $4,400, $1,200, and $200 were made during the nine months ended April 30, 2008 to satisfy the earnout and holdback liabilities of the Daewon Industry Corporation, STOPware, Inc., and Asterisco acquisitions, respectively.</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 F — Segment Information</w:t>
      </w:r>
    </w:p>
    <w:p>
      <w:pPr>
        <w:spacing w:after="0" w:line="117" w:lineRule="exact"/>
        <w:rPr>
          <w:sz w:val="20"/>
          <w:szCs w:val="20"/>
          <w:color w:val="auto"/>
        </w:rPr>
      </w:pPr>
    </w:p>
    <w:p>
      <w:pPr>
        <w:ind w:right="60" w:firstLine="225"/>
        <w:spacing w:after="0" w:line="291" w:lineRule="auto"/>
        <w:rPr>
          <w:sz w:val="20"/>
          <w:szCs w:val="20"/>
          <w:color w:val="auto"/>
        </w:rPr>
      </w:pPr>
      <w:r>
        <w:rPr>
          <w:rFonts w:ascii="Arial" w:cs="Arial" w:eastAsia="Arial" w:hAnsi="Arial"/>
          <w:sz w:val="16"/>
          <w:szCs w:val="16"/>
          <w:color w:val="auto"/>
        </w:rPr>
        <w:t>Effective August 1, 2007, the Company revised its reportable segments as a result of organizational changes within the executive leadership team, and has restated the corresponding segment information from its previous geographical based structure for the prior year. The Company has four reportable segments: Brady Americas, Direct Marketing &amp; People ID Americas, Europe and Asia-Pacific. The Brady Americas reportable segment includes businesses that focus on MRO and OEM market products sold to customers in North and South America through distributors or a direct sales force. The Direct Marketing &amp; People ID Americas reportable segment includes businesses that market their products through business-to-business direct mail, catalogs, and telemarketing, distribution and a direct sales force in North and South America. The Europe and Asia-Pacific reportable segments have not changed from prior year disclosures. Following is a summary of segment information for the three and nine months ended April 30, 2008 and 2007: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center"/>
              <w:ind w:right="273"/>
              <w:spacing w:after="0"/>
              <w:rPr>
                <w:sz w:val="20"/>
                <w:szCs w:val="20"/>
                <w:color w:val="auto"/>
              </w:rPr>
            </w:pPr>
            <w:r>
              <w:rPr>
                <w:rFonts w:ascii="Arial" w:cs="Arial" w:eastAsia="Arial" w:hAnsi="Arial"/>
                <w:sz w:val="14"/>
                <w:szCs w:val="14"/>
                <w:b w:val="1"/>
                <w:bCs w:val="1"/>
                <w:color w:val="auto"/>
                <w:w w:val="95"/>
              </w:rPr>
              <w:t>Direct</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Brady</w:t>
            </w:r>
          </w:p>
        </w:tc>
        <w:tc>
          <w:tcPr>
            <w:tcW w:w="240" w:type="dxa"/>
            <w:vAlign w:val="bottom"/>
          </w:tcPr>
          <w:p>
            <w:pPr>
              <w:spacing w:after="0"/>
              <w:rPr>
                <w:sz w:val="12"/>
                <w:szCs w:val="12"/>
                <w:color w:val="auto"/>
              </w:rPr>
            </w:pPr>
          </w:p>
        </w:tc>
        <w:tc>
          <w:tcPr>
            <w:tcW w:w="13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Marketing &amp;</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People ID</w:t>
            </w:r>
          </w:p>
        </w:tc>
        <w:tc>
          <w:tcPr>
            <w:tcW w:w="240" w:type="dxa"/>
            <w:vAlign w:val="bottom"/>
          </w:tcPr>
          <w:p>
            <w:pPr>
              <w:spacing w:after="0"/>
              <w:rPr>
                <w:sz w:val="12"/>
                <w:szCs w:val="12"/>
                <w:color w:val="auto"/>
              </w:rPr>
            </w:pPr>
          </w:p>
        </w:tc>
        <w:tc>
          <w:tcPr>
            <w:tcW w:w="10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Europe</w:t>
            </w:r>
          </w:p>
        </w:tc>
        <w:tc>
          <w:tcPr>
            <w:tcW w:w="26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Asia-Pacific</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3"/>
              </w:rPr>
              <w:t>Sub-Totals</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jc w:val="right"/>
              <w:ind w:right="411"/>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rPr>
              <w:t>Americas</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91"/>
              </w:rPr>
              <w:t>Americas</w:t>
            </w:r>
          </w:p>
        </w:tc>
        <w:tc>
          <w:tcPr>
            <w:tcW w:w="24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Three months ended</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100,425</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65,982</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$133,422</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82,080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381,909</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381,909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14,166</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669</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1,732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6,194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22,761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(22,761)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22,692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17,477</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36,245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11,055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87,469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(1,816)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85,653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88,077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65,784</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$ 111,266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81,205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346,332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346,332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13,710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984</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6,131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22,779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(22,779)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20,245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17,768</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29,370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11,861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79,244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(1,858)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77,386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Nine months ended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300,963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w w:val="86"/>
              </w:rPr>
              <w:t>196,840</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$364,951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263,413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w w:val="89"/>
              </w:rPr>
              <w:t>1,126,167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w w:val="87"/>
              </w:rPr>
              <w:t>1,126,167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44,067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1,862</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6,985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18,655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71,569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(71,569)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66,667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49,645</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97,212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43,105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256,629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(6,400)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250,229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Nine months ended</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2007:</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tcPr>
          <w:p>
            <w:pPr>
              <w:spacing w:after="0" w:line="201" w:lineRule="exact"/>
              <w:rPr>
                <w:sz w:val="20"/>
                <w:szCs w:val="20"/>
                <w:color w:val="auto"/>
              </w:rPr>
            </w:pPr>
            <w:r>
              <w:rPr>
                <w:rFonts w:ascii="Arial" w:cs="Arial" w:eastAsia="Arial" w:hAnsi="Arial"/>
                <w:sz w:val="18"/>
                <w:szCs w:val="18"/>
                <w:color w:val="auto"/>
              </w:rPr>
              <w:t>Revenues from external</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w w:val="86"/>
              </w:rPr>
              <w:t>251,346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73"/>
              <w:spacing w:after="0"/>
              <w:rPr>
                <w:sz w:val="20"/>
                <w:szCs w:val="20"/>
                <w:color w:val="auto"/>
              </w:rPr>
            </w:pPr>
            <w:r>
              <w:rPr>
                <w:rFonts w:ascii="Arial" w:cs="Arial" w:eastAsia="Arial" w:hAnsi="Arial"/>
                <w:sz w:val="18"/>
                <w:szCs w:val="18"/>
                <w:color w:val="auto"/>
                <w:w w:val="86"/>
              </w:rPr>
              <w:t>189,446</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$302,477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86"/>
              </w:rPr>
              <w:t>256,597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999,866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999,866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39,052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2,476</w:t>
            </w:r>
          </w:p>
        </w:tc>
        <w:tc>
          <w:tcPr>
            <w:tcW w:w="12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4,404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16,824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62,756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89"/>
              </w:rPr>
              <w:t>(62,756)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Segment profit</w:t>
            </w:r>
          </w:p>
        </w:tc>
        <w:tc>
          <w:tcPr>
            <w:tcW w:w="22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55,433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73"/>
              <w:spacing w:after="0"/>
              <w:rPr>
                <w:sz w:val="20"/>
                <w:szCs w:val="20"/>
                <w:color w:val="auto"/>
              </w:rPr>
            </w:pPr>
            <w:r>
              <w:rPr>
                <w:rFonts w:ascii="Arial" w:cs="Arial" w:eastAsia="Arial" w:hAnsi="Arial"/>
                <w:sz w:val="18"/>
                <w:szCs w:val="18"/>
                <w:color w:val="auto"/>
              </w:rPr>
              <w:t>49,491</w:t>
            </w:r>
          </w:p>
        </w:tc>
        <w:tc>
          <w:tcPr>
            <w:tcW w:w="1240" w:type="dxa"/>
            <w:vAlign w:val="bottom"/>
            <w:gridSpan w:val="2"/>
          </w:tcPr>
          <w:p>
            <w:pPr>
              <w:jc w:val="right"/>
              <w:ind w:right="128"/>
              <w:spacing w:after="0"/>
              <w:rPr>
                <w:sz w:val="20"/>
                <w:szCs w:val="20"/>
                <w:color w:val="auto"/>
              </w:rPr>
            </w:pPr>
            <w:r>
              <w:rPr>
                <w:rFonts w:ascii="Arial" w:cs="Arial" w:eastAsia="Arial" w:hAnsi="Arial"/>
                <w:sz w:val="18"/>
                <w:szCs w:val="18"/>
                <w:color w:val="auto"/>
              </w:rPr>
              <w:t>74,979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46,392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226,295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color w:val="auto"/>
              </w:rPr>
              <w:t>(7,496)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218,799</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segment profit to net income for the three months and nine months ended April 30, 2008 and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restart"/>
          </w:tcPr>
          <w:p>
            <w:pPr>
              <w:jc w:val="right"/>
              <w:ind w:right="94"/>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7"/>
              </w:rPr>
              <w:t>April 30,</w:t>
            </w: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color w:val="auto"/>
              </w:rPr>
              <w:t>2008</w:t>
            </w:r>
          </w:p>
        </w:tc>
        <w:tc>
          <w:tcPr>
            <w:tcW w:w="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April 30,</w:t>
            </w: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87,469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79,244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256,629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(33,071)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(31,083)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(96,865)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(87,831)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(20,429)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46,540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40,260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136,242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(12,187)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(11,273)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(38,829)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34,353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28,987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97,413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380" w:type="dxa"/>
            <w:vAlign w:val="bottom"/>
            <w:vMerge w:val="restart"/>
          </w:tcPr>
          <w:p>
            <w:pPr>
              <w:jc w:val="right"/>
              <w:ind w:right="65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 G –Stock-Based Compensation</w:t>
      </w:r>
    </w:p>
    <w:p>
      <w:pPr>
        <w:spacing w:after="0" w:line="117"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options granted in fiscal 2007 and forward expire 10 years from the date of grant. Restricted shares have an issuance price equal to the fair market value of the underlying stock at the date of grant. They vest at the end of a five-year period and upon meeting certain financial performance conditions. These shares are referred to herein as “performance-based restricted shares.”</w:t>
      </w:r>
    </w:p>
    <w:p>
      <w:pPr>
        <w:spacing w:after="0" w:line="61"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of April 30, 2008, the Company has reserved 4,488,112 shares of Class A Nonvoting Common Stock for outstanding stock options and restricted shares and 968,833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73"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accounts for share-based compensation awards in accordance with SFAS No. 123(R), “Share Based Payment”. In accordance with this standard, the Company recognizes the compensation cost of all share-based awards on a straight-line basis over the vesting period of the award. Total stock compensation expense recognized by the Company during the three months ended April 30, 2008 and 2007 was $1,415 ($863 net of taxes) and $1,353 ($825 net of taxes), respectively, and expense recognized during the nine months ended April 30, 2008 and 2007 was $7,797 ($4,756 net of taxes) and $5,022 ($3,063 net of taxes), respectively. As of April 30, 2008, total unrecognized compensation cost related to share-based compensation awards was approximately $20,331 pre-tax, net of estimated forfeitures, which the Company expects to recognize over a weighted-average period of approximately 2.7 years.</w:t>
      </w:r>
    </w:p>
    <w:p>
      <w:pPr>
        <w:spacing w:after="0" w:line="81"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nine months ended April 30, 2008 and 2007 using the Black-Scholes option valuation model. The weighted-average assumptions used in the Black-Scholes valuation model are reflected in the following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gridSpan w:val="3"/>
          </w:tcPr>
          <w:p>
            <w:pPr>
              <w:jc w:val="right"/>
              <w:ind w:right="684"/>
              <w:spacing w:after="0"/>
              <w:rPr>
                <w:sz w:val="20"/>
                <w:szCs w:val="20"/>
                <w:color w:val="auto"/>
              </w:rPr>
            </w:pPr>
            <w:r>
              <w:rPr>
                <w:rFonts w:ascii="Arial" w:cs="Arial" w:eastAsia="Arial" w:hAnsi="Arial"/>
                <w:sz w:val="14"/>
                <w:szCs w:val="14"/>
                <w:color w:val="auto"/>
              </w:rPr>
              <w:t>Nine Months Ended</w:t>
            </w:r>
          </w:p>
        </w:tc>
        <w:tc>
          <w:tcPr>
            <w:tcW w:w="460" w:type="dxa"/>
            <w:vAlign w:val="bottom"/>
          </w:tcPr>
          <w:p>
            <w:pPr>
              <w:spacing w:after="0"/>
              <w:rPr>
                <w:sz w:val="14"/>
                <w:szCs w:val="14"/>
                <w:color w:val="auto"/>
              </w:rPr>
            </w:pPr>
          </w:p>
        </w:tc>
        <w:tc>
          <w:tcPr>
            <w:tcW w:w="2680" w:type="dxa"/>
            <w:vAlign w:val="bottom"/>
            <w:gridSpan w:val="3"/>
          </w:tcPr>
          <w:p>
            <w:pPr>
              <w:jc w:val="right"/>
              <w:ind w:right="684"/>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4"/>
                <w:szCs w:val="14"/>
                <w:color w:val="auto"/>
              </w:rPr>
              <w:t>April 30, 2008</w:t>
            </w:r>
          </w:p>
        </w:tc>
        <w:tc>
          <w:tcPr>
            <w:tcW w:w="46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844"/>
              <w:spacing w:after="0"/>
              <w:rPr>
                <w:sz w:val="20"/>
                <w:szCs w:val="20"/>
                <w:color w:val="auto"/>
              </w:rPr>
            </w:pPr>
            <w:r>
              <w:rPr>
                <w:rFonts w:ascii="Arial" w:cs="Arial" w:eastAsia="Arial" w:hAnsi="Arial"/>
                <w:sz w:val="14"/>
                <w:szCs w:val="14"/>
                <w:color w:val="auto"/>
              </w:rPr>
              <w:t>April 30, 2007</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1"/>
              </w:rPr>
              <w:t>Performance-</w:t>
            </w:r>
          </w:p>
        </w:tc>
        <w:tc>
          <w:tcPr>
            <w:tcW w:w="4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jc w:val="center"/>
              <w:spacing w:after="0" w:line="123" w:lineRule="exact"/>
              <w:rPr>
                <w:sz w:val="20"/>
                <w:szCs w:val="20"/>
                <w:color w:val="auto"/>
              </w:rPr>
            </w:pPr>
            <w:r>
              <w:rPr>
                <w:rFonts w:ascii="Arial" w:cs="Arial" w:eastAsia="Arial" w:hAnsi="Arial"/>
                <w:sz w:val="14"/>
                <w:szCs w:val="14"/>
                <w:color w:val="auto"/>
                <w:w w:val="94"/>
              </w:rPr>
              <w:t>Performance-</w:t>
            </w: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Based Option</w:t>
            </w:r>
          </w:p>
        </w:tc>
        <w:tc>
          <w:tcPr>
            <w:tcW w:w="460" w:type="dxa"/>
            <w:vAlign w:val="bottom"/>
          </w:tcPr>
          <w:p>
            <w:pPr>
              <w:spacing w:after="0"/>
              <w:rPr>
                <w:sz w:val="12"/>
                <w:szCs w:val="12"/>
                <w:color w:val="auto"/>
              </w:rPr>
            </w:pPr>
          </w:p>
        </w:tc>
        <w:tc>
          <w:tcPr>
            <w:tcW w:w="1140" w:type="dxa"/>
            <w:vAlign w:val="bottom"/>
          </w:tcPr>
          <w:p>
            <w:pPr>
              <w:jc w:val="right"/>
              <w:ind w:right="84"/>
              <w:spacing w:after="0" w:line="149" w:lineRule="exact"/>
              <w:rPr>
                <w:sz w:val="20"/>
                <w:szCs w:val="20"/>
                <w:color w:val="auto"/>
              </w:rPr>
            </w:pPr>
            <w:r>
              <w:rPr>
                <w:rFonts w:ascii="Arial" w:cs="Arial" w:eastAsia="Arial" w:hAnsi="Arial"/>
                <w:sz w:val="14"/>
                <w:szCs w:val="14"/>
                <w:color w:val="auto"/>
              </w:rPr>
              <w:t>Service-Based</w:t>
            </w:r>
          </w:p>
        </w:tc>
        <w:tc>
          <w:tcPr>
            <w:tcW w:w="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4"/>
              </w:rPr>
              <w:t>Based Option</w:t>
            </w:r>
          </w:p>
        </w:tc>
      </w:tr>
      <w:tr>
        <w:trPr>
          <w:trHeight w:val="167"/>
        </w:trPr>
        <w:tc>
          <w:tcPr>
            <w:tcW w:w="5620" w:type="dxa"/>
            <w:vAlign w:val="bottom"/>
            <w:gridSpan w:val="3"/>
          </w:tcPr>
          <w:p>
            <w:pPr>
              <w:spacing w:after="0"/>
              <w:rPr>
                <w:sz w:val="20"/>
                <w:szCs w:val="20"/>
                <w:color w:val="auto"/>
              </w:rPr>
            </w:pPr>
            <w:r>
              <w:rPr>
                <w:rFonts w:ascii="Arial" w:cs="Arial" w:eastAsia="Arial" w:hAnsi="Arial"/>
                <w:sz w:val="14"/>
                <w:szCs w:val="14"/>
                <w:color w:val="auto"/>
              </w:rPr>
              <w:t>Black-Scholes Option Valuation Assumptions</w:t>
            </w:r>
          </w:p>
        </w:tc>
        <w:tc>
          <w:tcPr>
            <w:tcW w:w="1120" w:type="dxa"/>
            <w:vAlign w:val="bottom"/>
          </w:tcPr>
          <w:p>
            <w:pPr>
              <w:jc w:val="right"/>
              <w:ind w:right="37"/>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c>
          <w:tcPr>
            <w:tcW w:w="460" w:type="dxa"/>
            <w:vAlign w:val="bottom"/>
          </w:tcPr>
          <w:p>
            <w:pPr>
              <w:spacing w:after="0"/>
              <w:rPr>
                <w:sz w:val="14"/>
                <w:szCs w:val="14"/>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Option Awards</w:t>
            </w:r>
          </w:p>
        </w:tc>
        <w:tc>
          <w:tcPr>
            <w:tcW w:w="4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Awards</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rPr>
              <w:t>6.04</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84"/>
              <w:spacing w:after="0"/>
              <w:rPr>
                <w:sz w:val="20"/>
                <w:szCs w:val="20"/>
                <w:color w:val="auto"/>
              </w:rPr>
            </w:pPr>
            <w:r>
              <w:rPr>
                <w:rFonts w:ascii="Arial" w:cs="Arial" w:eastAsia="Arial" w:hAnsi="Arial"/>
                <w:sz w:val="18"/>
                <w:szCs w:val="18"/>
                <w:color w:val="auto"/>
              </w:rPr>
              <w:t>6.07</w:t>
            </w:r>
          </w:p>
        </w:tc>
        <w:tc>
          <w:tcPr>
            <w:tcW w:w="4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6.57</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32.05%</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33.68%</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34.01%</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34.66%</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1.62%</w:t>
            </w:r>
          </w:p>
        </w:tc>
        <w:tc>
          <w:tcPr>
            <w:tcW w:w="15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1.58%</w:t>
            </w:r>
          </w:p>
        </w:tc>
        <w:tc>
          <w:tcPr>
            <w:tcW w:w="160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1.46%</w:t>
            </w:r>
          </w:p>
        </w:tc>
        <w:tc>
          <w:tcPr>
            <w:tcW w:w="15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3.44%</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4.66%</w:t>
            </w:r>
          </w:p>
        </w:tc>
        <w:tc>
          <w:tcPr>
            <w:tcW w:w="1600" w:type="dxa"/>
            <w:vAlign w:val="bottom"/>
            <w:gridSpan w:val="2"/>
          </w:tcPr>
          <w:p>
            <w:pPr>
              <w:jc w:val="right"/>
              <w:ind w:right="144"/>
              <w:spacing w:after="0"/>
              <w:rPr>
                <w:sz w:val="20"/>
                <w:szCs w:val="20"/>
                <w:color w:val="auto"/>
              </w:rPr>
            </w:pPr>
            <w:r>
              <w:rPr>
                <w:rFonts w:ascii="Arial" w:cs="Arial" w:eastAsia="Arial" w:hAnsi="Arial"/>
                <w:sz w:val="18"/>
                <w:szCs w:val="18"/>
                <w:color w:val="auto"/>
              </w:rPr>
              <w:t>4.52%</w:t>
            </w:r>
          </w:p>
        </w:tc>
        <w:tc>
          <w:tcPr>
            <w:tcW w:w="1540" w:type="dxa"/>
            <w:vAlign w:val="bottom"/>
            <w:gridSpan w:val="2"/>
          </w:tcPr>
          <w:p>
            <w:pPr>
              <w:jc w:val="right"/>
              <w:ind w:right="104"/>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market value of underlying stock at grant date</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$38.22</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$35.35</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$38.19</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1120" w:type="dxa"/>
            <w:vAlign w:val="bottom"/>
          </w:tcPr>
          <w:p>
            <w:pPr>
              <w:jc w:val="right"/>
              <w:ind w:right="277"/>
              <w:spacing w:after="0"/>
              <w:rPr>
                <w:sz w:val="20"/>
                <w:szCs w:val="20"/>
                <w:color w:val="auto"/>
              </w:rPr>
            </w:pPr>
            <w:r>
              <w:rPr>
                <w:rFonts w:ascii="Arial" w:cs="Arial" w:eastAsia="Arial" w:hAnsi="Arial"/>
                <w:sz w:val="18"/>
                <w:szCs w:val="18"/>
                <w:color w:val="auto"/>
              </w:rPr>
              <w:t>$38.22</w:t>
            </w: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$35.35</w:t>
            </w:r>
          </w:p>
        </w:tc>
        <w:tc>
          <w:tcPr>
            <w:tcW w:w="1600" w:type="dxa"/>
            <w:vAlign w:val="bottom"/>
            <w:gridSpan w:val="2"/>
          </w:tcPr>
          <w:p>
            <w:pPr>
              <w:jc w:val="right"/>
              <w:ind w:right="284"/>
              <w:spacing w:after="0"/>
              <w:rPr>
                <w:sz w:val="20"/>
                <w:szCs w:val="20"/>
                <w:color w:val="auto"/>
              </w:rPr>
            </w:pPr>
            <w:r>
              <w:rPr>
                <w:rFonts w:ascii="Arial" w:cs="Arial" w:eastAsia="Arial" w:hAnsi="Arial"/>
                <w:sz w:val="18"/>
                <w:szCs w:val="18"/>
                <w:color w:val="auto"/>
              </w:rPr>
              <w:t>$38.19</w:t>
            </w: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$33.32</w:t>
            </w: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 during the period</w:t>
            </w:r>
          </w:p>
        </w:tc>
        <w:tc>
          <w:tcPr>
            <w:tcW w:w="112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rPr>
              <w:t>$11.94</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$12.83</w:t>
            </w:r>
          </w:p>
        </w:tc>
        <w:tc>
          <w:tcPr>
            <w:tcW w:w="16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$13.57</w:t>
            </w: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$12.57</w:t>
            </w:r>
          </w:p>
        </w:tc>
      </w:tr>
    </w:tbl>
    <w:p>
      <w:pPr>
        <w:spacing w:after="0" w:line="94"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80"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Company granted 210,000 performance-based restricted shares during the nine months ended April 30, 2008, with a grant price and fair value of $32.83. As of April 30, 2008, 210,000 performance-based restricted shares were outstanding.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color w:val="auto"/>
        </w:rPr>
        <w:t>A summary of stock option activity under the Company’s share-based compensation plans for the nine months ended April 30, 2008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80" w:type="dxa"/>
            <w:vAlign w:val="bottom"/>
          </w:tcPr>
          <w:p>
            <w:pPr>
              <w:jc w:val="center"/>
              <w:ind w:right="163"/>
              <w:spacing w:after="0"/>
              <w:rPr>
                <w:sz w:val="20"/>
                <w:szCs w:val="20"/>
                <w:color w:val="auto"/>
              </w:rPr>
            </w:pPr>
            <w:r>
              <w:rPr>
                <w:rFonts w:ascii="Arial" w:cs="Arial" w:eastAsia="Arial" w:hAnsi="Arial"/>
                <w:sz w:val="14"/>
                <w:szCs w:val="14"/>
                <w:color w:val="auto"/>
                <w:w w:val="94"/>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8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1"/>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ind w:left="580"/>
              <w:spacing w:after="0" w:line="149" w:lineRule="exact"/>
              <w:rPr>
                <w:sz w:val="20"/>
                <w:szCs w:val="20"/>
                <w:color w:val="auto"/>
              </w:rPr>
            </w:pPr>
            <w:r>
              <w:rPr>
                <w:rFonts w:ascii="Arial" w:cs="Arial" w:eastAsia="Arial" w:hAnsi="Arial"/>
                <w:sz w:val="14"/>
                <w:szCs w:val="14"/>
                <w:color w:val="auto"/>
              </w:rPr>
              <w:t>Weighted</w:t>
            </w:r>
          </w:p>
        </w:tc>
        <w:tc>
          <w:tcPr>
            <w:tcW w:w="168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5"/>
              </w:rPr>
              <w:t>Remaining</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tcPr>
          <w:p>
            <w:pPr>
              <w:ind w:left="620"/>
              <w:spacing w:after="0" w:line="149" w:lineRule="exact"/>
              <w:rPr>
                <w:sz w:val="20"/>
                <w:szCs w:val="20"/>
                <w:color w:val="auto"/>
              </w:rPr>
            </w:pPr>
            <w:r>
              <w:rPr>
                <w:rFonts w:ascii="Arial" w:cs="Arial" w:eastAsia="Arial" w:hAnsi="Arial"/>
                <w:sz w:val="14"/>
                <w:szCs w:val="14"/>
                <w:color w:val="auto"/>
              </w:rPr>
              <w:t>Average</w:t>
            </w:r>
          </w:p>
        </w:tc>
        <w:tc>
          <w:tcPr>
            <w:tcW w:w="1680" w:type="dxa"/>
            <w:vAlign w:val="bottom"/>
          </w:tcPr>
          <w:p>
            <w:pPr>
              <w:jc w:val="center"/>
              <w:ind w:right="163"/>
              <w:spacing w:after="0" w:line="149" w:lineRule="exact"/>
              <w:rPr>
                <w:sz w:val="20"/>
                <w:szCs w:val="20"/>
                <w:color w:val="auto"/>
              </w:rPr>
            </w:pPr>
            <w:r>
              <w:rPr>
                <w:rFonts w:ascii="Arial" w:cs="Arial" w:eastAsia="Arial" w:hAnsi="Arial"/>
                <w:sz w:val="14"/>
                <w:szCs w:val="14"/>
                <w:color w:val="auto"/>
                <w:w w:val="94"/>
              </w:rPr>
              <w:t>Contractual</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Options</w:t>
            </w:r>
          </w:p>
        </w:tc>
        <w:tc>
          <w:tcPr>
            <w:tcW w:w="12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Shares</w:t>
            </w:r>
          </w:p>
        </w:tc>
        <w:tc>
          <w:tcPr>
            <w:tcW w:w="16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Exercise Price</w:t>
            </w:r>
          </w:p>
        </w:tc>
        <w:tc>
          <w:tcPr>
            <w:tcW w:w="168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color w:val="auto"/>
                <w:w w:val="91"/>
              </w:rPr>
              <w:t>Term</w:t>
            </w: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4,182,739</w:t>
            </w:r>
          </w:p>
        </w:tc>
        <w:tc>
          <w:tcPr>
            <w:tcW w:w="520" w:type="dxa"/>
            <w:vAlign w:val="bottom"/>
            <w:shd w:val="clear" w:color="auto" w:fill="CCEEFF"/>
          </w:tcPr>
          <w:p>
            <w:pPr>
              <w:spacing w:after="0"/>
              <w:rPr>
                <w:sz w:val="18"/>
                <w:szCs w:val="18"/>
                <w:color w:val="auto"/>
              </w:rPr>
            </w:pPr>
          </w:p>
        </w:tc>
        <w:tc>
          <w:tcPr>
            <w:tcW w:w="1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$26.36</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New grants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954,500</w:t>
            </w:r>
          </w:p>
        </w:tc>
        <w:tc>
          <w:tcPr>
            <w:tcW w:w="1660" w:type="dxa"/>
            <w:vAlign w:val="bottom"/>
          </w:tcPr>
          <w:p>
            <w:pPr>
              <w:ind w:left="560"/>
              <w:spacing w:after="0"/>
              <w:rPr>
                <w:sz w:val="20"/>
                <w:szCs w:val="20"/>
                <w:color w:val="auto"/>
              </w:rPr>
            </w:pPr>
            <w:r>
              <w:rPr>
                <w:rFonts w:ascii="Arial" w:cs="Arial" w:eastAsia="Arial" w:hAnsi="Arial"/>
                <w:sz w:val="18"/>
                <w:szCs w:val="18"/>
                <w:color w:val="auto"/>
              </w:rPr>
              <w:t>$37.44</w:t>
            </w: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(527,853)</w:t>
            </w:r>
          </w:p>
        </w:tc>
        <w:tc>
          <w:tcPr>
            <w:tcW w:w="1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$18.22</w:t>
            </w:r>
          </w:p>
        </w:tc>
        <w:tc>
          <w:tcPr>
            <w:tcW w:w="1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Forfeited or expired</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(331,274)</w:t>
            </w:r>
          </w:p>
        </w:tc>
        <w:tc>
          <w:tcPr>
            <w:tcW w:w="1660" w:type="dxa"/>
            <w:vAlign w:val="bottom"/>
          </w:tcPr>
          <w:p>
            <w:pPr>
              <w:ind w:left="560"/>
              <w:spacing w:after="0"/>
              <w:rPr>
                <w:sz w:val="20"/>
                <w:szCs w:val="20"/>
                <w:color w:val="auto"/>
              </w:rPr>
            </w:pPr>
            <w:r>
              <w:rPr>
                <w:rFonts w:ascii="Arial" w:cs="Arial" w:eastAsia="Arial" w:hAnsi="Arial"/>
                <w:sz w:val="18"/>
                <w:szCs w:val="18"/>
                <w:color w:val="auto"/>
              </w:rPr>
              <w:t>$36.44</w:t>
            </w: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30, 2008</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4,278,112</w:t>
            </w:r>
          </w:p>
        </w:tc>
        <w:tc>
          <w:tcPr>
            <w:tcW w:w="1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$29.06</w:t>
            </w:r>
          </w:p>
        </w:tc>
        <w:tc>
          <w:tcPr>
            <w:tcW w:w="1680" w:type="dxa"/>
            <w:vAlign w:val="bottom"/>
            <w:shd w:val="clear" w:color="auto" w:fill="CCEEFF"/>
          </w:tcPr>
          <w:p>
            <w:pPr>
              <w:jc w:val="center"/>
              <w:ind w:right="163"/>
              <w:spacing w:after="0"/>
              <w:rPr>
                <w:sz w:val="20"/>
                <w:szCs w:val="20"/>
                <w:color w:val="auto"/>
              </w:rPr>
            </w:pPr>
            <w:r>
              <w:rPr>
                <w:rFonts w:ascii="Arial" w:cs="Arial" w:eastAsia="Arial" w:hAnsi="Arial"/>
                <w:sz w:val="18"/>
                <w:szCs w:val="18"/>
                <w:color w:val="auto"/>
                <w:w w:val="95"/>
              </w:rPr>
              <w:t>6.7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27,994</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April 30, 2008</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vMerge w:val="restart"/>
          </w:tcPr>
          <w:p>
            <w:pPr>
              <w:ind w:left="560"/>
              <w:spacing w:after="0"/>
              <w:rPr>
                <w:sz w:val="20"/>
                <w:szCs w:val="20"/>
                <w:color w:val="auto"/>
              </w:rPr>
            </w:pPr>
            <w:r>
              <w:rPr>
                <w:rFonts w:ascii="Arial" w:cs="Arial" w:eastAsia="Arial" w:hAnsi="Arial"/>
                <w:sz w:val="18"/>
                <w:szCs w:val="18"/>
                <w:color w:val="auto"/>
              </w:rPr>
              <w:t>$25.15</w:t>
            </w:r>
          </w:p>
        </w:tc>
        <w:tc>
          <w:tcPr>
            <w:tcW w:w="1680" w:type="dxa"/>
            <w:vAlign w:val="bottom"/>
            <w:vMerge w:val="restart"/>
          </w:tcPr>
          <w:p>
            <w:pPr>
              <w:jc w:val="center"/>
              <w:ind w:right="163"/>
              <w:spacing w:after="0"/>
              <w:rPr>
                <w:sz w:val="20"/>
                <w:szCs w:val="20"/>
                <w:color w:val="auto"/>
              </w:rPr>
            </w:pPr>
            <w:r>
              <w:rPr>
                <w:rFonts w:ascii="Arial" w:cs="Arial" w:eastAsia="Arial" w:hAnsi="Arial"/>
                <w:sz w:val="18"/>
                <w:szCs w:val="18"/>
                <w:color w:val="auto"/>
                <w:w w:val="95"/>
              </w:rPr>
              <w:t>5.4</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2,466,275</w:t>
            </w:r>
          </w:p>
        </w:tc>
        <w:tc>
          <w:tcPr>
            <w:tcW w:w="5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23,730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total intrinsic value of options exercised during the nine months ended April 30, 2008 and 2007, based upon the average market price during the period, was $10,725 and $5,016, respectively. The total fair value of stock options vested during the nine months ended April 30, 2008 and 2007, was $6,484 and $4,592,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H – Debt</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On March 18, 2008, the Company entered into an amendment to the Company’s revolving loan agreement with the various lenders under the loan agreement. The amendment extended the maturity date of the revolving loan from October 5, 2011 to March 18, 2013. All other terms of the revolving loan agreement remained the same.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I – Shareholders’ Equity</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September 2007, the Company announced that the Board of Directors of the Company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nine months ended April 30, 2008, the Company reacquired approximately 944,000 shares of its Class A Nonvoting Common Stock for approximately $28,500.</w:t>
      </w:r>
    </w:p>
    <w:p>
      <w:pPr>
        <w:spacing w:after="0" w:line="8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March 2008, the Company announced that the Board of Directors of the Company authorized a share repurchase plan for up to an additional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 During the nine months ended April 30, 2008, the Company did not reacquire any shares under this repurchase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 J – Employee Benefit Plans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outlined by the plan. Postretirement benefits are provided only if the employee was hired prior to April 1, 2008, and retires on or after attainment of age 55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15 years of credited service. Credited service begins accruing at the later of age 40 or date of hire. All active employees first eligible to retire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31, 1992, are covered by an unfunded, contributory postretirement healthcare plan where employer contributions will not exceed a defined dollar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 regardless of the cost of the program. Employer contributions to the plan are based on the employee’s age and service at retirement.</w:t>
      </w:r>
    </w:p>
    <w:p>
      <w:pPr>
        <w:spacing w:after="0" w:line="103"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The Company accounts for postretirement benefits other than pensions in accordance with SFAS No. 158, “Employers’ Accounting for Defined Benefit Pension and Other Postretirement Plans.” The Company funds benefit costs on a pay-as-you-go basis. There have been no changes to the components of net periodic benefit cost or the amount that the Company expects to fund in fiscal 2008 from those reported in Note 3 to the consolidated financial statements included in the Company’s latest annual report on Form 10-K for the year ended July 31,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K – Income Taxes</w:t>
      </w:r>
    </w:p>
    <w:p>
      <w:pPr>
        <w:spacing w:after="0" w:line="117"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On August 1, 2007, the Company adopted FIN 48. FIN 48 prescribes a recognition threshold that a tax position is required to meet before being recognized in the financial statements and provides guidance on derecognition, measurement, classification, interest and penalties, accounting in interim periods, and disclosure and transition issues.</w:t>
      </w:r>
    </w:p>
    <w:p>
      <w:pPr>
        <w:spacing w:after="0" w:line="73"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adoption of FIN 48 resulted in a $900 charge to earnings retained in the business as of August 1, 2007 and a change in the classification of the liability on the balance sheet from accrued income taxes to other liabilities. As of August 1, 2007, the Company’s liability for uncertain tax positions was $15,900. Unrecognized tax benefits of $10,500 would affect the Company’s effective tax rate if recognized. As of April 30, 2008, the Company’s liability for uncertain tax positions was $15,600.</w:t>
      </w:r>
    </w:p>
    <w:p>
      <w:pPr>
        <w:spacing w:after="0" w:line="79"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recognizes accrued interest related to unrecognized tax benefits in income taxes on the accompanying condensed consolidated statements of income. At August 1, 2007, the Company had accrued $2,200 for the potential payment of interest which was included in the $15,900 liability for uncertain tax positions. During the nine months ended April 30, 2008, the Company recognized $200 in potential interest associated with uncertain tax positions. The total accrual for potential payment of interest was $2,400 as of April 30, 2008. During the third quarter of fiscal 2008, approximately $2,000 of tax benefits were recognized due to expiring statutes of limitation.</w:t>
      </w:r>
    </w:p>
    <w:p>
      <w:pPr>
        <w:spacing w:after="0" w:line="80"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 and its subsidiaries file income tax returns in the US federal jurisdiction, and various state and foreign jurisdictions. The following table summarizes the open tax years for the Company’s major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60" w:type="dxa"/>
            <w:vAlign w:val="bottom"/>
            <w:gridSpan w:val="2"/>
          </w:tcPr>
          <w:p>
            <w:pPr>
              <w:spacing w:after="0"/>
              <w:rPr>
                <w:sz w:val="20"/>
                <w:szCs w:val="20"/>
                <w:color w:val="auto"/>
              </w:rPr>
            </w:pPr>
            <w:r>
              <w:rPr>
                <w:rFonts w:ascii="Arial" w:cs="Arial" w:eastAsia="Arial" w:hAnsi="Arial"/>
                <w:sz w:val="14"/>
                <w:szCs w:val="14"/>
                <w:color w:val="auto"/>
              </w:rPr>
              <w:t>Jurisdiction</w:t>
            </w:r>
          </w:p>
        </w:tc>
        <w:tc>
          <w:tcPr>
            <w:tcW w:w="7760" w:type="dxa"/>
            <w:vAlign w:val="bottom"/>
          </w:tcPr>
          <w:p>
            <w:pPr>
              <w:jc w:val="center"/>
              <w:ind w:left="6153"/>
              <w:spacing w:after="0"/>
              <w:rPr>
                <w:sz w:val="20"/>
                <w:szCs w:val="20"/>
                <w:color w:val="auto"/>
              </w:rPr>
            </w:pPr>
            <w:r>
              <w:rPr>
                <w:rFonts w:ascii="Arial" w:cs="Arial" w:eastAsia="Arial" w:hAnsi="Arial"/>
                <w:sz w:val="14"/>
                <w:szCs w:val="14"/>
                <w:color w:val="auto"/>
                <w:w w:val="90"/>
              </w:rPr>
              <w:t>Open Tax Years</w:t>
            </w: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7760" w:type="dxa"/>
            <w:vAlign w:val="bottom"/>
            <w:tcBorders>
              <w:top w:val="single" w:sz="8" w:color="auto"/>
            </w:tcBorders>
            <w:shd w:val="clear" w:color="auto" w:fill="CCEEFF"/>
          </w:tcPr>
          <w:p>
            <w:pPr>
              <w:jc w:val="center"/>
              <w:ind w:left="6173"/>
              <w:spacing w:after="0"/>
              <w:rPr>
                <w:sz w:val="20"/>
                <w:szCs w:val="20"/>
                <w:color w:val="auto"/>
              </w:rPr>
            </w:pPr>
            <w:r>
              <w:rPr>
                <w:rFonts w:ascii="Arial" w:cs="Arial" w:eastAsia="Arial" w:hAnsi="Arial"/>
                <w:sz w:val="18"/>
                <w:szCs w:val="18"/>
                <w:color w:val="auto"/>
                <w:w w:val="95"/>
              </w:rPr>
              <w:t>F’05 – F’07</w:t>
            </w: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France</w:t>
            </w:r>
          </w:p>
        </w:tc>
        <w:tc>
          <w:tcPr>
            <w:tcW w:w="7760" w:type="dxa"/>
            <w:vAlign w:val="bottom"/>
          </w:tcPr>
          <w:p>
            <w:pPr>
              <w:jc w:val="center"/>
              <w:ind w:left="6173"/>
              <w:spacing w:after="0"/>
              <w:rPr>
                <w:sz w:val="20"/>
                <w:szCs w:val="20"/>
                <w:color w:val="auto"/>
              </w:rPr>
            </w:pPr>
            <w:r>
              <w:rPr>
                <w:rFonts w:ascii="Arial" w:cs="Arial" w:eastAsia="Arial" w:hAnsi="Arial"/>
                <w:sz w:val="18"/>
                <w:szCs w:val="18"/>
                <w:color w:val="auto"/>
                <w:w w:val="95"/>
              </w:rPr>
              <w:t>F’05 – F’07</w:t>
            </w: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7760" w:type="dxa"/>
            <w:vAlign w:val="bottom"/>
            <w:shd w:val="clear" w:color="auto" w:fill="CCEEFF"/>
          </w:tcPr>
          <w:p>
            <w:pPr>
              <w:jc w:val="center"/>
              <w:ind w:left="6173"/>
              <w:spacing w:after="0"/>
              <w:rPr>
                <w:sz w:val="20"/>
                <w:szCs w:val="20"/>
                <w:color w:val="auto"/>
              </w:rPr>
            </w:pPr>
            <w:r>
              <w:rPr>
                <w:rFonts w:ascii="Arial" w:cs="Arial" w:eastAsia="Arial" w:hAnsi="Arial"/>
                <w:sz w:val="18"/>
                <w:szCs w:val="18"/>
                <w:color w:val="auto"/>
                <w:w w:val="95"/>
              </w:rPr>
              <w:t>F’03 – F’07</w:t>
            </w: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United Kingdom</w:t>
            </w:r>
          </w:p>
        </w:tc>
        <w:tc>
          <w:tcPr>
            <w:tcW w:w="7760" w:type="dxa"/>
            <w:vAlign w:val="bottom"/>
          </w:tcPr>
          <w:p>
            <w:pPr>
              <w:jc w:val="center"/>
              <w:ind w:left="6173"/>
              <w:spacing w:after="0"/>
              <w:rPr>
                <w:sz w:val="20"/>
                <w:szCs w:val="20"/>
                <w:color w:val="auto"/>
              </w:rPr>
            </w:pPr>
            <w:r>
              <w:rPr>
                <w:rFonts w:ascii="Arial" w:cs="Arial" w:eastAsia="Arial" w:hAnsi="Arial"/>
                <w:sz w:val="18"/>
                <w:szCs w:val="18"/>
                <w:color w:val="auto"/>
                <w:w w:val="95"/>
              </w:rPr>
              <w:t>F’05 – F’07</w:t>
            </w:r>
          </w:p>
        </w:tc>
      </w:tr>
      <w:tr>
        <w:trPr>
          <w:trHeight w:val="391"/>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760" w:type="dxa"/>
            <w:vAlign w:val="bottom"/>
          </w:tcPr>
          <w:p>
            <w:pPr>
              <w:jc w:val="right"/>
              <w:ind w:right="5533"/>
              <w:spacing w:after="0"/>
              <w:rPr>
                <w:sz w:val="20"/>
                <w:szCs w:val="20"/>
                <w:color w:val="auto"/>
              </w:rPr>
            </w:pPr>
            <w:r>
              <w:rPr>
                <w:rFonts w:ascii="Arial" w:cs="Arial" w:eastAsia="Arial" w:hAnsi="Arial"/>
                <w:sz w:val="18"/>
                <w:szCs w:val="18"/>
                <w:color w:val="auto"/>
              </w:rPr>
              <w:t>13</w:t>
            </w:r>
          </w:p>
        </w:tc>
      </w:tr>
      <w:tr>
        <w:trPr>
          <w:trHeight w:val="226"/>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7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 L – New Accounting Pronouncements</w:t>
      </w:r>
    </w:p>
    <w:p>
      <w:pPr>
        <w:spacing w:after="0" w:line="117" w:lineRule="exact"/>
        <w:rPr>
          <w:sz w:val="20"/>
          <w:szCs w:val="20"/>
          <w:color w:val="auto"/>
        </w:rPr>
      </w:pPr>
    </w:p>
    <w:p>
      <w:pPr>
        <w:jc w:val="both"/>
        <w:ind w:right="240" w:firstLine="225"/>
        <w:spacing w:after="0" w:line="297" w:lineRule="auto"/>
        <w:rPr>
          <w:sz w:val="20"/>
          <w:szCs w:val="20"/>
          <w:color w:val="auto"/>
        </w:rPr>
      </w:pPr>
      <w:r>
        <w:rPr>
          <w:rFonts w:ascii="Arial" w:cs="Arial" w:eastAsia="Arial" w:hAnsi="Arial"/>
          <w:sz w:val="16"/>
          <w:szCs w:val="16"/>
          <w:color w:val="auto"/>
        </w:rPr>
        <w:t>In September 2006, the FASB issued SFAS No. 157, “Fair Value Measurements.” This statement provides guidance on how to measure the fair value of assets and liabilities utilizing a fair value hierarchy to classify the sources of information used in the measurement calculation. SFAS No. 157 also provides new disclosure rules for assets and liabilities measured at fair value based on their level in the fair value hierarchy. This new statement will be effective for fiscal years beginning after November 15, 2007. The Company is in the process of evaluating the impact that will result from adopting SFAS No. 157 and therefore is unable to disclose the impact SFAS No. 157 will have on its financial position and results of operations when such statement is adopted.</w:t>
      </w:r>
    </w:p>
    <w:p>
      <w:pPr>
        <w:spacing w:after="0" w:line="50"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This statement permits entities to choose the fair value option to measure many financial instruments and certain other items at fair value that are not currently required to be measured at fair value. The objective is to improve financial reporting by providing entities with the opportunity to mitigate volatility in earnings caused by measuring related assets and liabilities differently without having to apply complex hedge accounting. This new statement will be effective for fiscal years beginning after November 15, 2007. The Company is in the process of evaluating the impact that will result from adopting SFAS No. 159 and therefore is unable to disclose the impact SFAS No. 159 will have on its financial position and results of operations when such statement is adopted.</w:t>
      </w:r>
    </w:p>
    <w:p>
      <w:pPr>
        <w:spacing w:after="0" w:line="70"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In December 2007, the FASB issued SFAS No. 141(R), “Business Combinations.” SFAS No. 141(R) requires acquiring entities to recognize all the assets and liabilities assumed in a transaction at fair values as of the acquisition date, but changes the accounting treatment for certain items, including:</w:t>
      </w:r>
    </w:p>
    <w:p>
      <w:pPr>
        <w:spacing w:after="0" w:line="16"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 costs will generally be expensed as incurred;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Noncontrolling interests will be valued at fair value at the acquisition date;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related to contingent consideration will be re-measured at fair value in each subsequent reporting period;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costs associated with a business combination will generally be expensed after the acquisition date;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In-process research and development will be recorded at fair value as an indefinite-lived intangible asset at the acquisition date.</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SFAS No. 141(R) applies to business combinations for which the acquisition date is on or after the beginning of the first annual reporting period beginning on or after December 15, 2008. The Company is in the process of evaluating the impact that will result from adopting SFAS No.141(R), and therefore, the Company is unable to disclose the impact SFAS No. 141(R) will have on its financial position and results of operations when such statement is adopted.</w:t>
      </w:r>
    </w:p>
    <w:p>
      <w:pPr>
        <w:spacing w:after="0" w:line="39"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SFAS No. 160 establishes new accounting and reporting standards for the noncontrolling interest in a subsidiary. This statement requires the recognition of a noncontrolling interest (minority interest) as equity in the consolidated financial statements and separate from the parent’s equity. The amount of net income attributable to the noncontrolling interest will be included in consolidated net income on the face of the income statement. This new statement will be effective for fiscal years beginning after December 15, 2008. The Company expects that the adoption of SFAS No. 160 will not have a material effect on its consolidated financial statements.</w:t>
      </w:r>
    </w:p>
    <w:p>
      <w:pPr>
        <w:spacing w:after="0" w:line="8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In March 2008, the FASB issued SFAS No. 161, “Disclosure about Derivative Instruments and Hedging Activities.” SFAS No. 161 requires expanded quantitative, qualitative, and credit-risk disclosures about an entity’s derivative instruments and hedging activities. This new statement will be effective for fiscal years and interim periods beginning after November 15, 2008. The Company expects that the adoption of SFAS No. 161 will not have a material impact on its financial position and results of operations. The Company is in the process of evaluating the impact that will result from adopting SFAS No. 161 on the Company’s financial disclosures when such statement is adopted.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right="1840"/>
        <w:spacing w:after="0" w:line="375" w:lineRule="auto"/>
        <w:rPr>
          <w:sz w:val="20"/>
          <w:szCs w:val="20"/>
          <w:color w:val="auto"/>
        </w:rPr>
      </w:pPr>
      <w:r>
        <w:rPr>
          <w:rFonts w:ascii="Arial" w:cs="Arial" w:eastAsia="Arial" w:hAnsi="Arial"/>
          <w:sz w:val="18"/>
          <w:szCs w:val="18"/>
          <w:color w:val="auto"/>
        </w:rPr>
        <w:t xml:space="preserve">ITEM 2. MANAGEMENT’S DISCUSSION AND ANALYSIS OF FINANCIAL CONDITION AND RESULTS OF OPERATIONS </w:t>
      </w:r>
      <w:r>
        <w:rPr>
          <w:rFonts w:ascii="Arial" w:cs="Arial" w:eastAsia="Arial" w:hAnsi="Arial"/>
          <w:sz w:val="18"/>
          <w:szCs w:val="18"/>
          <w:u w:val="single" w:color="auto"/>
          <w:color w:val="auto"/>
        </w:rPr>
        <w:t>Overview</w:t>
      </w:r>
    </w:p>
    <w:p>
      <w:pPr>
        <w:spacing w:after="0" w:line="1"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Brady is an international manufacturer and marketer of identification solutions and specialty materials that identify and protect premises, products, and people. Its products include high-performance labels and signs, printing systems and software, safety devices, precision die-cut materials, and label-application and data-collection systems. Founded in 1914, the Company serves customers in manufacturing, electrical, telecommunications, electronics, construction, laboratory, education, governmental, public utility, computer, transportation and a variety of other industries. The Company manufactures and sells products domestically and internationally through multiple channels including distributor sales, direct sales, mail-order catalogs, telemarketing, retail and electronic access through the Internet. The Company believes that its reputation for innovation, commitment to quality and service, and dedicated employees have made it a world leader in the markets it serves. The Company operates manufacturing or distribution facilities in Australia, Belgium, Brazil, Canada, China, Denmark, France, Germany, Hong Kong, India, Italy, Japan, Korea, Malaysia, Mexico, the Netherlands, Norway, Poland, Singapore, Slovakia, Sweden, Thailand, the United Kingdom and the United States. Brady sells through subsidiaries or sales offices in these countries, with additional sales through a dedicated team of international sales representatives in the Philippines, Spain, Taiwan, Turkey, and the United Arab Emirates and further markets its products to parts of Eastern Europe, the Middle East, Africa and Russia.</w:t>
      </w:r>
    </w:p>
    <w:p>
      <w:pPr>
        <w:spacing w:after="0" w:line="75"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Sales for the quarter ended April 30, 2008, increased 10.3% to $381.9 million, compared to $346.3 million in the same period of fiscal 2007. Of the increase in sales, organic sales declined 1.2%, acquisitions added 5.0% and the effects of fluctuations in the exchange rates used to translate financial results into the United States dollar added 6.5%. Net income for the quarter ended April 30, 2008, was $34.4 million or $0.63 per diluted Class A Nonvoting Common Share, up 18.5% and 18.9%, respectively, from $29.0 million or $0.53 per diluted Class A Nonvoting Common Share reported in the third quarter of last fiscal year.</w:t>
      </w:r>
    </w:p>
    <w:p>
      <w:pPr>
        <w:spacing w:after="0" w:line="8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Sales for the nine months ended April 30, 2008, increased 12.6% to $1,126.2 million, compared to $999.9 million in the same period of fiscal 2007. Of the increase in sales, organic sales declined 0.2%, acquisitions added 6.8% and the effects of fluctuations in the exchange rates used to translate financial results into the United States dollar added 6.0%. Net income for the nine months ended April 30, 2008, was $97.4 million or $1.77 per diluted Class A Nonvoting Common Share, up 17.2% and 16.4%, respectively, from $83.1 million or $1.52 per diluted Class A Nonvoting Common Share reported in the same period of the prior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comparability of the operating results for the three and nine months ended April 30, 2008, to the same periods of the prior year has been significantly impacted by the following acquisitions completed in fiscal 2008 and fiscal 2007.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58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56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Date Completed</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Comprehensive Identification Products, Inc. (“CIPI”)</w:t>
            </w:r>
          </w:p>
        </w:tc>
        <w:tc>
          <w:tcPr>
            <w:tcW w:w="580" w:type="dxa"/>
            <w:vAlign w:val="bottom"/>
            <w:shd w:val="clear" w:color="auto" w:fill="CCEEFF"/>
          </w:tcPr>
          <w:p>
            <w:pPr>
              <w:spacing w:after="0"/>
              <w:rPr>
                <w:sz w:val="16"/>
                <w:szCs w:val="16"/>
                <w:color w:val="auto"/>
              </w:rPr>
            </w:pPr>
          </w:p>
        </w:tc>
        <w:tc>
          <w:tcPr>
            <w:tcW w:w="3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Direct Marketing &amp; People ID Americas,</w:t>
            </w:r>
          </w:p>
        </w:tc>
        <w:tc>
          <w:tcPr>
            <w:tcW w:w="560" w:type="dxa"/>
            <w:vAlign w:val="bottom"/>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August 2006</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Europe, &amp; Asia-Pacific</w:t>
            </w: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Precision Converters, L.P. (“Precision Converters”)</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Brady Americas</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October 2006</w:t>
            </w:r>
          </w:p>
        </w:tc>
      </w:tr>
      <w:tr>
        <w:trPr>
          <w:trHeight w:val="202"/>
        </w:trPr>
        <w:tc>
          <w:tcPr>
            <w:tcW w:w="20" w:type="dxa"/>
            <w:vAlign w:val="bottom"/>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Scafftag, Ltd., Safetrak, Ltd. and Scafftag Pty., Ltd.</w:t>
            </w:r>
          </w:p>
        </w:tc>
        <w:tc>
          <w:tcPr>
            <w:tcW w:w="580" w:type="dxa"/>
            <w:vAlign w:val="bottom"/>
            <w:shd w:val="clear" w:color="auto" w:fill="CCEEFF"/>
          </w:tcPr>
          <w:p>
            <w:pPr>
              <w:spacing w:after="0"/>
              <w:rPr>
                <w:sz w:val="17"/>
                <w:szCs w:val="17"/>
                <w:color w:val="auto"/>
              </w:rPr>
            </w:pPr>
          </w:p>
        </w:tc>
        <w:tc>
          <w:tcPr>
            <w:tcW w:w="3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Brady Americas, Europe, &amp; Asia-Pacific</w:t>
            </w:r>
          </w:p>
        </w:tc>
        <w:tc>
          <w:tcPr>
            <w:tcW w:w="56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December 2006</w:t>
            </w:r>
          </w:p>
        </w:tc>
      </w:tr>
      <w:tr>
        <w:trPr>
          <w:trHeight w:val="230"/>
        </w:trPr>
        <w:tc>
          <w:tcPr>
            <w:tcW w:w="20" w:type="dxa"/>
            <w:vAlign w:val="bottom"/>
          </w:tcPr>
          <w:p>
            <w:pPr>
              <w:spacing w:after="0"/>
              <w:rPr>
                <w:sz w:val="20"/>
                <w:szCs w:val="20"/>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(collectively “Scafftag”)</w:t>
            </w:r>
          </w:p>
        </w:tc>
        <w:tc>
          <w:tcPr>
            <w:tcW w:w="5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Asterisco Artes Graficas Ltda. (“Asterisco”)</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Brady Americas</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December 2006</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Modernotecnica SpA (“Moderno”)</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Europe</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December 2006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Clement Communications, Inc. (“Clement”)</w:t>
            </w:r>
          </w:p>
        </w:tc>
        <w:tc>
          <w:tcPr>
            <w:tcW w:w="58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Direct Marketing &amp; People ID Americas</w:t>
            </w:r>
          </w:p>
        </w:tc>
        <w:tc>
          <w:tcPr>
            <w:tcW w:w="5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February 2007</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Sorbent Products Co., Inc. (“SPC”)</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Brady Americas, Europe &amp; Asia-Pacific</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April 2007</w:t>
            </w: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w w:val="89"/>
              </w:rPr>
              <w:t>Transposafe Systems B.V. and Holland Mounting Systems B.V.</w:t>
            </w:r>
          </w:p>
        </w:tc>
        <w:tc>
          <w:tcPr>
            <w:tcW w:w="580" w:type="dxa"/>
            <w:vAlign w:val="bottom"/>
          </w:tcPr>
          <w:p>
            <w:pPr>
              <w:spacing w:after="0"/>
              <w:rPr>
                <w:sz w:val="17"/>
                <w:szCs w:val="17"/>
                <w:color w:val="auto"/>
              </w:rPr>
            </w:pP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89"/>
              </w:rPr>
              <w:t>Europe</w:t>
            </w:r>
          </w:p>
        </w:tc>
        <w:tc>
          <w:tcPr>
            <w:tcW w:w="560" w:type="dxa"/>
            <w:vAlign w:val="bottom"/>
          </w:tcPr>
          <w:p>
            <w:pPr>
              <w:spacing w:after="0"/>
              <w:rPr>
                <w:sz w:val="17"/>
                <w:szCs w:val="17"/>
                <w:color w:val="auto"/>
              </w:rPr>
            </w:pP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0"/>
              </w:rPr>
              <w:t>November 2007</w:t>
            </w:r>
          </w:p>
        </w:tc>
      </w:tr>
      <w:tr>
        <w:trPr>
          <w:trHeight w:val="230"/>
        </w:trPr>
        <w:tc>
          <w:tcPr>
            <w:tcW w:w="20" w:type="dxa"/>
            <w:vAlign w:val="bottom"/>
          </w:tcPr>
          <w:p>
            <w:pPr>
              <w:spacing w:after="0"/>
              <w:rPr>
                <w:sz w:val="20"/>
                <w:szCs w:val="20"/>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(collectively “Transposafe”)</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DAWG, Inc. (“DAWG”)</w:t>
            </w:r>
          </w:p>
        </w:tc>
        <w:tc>
          <w:tcPr>
            <w:tcW w:w="58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Direct Marketing &amp; People ID Americas</w:t>
            </w: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2008</w:t>
            </w:r>
          </w:p>
        </w:tc>
      </w:tr>
      <w:tr>
        <w:trPr>
          <w:trHeight w:val="40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0" w:type="dxa"/>
            <w:vAlign w:val="bottom"/>
            <w:gridSpan w:val="2"/>
          </w:tcPr>
          <w:p>
            <w:pPr>
              <w:jc w:val="right"/>
              <w:ind w:right="2692"/>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80" w:firstLine="225"/>
        <w:spacing w:after="0" w:line="271" w:lineRule="auto"/>
        <w:rPr>
          <w:sz w:val="20"/>
          <w:szCs w:val="20"/>
          <w:color w:val="auto"/>
        </w:rPr>
      </w:pPr>
      <w:r>
        <w:rPr>
          <w:rFonts w:ascii="Arial" w:cs="Arial" w:eastAsia="Arial" w:hAnsi="Arial"/>
          <w:sz w:val="17"/>
          <w:szCs w:val="17"/>
          <w:color w:val="auto"/>
        </w:rPr>
        <w:t>Sales for the three months ended April 30, 2008, increased 10.3% compared to the same period in fiscal 2007. The increase was comprised of a decline in organic sales of 1.2%, an increase of 5.0% due to the acquisitions listed in the above table, and an increase of 6.5% due to the effect of currencies on sales. Declining organic sales for the quarter were the result of a 2.4% and 7.4% decline in the organic sales in the Direct Marketing Americas and Asia-Pacific segments, respectively, partially offset by 3.6% growth in the Brady Americas segment and 0.1% growth in Europe. Organic sales in the Brady Americas segment were driven by solid results in the education and industrial OEM markets. The declines in the Direct Marketing Americas segment were the result of slowing in the construction and manufacturing markets. The Asia-Pacific segment experienced decreases in organic sales resulting from weakness in certain segments of the mobile handset market, the Company’s decision to deemphasize low-margin business in the mobile handset space, and continued pricing pressures in the mobile handset market.</w:t>
      </w:r>
    </w:p>
    <w:p>
      <w:pPr>
        <w:spacing w:after="0" w:line="71"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Sales for the nine months ended April 30, 2008, increased 12.6% compared to the same period in fiscal 2007. The increase was comprised of a slight decline in organic sales of 0.2%, an increase of 6.8% due to the acquisitions listed above, and an increase of 6.0% due to the effect of currencies on sales. The solid organic growth in the Brady Americas segment of 4.6%, in addition to the slight increase in organic sales in Europe of 0.6%, was offset by a decrease in the Direct Marketing Americas segment of 1.3% and a decline of 5.0% in the Asia-Pacific segment. On a year-to-date basis, solid organic growth in the Brady Americas segment was driven by positive results across multiple markets, including safety and industrial identification, laboratory, and education. The decline in organic sales in the Asia-Pacific segment on a year-to-date basis was due to factors mentioned above.</w:t>
      </w:r>
    </w:p>
    <w:p>
      <w:pPr>
        <w:spacing w:after="0" w:line="70"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Gross margin as a percentage of sales increased to 49.6% from 48.8% for the quarter and to 49.0% from 48.4% for the nine months ended April 30, 2008, compared to the same periods of the previous year. The increase in gross margin as a percentage of sales was primarily the result of cost reduction actions taken during fiscal 2007 and fiscal 2008.</w:t>
      </w:r>
    </w:p>
    <w:p>
      <w:pPr>
        <w:spacing w:after="0" w:line="73" w:lineRule="exact"/>
        <w:rPr>
          <w:sz w:val="20"/>
          <w:szCs w:val="20"/>
          <w:color w:val="auto"/>
        </w:rPr>
      </w:pPr>
    </w:p>
    <w:p>
      <w:pPr>
        <w:ind w:right="400" w:firstLine="225"/>
        <w:spacing w:after="0" w:line="257" w:lineRule="auto"/>
        <w:rPr>
          <w:sz w:val="20"/>
          <w:szCs w:val="20"/>
          <w:color w:val="auto"/>
        </w:rPr>
      </w:pPr>
      <w:r>
        <w:rPr>
          <w:rFonts w:ascii="Arial" w:cs="Arial" w:eastAsia="Arial" w:hAnsi="Arial"/>
          <w:sz w:val="18"/>
          <w:szCs w:val="18"/>
          <w:color w:val="auto"/>
        </w:rPr>
        <w:t>Research and development (“R&amp;D”) expenses increased 17.6% to $10.3 million for the quarter and 11.3% to $29.3 million for the nine months ended April 30, 2008, compared to $8.7 million and $26.4 million for the same periods in the prior year, respectively. As a percentage of sales, R&amp;D expenses represented a slightly higher percentage of sales, increasing to 2.7% in the third quarter of fiscal 2008 from 2.5% in the third quarter of fiscal 2007, and remained at 2.6% in the first nine months of fiscal 2008 compared to 2.6% in the first nine months of fiscal 2007, reflecting the Company’s continuing commitment to investing in new product development.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(“SG&amp;A”) expenses increased 11.1% to $126.7 million for the three months ended April 30, 2008,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$114.1 million for the same period in the prior year and 13.3% to $369.6 million for the nine months ended April 30, 2008, compared to $326.1 million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same period in the prior year. The increase in SG&amp;A expenses was primarily the result of the effect of currencies and acquisitions made during fiscal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2008. As a percentage of sales, SG&amp;A expenses increased to 33.2% from 32.9% for the quarter and to 32.8% from 32.6%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30, 2008, compared to the same periods in the prior year.</w:t>
      </w:r>
    </w:p>
    <w:p>
      <w:pPr>
        <w:spacing w:after="0" w:line="103" w:lineRule="exact"/>
        <w:rPr>
          <w:sz w:val="20"/>
          <w:szCs w:val="20"/>
          <w:color w:val="auto"/>
        </w:rPr>
      </w:pPr>
    </w:p>
    <w:p>
      <w:pPr>
        <w:jc w:val="both"/>
        <w:ind w:right="180" w:firstLine="225"/>
        <w:spacing w:after="0" w:line="286" w:lineRule="auto"/>
        <w:rPr>
          <w:sz w:val="20"/>
          <w:szCs w:val="20"/>
          <w:color w:val="auto"/>
        </w:rPr>
      </w:pPr>
      <w:r>
        <w:rPr>
          <w:rFonts w:ascii="Arial" w:cs="Arial" w:eastAsia="Arial" w:hAnsi="Arial"/>
          <w:sz w:val="17"/>
          <w:szCs w:val="17"/>
          <w:color w:val="auto"/>
        </w:rPr>
        <w:t>Interest expense increased to $7.0 million from $6.4 million for the quarter and to $20.4 million from $16.4 million for the three and nine months ended April 30, 2008, compared to the same periods in the prior year. The increase in interest expense for the three and nine months ended April 30, 2008 was due to interest on the $150 million private placement of senior notes that the Company completed in the third quarter of fiscal 2007.</w:t>
      </w:r>
    </w:p>
    <w:p>
      <w:pPr>
        <w:spacing w:after="0" w:line="5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Other income and expense increased to $0.9 million of income for the quarter and to $3.3 million of income for the nine months ended April 30, 2008, compared to $0.4 million of income and $0.9 million of income for the same periods in the prior year, respectively. Of the $0.9 million in other income for the three months ended April 30, 2008, $1.4 million was the result of interest income generated from investments of excess cash, partially offset by $0.7 million of foreign exchange losses. Other income and expense for the three months ended April 30, 2007 consisted primarily of $0.6 million of interest income, partially offset by $0.4 million of foreign exchange losses. For the nine months ended April 30, 2008, of the $3.3 million of other income, $4.3 million was related to interest income generated from investments, partially offset by $1.3 million in foreign exchange losses. Other income for the nine months ended April 30, 2007, consisted primarily of $1.4 million was related to interest income, partially offset by $0.8 million of foreign exchange losses.</w:t>
      </w:r>
    </w:p>
    <w:p>
      <w:pPr>
        <w:spacing w:after="0" w:line="59" w:lineRule="exact"/>
        <w:rPr>
          <w:sz w:val="20"/>
          <w:szCs w:val="20"/>
          <w:color w:val="auto"/>
        </w:rPr>
      </w:pPr>
    </w:p>
    <w:p>
      <w:pPr>
        <w:ind w:right="260" w:firstLine="222"/>
        <w:spacing w:after="0" w:line="302" w:lineRule="auto"/>
        <w:rPr>
          <w:sz w:val="20"/>
          <w:szCs w:val="20"/>
          <w:color w:val="auto"/>
        </w:rPr>
      </w:pPr>
      <w:r>
        <w:rPr>
          <w:rFonts w:ascii="Arial" w:cs="Arial" w:eastAsia="Arial" w:hAnsi="Arial"/>
          <w:sz w:val="16"/>
          <w:szCs w:val="16"/>
          <w:color w:val="auto"/>
        </w:rPr>
        <w:t>The Company’s effective tax rate was 26.2% for the quarter, and 28.5% for the nine months ended April 30, 2008, compared to 28.0% for the three and nine months ended April 30, 2007. The Company recognized approximately $2 million in income tax benefits due to the expiration of various statutes of limitations, resulting in an effective tax rate of 26.2% during the third quarter of fiscal 2008. On a year-to-date basis, the increased tax rate in fiscal 2008 is primarily due to increased profits in higher tax countries. The Company expects the full year effective tax rate for fiscal 2008 to be approximately 29%.</w:t>
      </w:r>
    </w:p>
    <w:p>
      <w:pPr>
        <w:spacing w:after="0" w:line="46"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Net income for the three months ended April 30, 2008, increased 18.5% to $34.4 million, compared to $29.0 million for the same quarter of the previous year. Net income as a percentage of sales increased to 9.0% from 8.4% for the quarter ended April 30, 2008, compared to the same period in the prior year, due to the factors noted above. For the nine months ended April 30, 2008, net income increased 17.2% to $97.4 million, compared to $83.1 million for the same period in the previous year. As a percentage of sales, net income increased to 8.6% from 8.3% for the nine months ended April 30, 2008, compared to the same period in the previous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Effective August 1, 2007, the Company revised its reportable segments as a result of organizational changes within the executive leadership team. Management of the Company now evaluates results based on the following businesses: Brady Americas, Direct Marketing &amp; People ID Americas, Europe, and Asia-Pacific.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center"/>
              <w:ind w:right="253"/>
              <w:spacing w:after="0"/>
              <w:rPr>
                <w:sz w:val="20"/>
                <w:szCs w:val="20"/>
                <w:color w:val="auto"/>
              </w:rPr>
            </w:pPr>
            <w:r>
              <w:rPr>
                <w:rFonts w:ascii="Arial" w:cs="Arial" w:eastAsia="Arial" w:hAnsi="Arial"/>
                <w:sz w:val="14"/>
                <w:szCs w:val="14"/>
                <w:color w:val="auto"/>
                <w:w w:val="98"/>
              </w:rPr>
              <w:t>Direct</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Marketing &amp;</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4"/>
          </w:tcPr>
          <w:p>
            <w:pPr>
              <w:jc w:val="center"/>
              <w:ind w:right="180"/>
              <w:spacing w:after="0" w:line="149" w:lineRule="exact"/>
              <w:rPr>
                <w:sz w:val="20"/>
                <w:szCs w:val="20"/>
                <w:color w:val="auto"/>
              </w:rPr>
            </w:pPr>
            <w:r>
              <w:rPr>
                <w:rFonts w:ascii="Arial" w:cs="Arial" w:eastAsia="Arial" w:hAnsi="Arial"/>
                <w:sz w:val="14"/>
                <w:szCs w:val="14"/>
                <w:color w:val="auto"/>
                <w:w w:val="93"/>
              </w:rPr>
              <w:t>Corporate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Brady</w:t>
            </w:r>
          </w:p>
        </w:tc>
        <w:tc>
          <w:tcPr>
            <w:tcW w:w="320" w:type="dxa"/>
            <w:vAlign w:val="bottom"/>
          </w:tcPr>
          <w:p>
            <w:pPr>
              <w:spacing w:after="0"/>
              <w:rPr>
                <w:sz w:val="12"/>
                <w:szCs w:val="12"/>
                <w:color w:val="auto"/>
              </w:rPr>
            </w:pPr>
          </w:p>
        </w:tc>
        <w:tc>
          <w:tcPr>
            <w:tcW w:w="980" w:type="dxa"/>
            <w:vAlign w:val="bottom"/>
          </w:tcPr>
          <w:p>
            <w:pPr>
              <w:jc w:val="center"/>
              <w:ind w:right="273"/>
              <w:spacing w:after="0" w:line="149" w:lineRule="exact"/>
              <w:rPr>
                <w:sz w:val="20"/>
                <w:szCs w:val="20"/>
                <w:color w:val="auto"/>
              </w:rPr>
            </w:pPr>
            <w:r>
              <w:rPr>
                <w:rFonts w:ascii="Arial" w:cs="Arial" w:eastAsia="Arial" w:hAnsi="Arial"/>
                <w:sz w:val="14"/>
                <w:szCs w:val="14"/>
                <w:color w:val="auto"/>
                <w:w w:val="94"/>
              </w:rPr>
              <w:t>People ID</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Asia-</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3"/>
          </w:tcPr>
          <w:p>
            <w:pPr>
              <w:jc w:val="center"/>
              <w:ind w:right="560"/>
              <w:spacing w:after="0" w:line="149" w:lineRule="exact"/>
              <w:rPr>
                <w:sz w:val="20"/>
                <w:szCs w:val="20"/>
                <w:color w:val="auto"/>
              </w:rPr>
            </w:pPr>
            <w:r>
              <w:rPr>
                <w:rFonts w:ascii="Arial" w:cs="Arial" w:eastAsia="Arial" w:hAnsi="Arial"/>
                <w:sz w:val="14"/>
                <w:szCs w:val="14"/>
                <w:color w:val="auto"/>
                <w:w w:val="85"/>
              </w:rPr>
              <w:t>and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4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960" w:type="dxa"/>
            <w:vAlign w:val="bottom"/>
          </w:tcPr>
          <w:p>
            <w:pPr>
              <w:jc w:val="right"/>
              <w:ind w:right="272"/>
              <w:spacing w:after="0"/>
              <w:rPr>
                <w:sz w:val="20"/>
                <w:szCs w:val="20"/>
                <w:color w:val="auto"/>
              </w:rPr>
            </w:pPr>
            <w:r>
              <w:rPr>
                <w:rFonts w:ascii="Arial" w:cs="Arial" w:eastAsia="Arial" w:hAnsi="Arial"/>
                <w:sz w:val="14"/>
                <w:szCs w:val="14"/>
                <w:color w:val="auto"/>
                <w:w w:val="99"/>
              </w:rPr>
              <w:t>Americas</w:t>
            </w:r>
          </w:p>
        </w:tc>
        <w:tc>
          <w:tcPr>
            <w:tcW w:w="320" w:type="dxa"/>
            <w:vAlign w:val="bottom"/>
          </w:tcPr>
          <w:p>
            <w:pPr>
              <w:spacing w:after="0"/>
              <w:rPr>
                <w:sz w:val="14"/>
                <w:szCs w:val="14"/>
                <w:color w:val="auto"/>
              </w:rPr>
            </w:pPr>
          </w:p>
        </w:tc>
        <w:tc>
          <w:tcPr>
            <w:tcW w:w="980" w:type="dxa"/>
            <w:vAlign w:val="bottom"/>
          </w:tcPr>
          <w:p>
            <w:pPr>
              <w:jc w:val="center"/>
              <w:ind w:right="273"/>
              <w:spacing w:after="0"/>
              <w:rPr>
                <w:sz w:val="20"/>
                <w:szCs w:val="20"/>
                <w:color w:val="auto"/>
              </w:rPr>
            </w:pPr>
            <w:r>
              <w:rPr>
                <w:rFonts w:ascii="Arial" w:cs="Arial" w:eastAsia="Arial" w:hAnsi="Arial"/>
                <w:sz w:val="14"/>
                <w:szCs w:val="14"/>
                <w:color w:val="auto"/>
                <w:w w:val="92"/>
              </w:rPr>
              <w:t>Americas</w:t>
            </w:r>
          </w:p>
        </w:tc>
        <w:tc>
          <w:tcPr>
            <w:tcW w:w="32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color w:val="auto"/>
              </w:rPr>
              <w:t>Europe</w:t>
            </w:r>
          </w:p>
        </w:tc>
        <w:tc>
          <w:tcPr>
            <w:tcW w:w="320" w:type="dxa"/>
            <w:vAlign w:val="bottom"/>
          </w:tcPr>
          <w:p>
            <w:pPr>
              <w:spacing w:after="0"/>
              <w:rPr>
                <w:sz w:val="14"/>
                <w:szCs w:val="14"/>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4"/>
                <w:szCs w:val="14"/>
                <w:color w:val="auto"/>
              </w:rPr>
              <w:t>Pacific</w:t>
            </w:r>
          </w:p>
        </w:tc>
        <w:tc>
          <w:tcPr>
            <w:tcW w:w="300" w:type="dxa"/>
            <w:vAlign w:val="bottom"/>
          </w:tcPr>
          <w:p>
            <w:pPr>
              <w:spacing w:after="0"/>
              <w:rPr>
                <w:sz w:val="14"/>
                <w:szCs w:val="14"/>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4"/>
                <w:szCs w:val="14"/>
                <w:color w:val="auto"/>
                <w:w w:val="95"/>
              </w:rPr>
              <w:t>Subtotals</w:t>
            </w:r>
          </w:p>
        </w:tc>
        <w:tc>
          <w:tcPr>
            <w:tcW w:w="1320" w:type="dxa"/>
            <w:vAlign w:val="bottom"/>
            <w:gridSpan w:val="4"/>
          </w:tcPr>
          <w:p>
            <w:pPr>
              <w:jc w:val="center"/>
              <w:ind w:right="180"/>
              <w:spacing w:after="0"/>
              <w:rPr>
                <w:sz w:val="20"/>
                <w:szCs w:val="20"/>
                <w:color w:val="auto"/>
              </w:rPr>
            </w:pPr>
            <w:r>
              <w:rPr>
                <w:rFonts w:ascii="Arial" w:cs="Arial" w:eastAsia="Arial" w:hAnsi="Arial"/>
                <w:sz w:val="14"/>
                <w:szCs w:val="14"/>
                <w:color w:val="auto"/>
                <w:w w:val="98"/>
              </w:rPr>
              <w:t>Eliminations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 TO EXTERNAL</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9"/>
              </w:rPr>
              <w:t>100,425</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65,982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6"/>
              </w:rPr>
              <w:t>133,422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82,080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8"/>
              </w:rPr>
              <w:t>381,909</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8"/>
              </w:rPr>
              <w:t>381,909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April 30, 2007</w:t>
            </w:r>
          </w:p>
        </w:tc>
        <w:tc>
          <w:tcPr>
            <w:tcW w:w="140" w:type="dxa"/>
            <w:vAlign w:val="bottom"/>
          </w:tcPr>
          <w:p>
            <w:pPr>
              <w:spacing w:after="0"/>
              <w:rPr>
                <w:sz w:val="20"/>
                <w:szCs w:val="20"/>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88,077</w:t>
            </w:r>
          </w:p>
        </w:tc>
        <w:tc>
          <w:tcPr>
            <w:tcW w:w="320" w:type="dxa"/>
            <w:vAlign w:val="bottom"/>
          </w:tcPr>
          <w:p>
            <w:pPr>
              <w:spacing w:after="0"/>
              <w:rPr>
                <w:sz w:val="20"/>
                <w:szCs w:val="20"/>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65,784</w:t>
            </w:r>
          </w:p>
        </w:tc>
        <w:tc>
          <w:tcPr>
            <w:tcW w:w="320" w:type="dxa"/>
            <w:vAlign w:val="bottom"/>
          </w:tcPr>
          <w:p>
            <w:pPr>
              <w:spacing w:after="0"/>
              <w:rPr>
                <w:sz w:val="20"/>
                <w:szCs w:val="20"/>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color w:val="auto"/>
                <w:w w:val="86"/>
              </w:rPr>
              <w:t>111,266</w:t>
            </w:r>
          </w:p>
        </w:tc>
        <w:tc>
          <w:tcPr>
            <w:tcW w:w="320" w:type="dxa"/>
            <w:vAlign w:val="bottom"/>
          </w:tcPr>
          <w:p>
            <w:pPr>
              <w:spacing w:after="0"/>
              <w:rPr>
                <w:sz w:val="20"/>
                <w:szCs w:val="20"/>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8"/>
                <w:szCs w:val="18"/>
                <w:color w:val="auto"/>
              </w:rPr>
              <w:t>81,205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98"/>
              </w:rPr>
              <w:t>346,332</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w w:val="98"/>
              </w:rPr>
              <w:t>346,332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w w:val="89"/>
              </w:rPr>
              <w:t>300,963</w:t>
            </w:r>
          </w:p>
        </w:tc>
        <w:tc>
          <w:tcPr>
            <w:tcW w:w="320" w:type="dxa"/>
            <w:vAlign w:val="bottom"/>
          </w:tcPr>
          <w:p>
            <w:pPr>
              <w:ind w:left="24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93"/>
              <w:spacing w:after="0"/>
              <w:rPr>
                <w:sz w:val="20"/>
                <w:szCs w:val="20"/>
                <w:color w:val="auto"/>
              </w:rPr>
            </w:pPr>
            <w:r>
              <w:rPr>
                <w:rFonts w:ascii="Arial" w:cs="Arial" w:eastAsia="Arial" w:hAnsi="Arial"/>
                <w:sz w:val="18"/>
                <w:szCs w:val="18"/>
                <w:color w:val="auto"/>
                <w:w w:val="89"/>
              </w:rPr>
              <w:t>196,840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1"/>
              <w:spacing w:after="0"/>
              <w:rPr>
                <w:sz w:val="20"/>
                <w:szCs w:val="20"/>
                <w:color w:val="auto"/>
              </w:rPr>
            </w:pPr>
            <w:r>
              <w:rPr>
                <w:rFonts w:ascii="Arial" w:cs="Arial" w:eastAsia="Arial" w:hAnsi="Arial"/>
                <w:sz w:val="18"/>
                <w:szCs w:val="18"/>
                <w:color w:val="auto"/>
                <w:w w:val="86"/>
              </w:rPr>
              <w:t>364,951</w:t>
            </w:r>
          </w:p>
        </w:tc>
        <w:tc>
          <w:tcPr>
            <w:tcW w:w="1180" w:type="dxa"/>
            <w:vAlign w:val="bottom"/>
            <w:gridSpan w:val="3"/>
          </w:tcPr>
          <w:p>
            <w:pPr>
              <w:jc w:val="right"/>
              <w:ind w:right="179"/>
              <w:spacing w:after="0"/>
              <w:rPr>
                <w:sz w:val="20"/>
                <w:szCs w:val="20"/>
                <w:color w:val="auto"/>
              </w:rPr>
            </w:pPr>
            <w:r>
              <w:rPr>
                <w:rFonts w:ascii="Arial" w:cs="Arial" w:eastAsia="Arial" w:hAnsi="Arial"/>
                <w:sz w:val="18"/>
                <w:szCs w:val="18"/>
                <w:color w:val="auto"/>
              </w:rPr>
              <w:t>$263,413</w:t>
            </w:r>
          </w:p>
        </w:tc>
        <w:tc>
          <w:tcPr>
            <w:tcW w:w="200" w:type="dxa"/>
            <w:vAlign w:val="bottom"/>
          </w:tcPr>
          <w:p>
            <w:pPr>
              <w:spacing w:after="0"/>
              <w:rPr>
                <w:sz w:val="18"/>
                <w:szCs w:val="18"/>
                <w:color w:val="auto"/>
              </w:rPr>
            </w:pPr>
          </w:p>
        </w:tc>
        <w:tc>
          <w:tcPr>
            <w:tcW w:w="1160" w:type="dxa"/>
            <w:vAlign w:val="bottom"/>
            <w:gridSpan w:val="3"/>
          </w:tcPr>
          <w:p>
            <w:pPr>
              <w:jc w:val="right"/>
              <w:ind w:right="128"/>
              <w:spacing w:after="0"/>
              <w:rPr>
                <w:sz w:val="20"/>
                <w:szCs w:val="20"/>
                <w:color w:val="auto"/>
              </w:rPr>
            </w:pPr>
            <w:r>
              <w:rPr>
                <w:rFonts w:ascii="Arial" w:cs="Arial" w:eastAsia="Arial" w:hAnsi="Arial"/>
                <w:sz w:val="18"/>
                <w:szCs w:val="18"/>
                <w:color w:val="auto"/>
              </w:rPr>
              <w:t>$1,126,167</w:t>
            </w: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88"/>
              <w:spacing w:after="0"/>
              <w:rPr>
                <w:sz w:val="20"/>
                <w:szCs w:val="20"/>
                <w:color w:val="auto"/>
              </w:rPr>
            </w:pPr>
            <w:r>
              <w:rPr>
                <w:rFonts w:ascii="Arial" w:cs="Arial" w:eastAsia="Arial" w:hAnsi="Arial"/>
                <w:sz w:val="18"/>
                <w:szCs w:val="18"/>
                <w:color w:val="auto"/>
              </w:rPr>
              <w:t>$1,126,167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2007</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9"/>
              </w:rPr>
              <w:t>251,346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w w:val="89"/>
              </w:rPr>
              <w:t>189,446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86"/>
              </w:rPr>
              <w:t>302,477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w w:val="89"/>
              </w:rPr>
              <w:t>256,597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8"/>
              </w:rPr>
              <w:t>999,866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8"/>
              </w:rPr>
              <w:t>999,866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SALES GROWTH</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Three months ended</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00"/>
              <w:spacing w:after="0"/>
              <w:rPr>
                <w:sz w:val="20"/>
                <w:szCs w:val="20"/>
                <w:color w:val="auto"/>
              </w:rPr>
            </w:pPr>
            <w:r>
              <w:rPr>
                <w:rFonts w:ascii="Arial" w:cs="Arial" w:eastAsia="Arial" w:hAnsi="Arial"/>
                <w:sz w:val="18"/>
                <w:szCs w:val="18"/>
                <w:color w:val="auto"/>
              </w:rPr>
              <w:t>Base</w:t>
            </w:r>
          </w:p>
        </w:tc>
        <w:tc>
          <w:tcPr>
            <w:tcW w:w="1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0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418"/>
        </w:trPr>
        <w:tc>
          <w:tcPr>
            <w:tcW w:w="2340" w:type="dxa"/>
            <w:vAlign w:val="bottom"/>
            <w:gridSpan w:val="2"/>
          </w:tcPr>
          <w:p>
            <w:pPr>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400"/>
              <w:spacing w:after="0"/>
              <w:rPr>
                <w:sz w:val="20"/>
                <w:szCs w:val="20"/>
                <w:color w:val="auto"/>
              </w:rPr>
            </w:pPr>
            <w:r>
              <w:rPr>
                <w:rFonts w:ascii="Arial" w:cs="Arial" w:eastAsia="Arial" w:hAnsi="Arial"/>
                <w:sz w:val="18"/>
                <w:szCs w:val="18"/>
                <w:color w:val="auto"/>
              </w:rPr>
              <w:t>Currency</w:t>
            </w:r>
          </w:p>
        </w:tc>
        <w:tc>
          <w:tcPr>
            <w:tcW w:w="1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6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22,692</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17,477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36,245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11,055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87,469</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$(1,816)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85,653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April 30, 2007</w:t>
            </w:r>
          </w:p>
        </w:tc>
        <w:tc>
          <w:tcPr>
            <w:tcW w:w="1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20,245</w:t>
            </w:r>
          </w:p>
        </w:tc>
        <w:tc>
          <w:tcPr>
            <w:tcW w:w="32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17,768</w:t>
            </w:r>
          </w:p>
        </w:tc>
        <w:tc>
          <w:tcPr>
            <w:tcW w:w="32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29,370</w:t>
            </w:r>
          </w:p>
        </w:tc>
        <w:tc>
          <w:tcPr>
            <w:tcW w:w="320" w:type="dxa"/>
            <w:vAlign w:val="bottom"/>
          </w:tcPr>
          <w:p>
            <w:pPr>
              <w:spacing w:after="0"/>
              <w:rPr>
                <w:sz w:val="18"/>
                <w:szCs w:val="18"/>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8"/>
                <w:szCs w:val="18"/>
                <w:color w:val="auto"/>
              </w:rPr>
              <w:t>11,861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rPr>
              <w:t>79,244</w:t>
            </w:r>
          </w:p>
        </w:tc>
        <w:tc>
          <w:tcPr>
            <w:tcW w:w="280" w:type="dxa"/>
            <w:vAlign w:val="bottom"/>
          </w:tcPr>
          <w:p>
            <w:pPr>
              <w:spacing w:after="0"/>
              <w:rPr>
                <w:sz w:val="18"/>
                <w:szCs w:val="18"/>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rPr>
              <w:t>77,386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32"/>
        </w:trPr>
        <w:tc>
          <w:tcPr>
            <w:tcW w:w="2340" w:type="dxa"/>
            <w:vAlign w:val="bottom"/>
            <w:gridSpan w:val="2"/>
          </w:tcPr>
          <w:p>
            <w:pPr>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April 30, 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66,667</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49,645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rPr>
              <w:t>97,212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43,105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8"/>
              </w:rPr>
              <w:t>256,629</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8"/>
              </w:rPr>
              <w:t>250,229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April 30, 2007</w:t>
            </w:r>
          </w:p>
        </w:tc>
        <w:tc>
          <w:tcPr>
            <w:tcW w:w="1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55,433</w:t>
            </w:r>
          </w:p>
        </w:tc>
        <w:tc>
          <w:tcPr>
            <w:tcW w:w="320" w:type="dxa"/>
            <w:vAlign w:val="bottom"/>
          </w:tcPr>
          <w:p>
            <w:pPr>
              <w:spacing w:after="0"/>
              <w:rPr>
                <w:sz w:val="18"/>
                <w:szCs w:val="18"/>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49,491</w:t>
            </w:r>
          </w:p>
        </w:tc>
        <w:tc>
          <w:tcPr>
            <w:tcW w:w="320" w:type="dxa"/>
            <w:vAlign w:val="bottom"/>
          </w:tcPr>
          <w:p>
            <w:pPr>
              <w:spacing w:after="0"/>
              <w:rPr>
                <w:sz w:val="18"/>
                <w:szCs w:val="18"/>
                <w:color w:val="auto"/>
              </w:rPr>
            </w:pPr>
          </w:p>
        </w:tc>
        <w:tc>
          <w:tcPr>
            <w:tcW w:w="960" w:type="dxa"/>
            <w:vAlign w:val="bottom"/>
          </w:tcPr>
          <w:p>
            <w:pPr>
              <w:jc w:val="right"/>
              <w:ind w:right="291"/>
              <w:spacing w:after="0"/>
              <w:rPr>
                <w:sz w:val="20"/>
                <w:szCs w:val="20"/>
                <w:color w:val="auto"/>
              </w:rPr>
            </w:pPr>
            <w:r>
              <w:rPr>
                <w:rFonts w:ascii="Arial" w:cs="Arial" w:eastAsia="Arial" w:hAnsi="Arial"/>
                <w:sz w:val="18"/>
                <w:szCs w:val="18"/>
                <w:color w:val="auto"/>
              </w:rPr>
              <w:t>74,979</w:t>
            </w:r>
          </w:p>
        </w:tc>
        <w:tc>
          <w:tcPr>
            <w:tcW w:w="320" w:type="dxa"/>
            <w:vAlign w:val="bottom"/>
          </w:tcPr>
          <w:p>
            <w:pPr>
              <w:spacing w:after="0"/>
              <w:rPr>
                <w:sz w:val="18"/>
                <w:szCs w:val="18"/>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8"/>
                <w:szCs w:val="18"/>
                <w:color w:val="auto"/>
              </w:rPr>
              <w:t>46,392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98"/>
              </w:rPr>
              <w:t>226,295</w:t>
            </w:r>
          </w:p>
        </w:tc>
        <w:tc>
          <w:tcPr>
            <w:tcW w:w="280" w:type="dxa"/>
            <w:vAlign w:val="bottom"/>
          </w:tcPr>
          <w:p>
            <w:pPr>
              <w:spacing w:after="0"/>
              <w:rPr>
                <w:sz w:val="18"/>
                <w:szCs w:val="18"/>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color w:val="auto"/>
              </w:rPr>
              <w:t>(7,496)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88"/>
              <w:spacing w:after="0"/>
              <w:rPr>
                <w:sz w:val="20"/>
                <w:szCs w:val="20"/>
                <w:color w:val="auto"/>
              </w:rPr>
            </w:pPr>
            <w:r>
              <w:rPr>
                <w:rFonts w:ascii="Arial" w:cs="Arial" w:eastAsia="Arial" w:hAnsi="Arial"/>
                <w:sz w:val="18"/>
                <w:szCs w:val="18"/>
                <w:color w:val="auto"/>
                <w:w w:val="98"/>
              </w:rPr>
              <w:t>218,799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432"/>
        </w:trPr>
        <w:tc>
          <w:tcPr>
            <w:tcW w:w="474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(Dollars in thousands)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280"/>
              <w:spacing w:after="0" w:line="123" w:lineRule="exact"/>
              <w:rPr>
                <w:sz w:val="20"/>
                <w:szCs w:val="20"/>
                <w:color w:val="auto"/>
              </w:rPr>
            </w:pPr>
            <w:r>
              <w:rPr>
                <w:rFonts w:ascii="Arial" w:cs="Arial" w:eastAsia="Arial" w:hAnsi="Arial"/>
                <w:sz w:val="14"/>
                <w:szCs w:val="14"/>
                <w:color w:val="auto"/>
              </w:rPr>
              <w:t>April 30,</w:t>
            </w:r>
          </w:p>
        </w:tc>
        <w:tc>
          <w:tcPr>
            <w:tcW w:w="3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April 30,</w:t>
            </w: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320"/>
              <w:spacing w:after="0" w:line="123" w:lineRule="exact"/>
              <w:rPr>
                <w:sz w:val="20"/>
                <w:szCs w:val="20"/>
                <w:color w:val="auto"/>
              </w:rPr>
            </w:pPr>
            <w:r>
              <w:rPr>
                <w:rFonts w:ascii="Arial" w:cs="Arial" w:eastAsia="Arial" w:hAnsi="Arial"/>
                <w:sz w:val="14"/>
                <w:szCs w:val="14"/>
                <w:color w:val="auto"/>
                <w:w w:val="97"/>
              </w:rPr>
              <w:t>April 30,</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April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2008</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2007</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$ 87,469</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$ 79,244</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$ 256,629</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$ 226,295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(1,816)</w:t>
            </w:r>
          </w:p>
        </w:tc>
        <w:tc>
          <w:tcPr>
            <w:tcW w:w="3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(1,858)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(6,400)</w:t>
            </w:r>
          </w:p>
        </w:tc>
        <w:tc>
          <w:tcPr>
            <w:tcW w:w="3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(33,071)</w:t>
            </w:r>
          </w:p>
        </w:tc>
        <w:tc>
          <w:tcPr>
            <w:tcW w:w="3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(31,083)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(96,865)</w:t>
            </w:r>
          </w:p>
        </w:tc>
        <w:tc>
          <w:tcPr>
            <w:tcW w:w="3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Investment and other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920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(6,962)</w:t>
            </w:r>
          </w:p>
        </w:tc>
        <w:tc>
          <w:tcPr>
            <w:tcW w:w="3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(6,428)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(20,429)</w:t>
            </w:r>
          </w:p>
        </w:tc>
        <w:tc>
          <w:tcPr>
            <w:tcW w:w="3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46,540</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40,260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136,242</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(12,187)</w:t>
            </w:r>
          </w:p>
        </w:tc>
        <w:tc>
          <w:tcPr>
            <w:tcW w:w="3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(11,273)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(38,829)</w:t>
            </w:r>
          </w:p>
        </w:tc>
        <w:tc>
          <w:tcPr>
            <w:tcW w:w="3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(32,334)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$ 34,353</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$ 28,987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97,413</w:t>
            </w: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Company evaluates performance of the businesses using sales and segment profit. Segment profit or loss does not include certain administrative costs, such as the cost of finance, stock options, information technology and human resources, which are managed as global functions. Corporate research and development, interest, investment and other income and income taxes are also excluded when evaluating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Brady Americas: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Brady Americas sales increased 14.0% for the quarter and 19.7% for the nine months ended April 30, 2008, compared to the same periods in the prior year. Organic growth accounted for 3.6% and 4.6% in the quarter and year-to-date, respectively, as compared to the same periods in the previous year. For the quarter, the organic growth was driven by strong performance in the education market resulting from the fiscal 2007 launch of the VariQuest suite of products as well as solid results in the industrial OEM markets, partially offset by a softening in the manufacturing and utility markets. Fluctuations in the exchange rates used to translate financial results into the United States dollar increased sales by 2.8% in the quarter and 2.4% for the nine-month period. Sales in the segment were increased by the fiscal year 2007 acquisitions of Precision Converters, Scafftag, Asterisco, and SPC, which increased sales by 7.6% for the quarter and 12.7% for the nine-month period.</w:t>
      </w:r>
    </w:p>
    <w:p>
      <w:pPr>
        <w:spacing w:after="0" w:line="81"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Segment profit for the region increased 12.1% to $22.7 million from $20.2 million for the quarter and 20.3% to $66.7 million from $55.4 million for the nine months ended April 30, 2008, compared to the same periods in the prior year. As a percentage of sales, segment profit decreased to 22.6% from 23.0% in the third quarter of fiscal 2008 and increased slightly to 22.2% from 22.1% in the nine months ended April 30, 2008, compared to the same periods in the prior year. The slight decline for the third quarter in segment profit as a percentage of sales was due primarily to the one-time cost of consolidating two medical die cut businesses. The consolidation of these businesses will allow the Company to leverage resources and drive future profit improvements.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Marketing and People ID Americas:</w:t>
      </w:r>
    </w:p>
    <w:p>
      <w:pPr>
        <w:spacing w:after="0" w:line="117"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Direct Marketing and People ID Americas sales increased 0.3% for the quarter and 3.9% for the nine months ended April 30, 2008, compared to the same periods in the prior year. Organic sales for the segment declined 2.4% and 1.3% in the quarter and year-to-date, respectively, as compared to the same periods in the previous year. The decline in the organic sales for the third quarter and nine-month period was due primarily to softness in the manufacturing and construction sectors. Fluctuations in the exchange rates used to translate financial results into the United States dollar increased sales by 1.7% in the quarter and 1.6% for the nine-month period. Sales in the segment were increased by the fiscal year 2008 acquisition of DAWG and the fiscal year 2007 acquisitions of CIPI and Clement, which increased sales by 1.0% for the quarter and 3.6% for the nine-month period.</w:t>
      </w:r>
    </w:p>
    <w:p>
      <w:pPr>
        <w:spacing w:after="0" w:line="70" w:lineRule="exact"/>
        <w:rPr>
          <w:sz w:val="20"/>
          <w:szCs w:val="20"/>
          <w:color w:val="auto"/>
        </w:rPr>
      </w:pPr>
    </w:p>
    <w:p>
      <w:pPr>
        <w:jc w:val="both"/>
        <w:ind w:right="160" w:firstLine="225"/>
        <w:spacing w:after="0" w:line="257" w:lineRule="auto"/>
        <w:rPr>
          <w:sz w:val="20"/>
          <w:szCs w:val="20"/>
          <w:color w:val="auto"/>
        </w:rPr>
      </w:pPr>
      <w:r>
        <w:rPr>
          <w:rFonts w:ascii="Arial" w:cs="Arial" w:eastAsia="Arial" w:hAnsi="Arial"/>
          <w:sz w:val="18"/>
          <w:szCs w:val="18"/>
          <w:color w:val="auto"/>
        </w:rPr>
        <w:t>Segment profit for the region decreased 1.6% to $17.5 million from $17.8 million for the quarter and increased 0.3% to $49.6 million from $49.5 million for the nine months ended April 30, 2008, compared to the same periods in the prior year. As a percentage of sales, segment profit decreased to 26.5% from 27.0% in the third quarter of fiscal 2008 and to 25.2% from 26.1% in the nine months ended April 30, 2008, compared to the same periods in the prior year. The decline in segment profit as a percentage of sales compared to the prior year was due to the decline in organic sales during the quarter and on a year-to-date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117" w:lineRule="exact"/>
        <w:rPr>
          <w:sz w:val="20"/>
          <w:szCs w:val="20"/>
          <w:color w:val="auto"/>
        </w:rPr>
      </w:pPr>
    </w:p>
    <w:p>
      <w:pPr>
        <w:jc w:val="both"/>
        <w:ind w:right="20" w:firstLine="225"/>
        <w:spacing w:after="0" w:line="293" w:lineRule="auto"/>
        <w:rPr>
          <w:sz w:val="20"/>
          <w:szCs w:val="20"/>
          <w:color w:val="auto"/>
        </w:rPr>
      </w:pPr>
      <w:r>
        <w:rPr>
          <w:rFonts w:ascii="Arial" w:cs="Arial" w:eastAsia="Arial" w:hAnsi="Arial"/>
          <w:sz w:val="16"/>
          <w:szCs w:val="16"/>
          <w:color w:val="auto"/>
        </w:rPr>
        <w:t>Europe sales increased 19.9% for the quarter and 20.6% for the nine months ended April 30, 2008, compared to the same periods in the prior year. Organic growth accounted for 0.1% and 0.6% in the quarter and year-to-date, respectively, compared to the same periods in the previous year. Prior year sales relating to the implementation of “No Smoking” legislation in the U.K. and France, created tough comparables for organic sales in the segment, as these sales did not recur in fiscal 2008. Sales were positively affected by fluctuations in the exchange rates used to translate financial results into the United States dollar, which increased sales within the region by 11.3% in the quarter and 10.5% for the nine-month period. The fiscal 2008 acquisition of Transposafe and the fiscal 2007 acquisitions of CIPI, Scafftag, Moderno, and SPC increased sales by 8.5% for the quarter and 9.5% for the nine-month period.</w:t>
      </w:r>
    </w:p>
    <w:p>
      <w:pPr>
        <w:spacing w:after="0" w:line="57"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Segment profit for the region increased 23.4% to $36.2 million from $29.4 million for the quarter and 29.7% to $97.2 million from $75.0 million for the nine months ended April 30, 2008, compared to the same periods in the prior year. As a percentage of sales, segment profit increased to 27.2% from 26.4% in the third quarter of fiscal 2008 and to 26.6% from 24.8% in the nine months ended April 30, 2008, compared to the same periods in the prior year. The increase in segment profit was driven by the sales results noted above, as well as the realization of benefits from cost reduction activities taken at the end of fiscal 2007.</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Asia-Pacific:</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Asia-Pacific sales increased 1.1% for the quarter and 2.7% for the nine months ended April 30, 2008, compared to the same periods in the prior year. Organic sales in local currency decreased 7.4% in the quarter and 5.0% year-to-date, compared to the same periods in the previous year. Although the segment saw gains with certain OEM customers, these were offset by a drop in sales to OEM customers who lost significant market share, as well as competitive, commodity business the Company chose to deemphasize. Pricing pressures remained steady during the quarter. Sales were positively affected by fluctuations in the exchange rates used to translate financial results into the United States dollar, which increased sales within the region by 7.9% in the quarter and 7.3% for the nine-month period. The fiscal 2007 acquisitions of CIPI, Scafftag, and SPC increased sales by 0.6% for the quarter and 0.4% for the nine-month period.</w:t>
      </w:r>
    </w:p>
    <w:p>
      <w:pPr>
        <w:spacing w:after="0" w:line="81" w:lineRule="exact"/>
        <w:rPr>
          <w:sz w:val="20"/>
          <w:szCs w:val="20"/>
          <w:color w:val="auto"/>
        </w:rPr>
      </w:pPr>
    </w:p>
    <w:p>
      <w:pPr>
        <w:jc w:val="both"/>
        <w:ind w:right="180" w:firstLine="225"/>
        <w:spacing w:after="0" w:line="297" w:lineRule="auto"/>
        <w:rPr>
          <w:sz w:val="20"/>
          <w:szCs w:val="20"/>
          <w:color w:val="auto"/>
        </w:rPr>
      </w:pPr>
      <w:r>
        <w:rPr>
          <w:rFonts w:ascii="Arial" w:cs="Arial" w:eastAsia="Arial" w:hAnsi="Arial"/>
          <w:sz w:val="16"/>
          <w:szCs w:val="16"/>
          <w:color w:val="auto"/>
        </w:rPr>
        <w:t>Segment profit for the region decreased 6.8% to $11.1 million from $11.9 million for the quarter and declined 7.1% to $43.1 million from $46.4 million for the nine months ended April 30, 2008, compared to the same periods in the prior year. As a percentage of sales, segment profit decreased to 13.5% from 14.6% in the third quarter of fiscal 2008 and to 16.4% from 18.1% in the nine months ended April 30, 2008, compared to the same periods in the prior year. The decline in segment profit as a percentage of sales was due to the industry mix shift from high-end, feature rich mobile phones to low-end basic mobile phones and continued pricing pressures within the mobile handset supply chain, partially offset by cost reduction activities initiated in fiscal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The Company’s current ratio as of April 30, 2008, was 2.4 compared to 2.1 at July 31, 2007. Cash and cash equivalents were $227.4 million at April 30, 2008, compared to $142.8 million at July 31, 2007. There were no short-term investments outstanding at April 30, 2008, compared to $19.2 million outstanding at July 31, 2007. Accounts receivable increased $13.4 million for the nine months ended April 30, 2008, due to the acquisitions of Transposafe and DAWG and foreign currency translation, partially offset by a lower receivable balance at April 30, 2008. Inventories decreased $4.2 million for the nine months ended April 30, 2008, to $135.6 from $139.8 million. The decline in inventory due to working capital initiatives was partially offset by the acquisitions of Transposafe and DAWG, as well as foreign currency translation. The net decrease in current liabilities was $8.8 million for the current fiscal year. The decrease was composed of a decline in accrued income taxes as the adoption of FIN 48 required a reclassification of a portion of the current payable recorded at July 31, 2007 to long-term liabilities, and a decline in other current liabilities partially offset by an increase in accounts payable due to foreign currency translation.</w:t>
      </w:r>
    </w:p>
    <w:p>
      <w:pPr>
        <w:spacing w:after="0" w:line="8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Cash flow from operating activities totaled $152.1 million for the nine months ended April 30, 2008, compared to $79.7 million for the same period last year. The increase was the result of the impact of working capital initiatives on accounts receivable and inventory balances as compared to the changes reported for the nine months ended April 30, 2007, an increase in net income of $14.3 million, and a $5.3 million increase in depreciation and amortization on the intangible assets acquired in fiscal 2007.</w:t>
      </w:r>
    </w:p>
    <w:p>
      <w:pPr>
        <w:spacing w:after="0" w:line="79"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The acquisitions of businesses used $28.9 million of cash for the nine months ended April 30, 2008, compared to $157.9 million for the same period in the prior year. Payments of $4.4 million, $1.2 million, and $0.2 million were made during the nine months ended April 30, 2008 to satisfy the earnout and holdback liabilities of the Daewon Industry Corporation, STOPware, Inc., and Asterisco acquisitions, respectively. Capital expenditures were $19.7 million for the nine months ended April 30, 2008, compared to $42.1 million in the same period last year. Fiscal 2007 capital expenditures included the implementation of SAP and expansions in China, Canada, India, Slovakia, and other locations which were not repeated in fiscal 2008. Net cash used in financing activities was $38.7 million for the nine months ended April 30, 2008, due to the payment of dividends and the repurchase of outstanding stock, partially offset by the proceeds from the exercise of stock options. Net cash provided by financing activities for the same period last year was $131.6 million due to proceeds from the private placement of $150 million of senior notes in the third quarter, partially offset by the payment of dividends.</w:t>
      </w:r>
    </w:p>
    <w:p>
      <w:pPr>
        <w:spacing w:after="0" w:line="58"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new credit facility may be increased from $200 million up to $300 million. On March 18, 2008, the Company entered into an amendment to the revolving loan agreement which extended the maturity date from October 5, 2011 to March 18, 2013. All other terms of the revolving loan agreement remained the same.</w:t>
      </w:r>
    </w:p>
    <w:p>
      <w:pPr>
        <w:spacing w:after="0" w:line="4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requires the Company to maintain two financial covenants. As of April 30, 2008, the Company was in compliance with the covenants of the agreement.</w:t>
      </w:r>
    </w:p>
    <w:p>
      <w:pPr>
        <w:spacing w:after="0" w:line="79" w:lineRule="exact"/>
        <w:rPr>
          <w:sz w:val="20"/>
          <w:szCs w:val="20"/>
          <w:color w:val="auto"/>
        </w:rPr>
      </w:pPr>
    </w:p>
    <w:p>
      <w:pPr>
        <w:jc w:val="both"/>
        <w:ind w:right="240" w:firstLine="222"/>
        <w:spacing w:after="0" w:line="302" w:lineRule="auto"/>
        <w:rPr>
          <w:sz w:val="20"/>
          <w:szCs w:val="20"/>
          <w:color w:val="auto"/>
        </w:rPr>
      </w:pPr>
      <w:r>
        <w:rPr>
          <w:rFonts w:ascii="Arial" w:cs="Arial" w:eastAsia="Arial" w:hAnsi="Arial"/>
          <w:sz w:val="16"/>
          <w:szCs w:val="16"/>
          <w:color w:val="auto"/>
        </w:rPr>
        <w:t>The credit agreement restricts the amount of certain types of payments, including dividends, which can be made annually to $50 million plus an amount equal to 75% of consolidated net income for the prior fiscal year. The Company believes that based on historic dividend practice, this restriction would not impede the Company in following a similar dividend practice in the future. During the nine months ended April 30, 2008, the Company did not borrow or repay any amounts under the credit agreement. As of April 30, 2008, there were no outstanding borrowings under the credit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60" w:firstLine="225"/>
        <w:spacing w:after="0" w:line="290" w:lineRule="auto"/>
        <w:rPr>
          <w:sz w:val="20"/>
          <w:szCs w:val="20"/>
          <w:color w:val="auto"/>
        </w:rPr>
      </w:pPr>
      <w:r>
        <w:rPr>
          <w:rFonts w:ascii="Arial" w:cs="Arial" w:eastAsia="Arial" w:hAnsi="Arial"/>
          <w:sz w:val="16"/>
          <w:szCs w:val="16"/>
          <w:color w:val="auto"/>
        </w:rPr>
        <w:t>On March 23, 2007, the Company completed the private placement of $150 million in ten-year fixed notes at 5.3% interest to institutional investors. The notes will be amortized in equal installments over seven years, beginning in 2011 with interest payable on the notes semiannually on September 23 and March 23, beginning in September 2007. The notes have been fully and unconditionally guaranteed on an unsecured basis by the Company’s domestic subsidiaries. The Company used the net proceeds of the offering to reduce outstanding indebtedness under the Company’s revolving loan agreement and fund its ongoing strategic growth plan.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April 30, 2008, the Company was in compliance with this covenant.</w:t>
      </w:r>
    </w:p>
    <w:p>
      <w:pPr>
        <w:spacing w:after="0" w:line="58"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On February 14, 2006, the Company completed the private placement of $200 million in ten-year fixed notes at 5.3% interest to institutional investors. The notes will be amortized in equal installments over seven years, beginning in 2010 with interest payable on the notes semiannually on August 14 and February 14, beginning in August 2006. The notes have been fully and unconditionally guaranteed on an unsecured basis by the Company’s domestic subsidiaries. The Company used the net proceeds of the offering to finance acquisitions completed in fiscal 2006 and fiscal 2007.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The agreement also requires the Company to maintain a financial covenant. As of April 30, 2008, the Company was in compliance with this covenant.</w:t>
      </w:r>
    </w:p>
    <w:p>
      <w:pPr>
        <w:spacing w:after="0" w:line="71" w:lineRule="exact"/>
        <w:rPr>
          <w:sz w:val="20"/>
          <w:szCs w:val="20"/>
          <w:color w:val="auto"/>
        </w:rPr>
      </w:pPr>
    </w:p>
    <w:p>
      <w:pPr>
        <w:ind w:right="200" w:firstLine="225"/>
        <w:spacing w:after="0" w:line="273" w:lineRule="auto"/>
        <w:rPr>
          <w:sz w:val="20"/>
          <w:szCs w:val="20"/>
          <w:color w:val="auto"/>
        </w:rPr>
      </w:pPr>
      <w:r>
        <w:rPr>
          <w:rFonts w:ascii="Arial" w:cs="Arial" w:eastAsia="Arial" w:hAnsi="Arial"/>
          <w:sz w:val="17"/>
          <w:szCs w:val="17"/>
          <w:color w:val="auto"/>
        </w:rPr>
        <w:t>On June 30, 2004, the Company finalized a debt offering of $150 million of 5.14% unsecured senior notes due in 2014 in an offering exempt from the registration requirements of the Securities Act of 1933. The debt offering was in conjunction with the Company’s acquisition of EMED. The notes amortize over seven years beginning in 2008, with interest payable on the notes semiannually on June 28 and December 28, beginning in December 2004. The Company used the proceeds of the offering to reduce outstanding indebtedness under the Company’s revolving credit facilities used to initially fund the EMED acquisition. The debt has certain prepayment penalties for repaying the debt prior to its maturity date. The agreement also requires the Company to maintain a financial covenant. As of April 30, 2008, the Company was in compliance with this covenant.</w:t>
      </w:r>
    </w:p>
    <w:p>
      <w:pPr>
        <w:spacing w:after="0" w:line="7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20, 2008, the Board of Directors declared a quarterly cash dividend to shareholders of the Company’s Class A Common Stock of $0.15 per share payable on July 31, 2008 to shareholders of record at the close of business on July 10, 2008.</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7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buildings, computer equipment and Company vehicles, for which the economic profile is favorable.</w:t>
      </w:r>
    </w:p>
    <w:p>
      <w:pPr>
        <w:spacing w:after="0" w:line="62"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8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 In connection with the adoption of FIN 48 as of August 1, 2007, the Company is unable to determine the period in which the cash settlement of the liability associated with FIN 48 will occur with the respective taxing authority.</w:t>
      </w:r>
    </w:p>
    <w:p>
      <w:pPr>
        <w:spacing w:after="0" w:line="73"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Related-Party Transactions – The Company does not have any related-party transactions that materially affect the results of operations, cash flow or financial condition.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consumer electronics, mobile handset,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in Item 1A of Part I of Brady’s Form 10-K for the year ended July 31, 2007. These uncertainties may cause Brady’s actual future results to be materially different than those expressed in its forward-looking statements. Brady does not undertake to update its forward-looking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jc w:val="both"/>
        <w:ind w:right="500" w:firstLine="222"/>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73"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Korean Won and Chinese Yuan currency.</w:t>
      </w:r>
    </w:p>
    <w:p>
      <w:pPr>
        <w:spacing w:after="0" w:line="85"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April 30, 2008, the Company had no interest rate derivatives.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Company maintains disclosure controls and procedures designed to ensure that the information the Company must disclose in its filings with the Securities and Exchange Commission is recorded, processed, summarized and reported on a timely basis. The Company’s Chief Executive Officer and Chief Financial Officer have reviewed and evaluated the Company’s disclosure controls and procedures as defined in Rules 13a-15(e) and 15d-15(e) under the Securities Exchange Act of 1934, as amended (the “Exchange Act’’) as of the end of the period covered by this report (the “Evaluation Date’’). Based on such evaluation, such officers have concluded that, as of the Evaluation Date, the Company’s disclosure controls and procedures are effective in bringing to their attention on a timely basis material information relating to the Company required to be included in the Company’s periodic filings under the Exchange Act.</w:t>
      </w:r>
    </w:p>
    <w:p>
      <w:pPr>
        <w:spacing w:after="0" w:line="57"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Company is in the process of implementing its enterprise resource planning system, SAP, to many of its locations around the world. This implementation has resulted in certain changes to business processes and internal controls impacting financial reporting. Management is taking the necessary steps to monitor and maintain appropriate internal controls during this period of change.</w:t>
      </w:r>
    </w:p>
    <w:p>
      <w:pPr>
        <w:spacing w:after="0" w:line="73"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There were no other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Purchases of Equity Securities by the Issuer and Affiliated Purchasers</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September 2007, the Company announced that the Board of Directors of the Company had authorized a share repurchase plan for up to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March 2008, the Company announced that the Board of Directors of the Company authorized a share repurchase plan for up to an additional one million shares of the Company’s Class A Nonvoting Common Stock. The share repurchase plan may be implemented by purchasing shares on the open market or in privately negotiated transactions, with repurchased shares available for use in connection with the Company’s stock-based plans and for other corporate purposes.</w:t>
      </w:r>
    </w:p>
    <w:p>
      <w:pPr>
        <w:spacing w:after="0" w:line="79"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following table provides information with respect to the purchases of Class A Nonvoting Common Stock during the nine months ended April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5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Average</w:t>
            </w:r>
          </w:p>
        </w:tc>
        <w:tc>
          <w:tcPr>
            <w:tcW w:w="30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Shares Purchased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566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3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Price Paid</w:t>
            </w: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4"/>
              </w:rPr>
              <w:t>as 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67"/>
        </w:trPr>
        <w:tc>
          <w:tcPr>
            <w:tcW w:w="5660" w:type="dxa"/>
            <w:vAlign w:val="bottom"/>
          </w:tcPr>
          <w:p>
            <w:pPr>
              <w:ind w:left="2400"/>
              <w:spacing w:after="0"/>
              <w:rPr>
                <w:sz w:val="20"/>
                <w:szCs w:val="20"/>
                <w:color w:val="auto"/>
              </w:rPr>
            </w:pPr>
            <w:r>
              <w:rPr>
                <w:rFonts w:ascii="Arial" w:cs="Arial" w:eastAsia="Arial" w:hAnsi="Arial"/>
                <w:sz w:val="14"/>
                <w:szCs w:val="14"/>
                <w:color w:val="auto"/>
              </w:rPr>
              <w:t>Period</w:t>
            </w:r>
          </w:p>
        </w:tc>
        <w:tc>
          <w:tcPr>
            <w:tcW w:w="1320" w:type="dxa"/>
            <w:vAlign w:val="bottom"/>
            <w:gridSpan w:val="3"/>
          </w:tcPr>
          <w:p>
            <w:pPr>
              <w:spacing w:after="0"/>
              <w:rPr>
                <w:sz w:val="20"/>
                <w:szCs w:val="20"/>
                <w:color w:val="auto"/>
              </w:rPr>
            </w:pPr>
            <w:r>
              <w:rPr>
                <w:rFonts w:ascii="Arial" w:cs="Arial" w:eastAsia="Arial" w:hAnsi="Arial"/>
                <w:sz w:val="14"/>
                <w:szCs w:val="14"/>
                <w:color w:val="auto"/>
              </w:rPr>
              <w:t>Shares Purchased</w:t>
            </w:r>
          </w:p>
        </w:tc>
        <w:tc>
          <w:tcPr>
            <w:tcW w:w="30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color w:val="auto"/>
                <w:w w:val="87"/>
              </w:rPr>
              <w:t>per Share</w:t>
            </w:r>
          </w:p>
        </w:tc>
        <w:tc>
          <w:tcPr>
            <w:tcW w:w="300" w:type="dxa"/>
            <w:vAlign w:val="bottom"/>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color w:val="auto"/>
                <w:w w:val="91"/>
              </w:rPr>
              <w:t>Announced Plans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Under the Plans</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February 1, 2008 – February 29, 2008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267,306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29.34</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267,306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March 1, 2008 – March 31, 2008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676,490</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30.58</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676,490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1,056,204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April 1, 2008 – April 30, 2008</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1,056,204</w:t>
            </w: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943,796</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943,796</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1,056,204</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jc w:val="right"/>
              <w:ind w:right="210"/>
              <w:spacing w:after="0"/>
              <w:rPr>
                <w:sz w:val="20"/>
                <w:szCs w:val="20"/>
                <w:color w:val="auto"/>
              </w:rPr>
            </w:pPr>
            <w:r>
              <w:rPr>
                <w:rFonts w:ascii="Arial" w:cs="Arial" w:eastAsia="Arial" w:hAnsi="Arial"/>
                <w:sz w:val="18"/>
                <w:szCs w:val="18"/>
                <w:color w:val="auto"/>
              </w:rPr>
              <w:t>31.1</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of Frank M. Jaehnert</w:t>
            </w:r>
          </w:p>
        </w:tc>
      </w:tr>
      <w:tr>
        <w:trPr>
          <w:trHeight w:val="338"/>
        </w:trPr>
        <w:tc>
          <w:tcPr>
            <w:tcW w:w="1300" w:type="dxa"/>
            <w:vAlign w:val="bottom"/>
          </w:tcPr>
          <w:p>
            <w:pPr>
              <w:jc w:val="right"/>
              <w:ind w:right="210"/>
              <w:spacing w:after="0"/>
              <w:rPr>
                <w:sz w:val="20"/>
                <w:szCs w:val="20"/>
                <w:color w:val="auto"/>
              </w:rPr>
            </w:pPr>
            <w:r>
              <w:rPr>
                <w:rFonts w:ascii="Arial" w:cs="Arial" w:eastAsia="Arial" w:hAnsi="Arial"/>
                <w:sz w:val="18"/>
                <w:szCs w:val="18"/>
                <w:color w:val="auto"/>
              </w:rPr>
              <w:t>31.2</w:t>
            </w:r>
          </w:p>
        </w:tc>
        <w:tc>
          <w:tcPr>
            <w:tcW w:w="1012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of Thomas J. Felmer</w:t>
            </w:r>
          </w:p>
        </w:tc>
      </w:tr>
      <w:tr>
        <w:trPr>
          <w:trHeight w:val="338"/>
        </w:trPr>
        <w:tc>
          <w:tcPr>
            <w:tcW w:w="1300" w:type="dxa"/>
            <w:vAlign w:val="bottom"/>
          </w:tcPr>
          <w:p>
            <w:pPr>
              <w:jc w:val="right"/>
              <w:ind w:right="210"/>
              <w:spacing w:after="0"/>
              <w:rPr>
                <w:sz w:val="20"/>
                <w:szCs w:val="20"/>
                <w:color w:val="auto"/>
              </w:rPr>
            </w:pPr>
            <w:r>
              <w:rPr>
                <w:rFonts w:ascii="Arial" w:cs="Arial" w:eastAsia="Arial" w:hAnsi="Arial"/>
                <w:sz w:val="18"/>
                <w:szCs w:val="18"/>
                <w:color w:val="auto"/>
              </w:rPr>
              <w:t>32.1</w:t>
            </w:r>
          </w:p>
        </w:tc>
        <w:tc>
          <w:tcPr>
            <w:tcW w:w="1260" w:type="dxa"/>
            <w:vAlign w:val="bottom"/>
          </w:tcPr>
          <w:p>
            <w:pPr>
              <w:ind w:left="280"/>
              <w:spacing w:after="0"/>
              <w:rPr>
                <w:sz w:val="20"/>
                <w:szCs w:val="20"/>
                <w:color w:val="auto"/>
              </w:rPr>
            </w:pPr>
            <w:r>
              <w:rPr>
                <w:rFonts w:ascii="Arial" w:cs="Arial" w:eastAsia="Arial" w:hAnsi="Arial"/>
                <w:sz w:val="18"/>
                <w:szCs w:val="18"/>
                <w:color w:val="auto"/>
                <w:w w:val="91"/>
              </w:rPr>
              <w:t>Section 1350</w:t>
            </w:r>
          </w:p>
        </w:tc>
        <w:tc>
          <w:tcPr>
            <w:tcW w:w="886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338"/>
        </w:trPr>
        <w:tc>
          <w:tcPr>
            <w:tcW w:w="1300" w:type="dxa"/>
            <w:vAlign w:val="bottom"/>
          </w:tcPr>
          <w:p>
            <w:pPr>
              <w:jc w:val="right"/>
              <w:ind w:right="210"/>
              <w:spacing w:after="0"/>
              <w:rPr>
                <w:sz w:val="20"/>
                <w:szCs w:val="20"/>
                <w:color w:val="auto"/>
              </w:rPr>
            </w:pPr>
            <w:r>
              <w:rPr>
                <w:rFonts w:ascii="Arial" w:cs="Arial" w:eastAsia="Arial" w:hAnsi="Arial"/>
                <w:sz w:val="18"/>
                <w:szCs w:val="18"/>
                <w:color w:val="auto"/>
              </w:rPr>
              <w:t>32.2</w:t>
            </w:r>
          </w:p>
        </w:tc>
        <w:tc>
          <w:tcPr>
            <w:tcW w:w="1260" w:type="dxa"/>
            <w:vAlign w:val="bottom"/>
          </w:tcPr>
          <w:p>
            <w:pPr>
              <w:ind w:left="280"/>
              <w:spacing w:after="0"/>
              <w:rPr>
                <w:sz w:val="20"/>
                <w:szCs w:val="20"/>
                <w:color w:val="auto"/>
              </w:rPr>
            </w:pPr>
            <w:r>
              <w:rPr>
                <w:rFonts w:ascii="Arial" w:cs="Arial" w:eastAsia="Arial" w:hAnsi="Arial"/>
                <w:sz w:val="18"/>
                <w:szCs w:val="18"/>
                <w:color w:val="auto"/>
                <w:w w:val="91"/>
              </w:rPr>
              <w:t>Section 1350</w:t>
            </w:r>
          </w:p>
        </w:tc>
        <w:tc>
          <w:tcPr>
            <w:tcW w:w="886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r>
        <w:trPr>
          <w:trHeight w:val="405"/>
        </w:trPr>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60" w:type="dxa"/>
            <w:vAlign w:val="bottom"/>
          </w:tcPr>
          <w:p>
            <w:pPr>
              <w:jc w:val="right"/>
              <w:ind w:right="5530"/>
              <w:spacing w:after="0"/>
              <w:rPr>
                <w:sz w:val="20"/>
                <w:szCs w:val="20"/>
                <w:color w:val="auto"/>
              </w:rPr>
            </w:pPr>
            <w:r>
              <w:rPr>
                <w:rFonts w:ascii="Arial" w:cs="Arial" w:eastAsia="Arial" w:hAnsi="Arial"/>
                <w:sz w:val="18"/>
                <w:szCs w:val="18"/>
                <w:color w:val="auto"/>
              </w:rPr>
              <w:t>23</w:t>
            </w:r>
          </w:p>
        </w:tc>
      </w:tr>
      <w:tr>
        <w:trPr>
          <w:trHeight w:val="226"/>
        </w:trPr>
        <w:tc>
          <w:tcPr>
            <w:tcW w:w="13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SIGNATURES</w:t>
            </w:r>
          </w:p>
        </w:tc>
        <w:tc>
          <w:tcPr>
            <w:tcW w:w="4220" w:type="dxa"/>
            <w:vAlign w:val="bottom"/>
          </w:tcPr>
          <w:p>
            <w:pPr>
              <w:spacing w:after="0"/>
              <w:rPr>
                <w:sz w:val="20"/>
                <w:szCs w:val="20"/>
                <w:color w:val="auto"/>
              </w:rPr>
            </w:pPr>
          </w:p>
        </w:tc>
      </w:tr>
      <w:tr>
        <w:trPr>
          <w:trHeight w:val="432"/>
        </w:trPr>
        <w:tc>
          <w:tcPr>
            <w:tcW w:w="550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 M. Jaehnert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F. M. Jaehnert</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864"/>
        </w:trPr>
        <w:tc>
          <w:tcPr>
            <w:tcW w:w="5500" w:type="dxa"/>
            <w:vAlign w:val="bottom"/>
          </w:tcPr>
          <w:p>
            <w:pPr>
              <w:spacing w:after="0"/>
              <w:rPr>
                <w:sz w:val="20"/>
                <w:szCs w:val="20"/>
                <w:color w:val="auto"/>
              </w:rPr>
            </w:pPr>
            <w:r>
              <w:rPr>
                <w:rFonts w:ascii="Arial" w:cs="Arial" w:eastAsia="Arial" w:hAnsi="Arial"/>
                <w:sz w:val="18"/>
                <w:szCs w:val="18"/>
                <w:color w:val="auto"/>
              </w:rPr>
              <w:t>Date: June 6,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21"/>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80"/>
          </w:cols>
          <w:pgMar w:left="240" w:top="935"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17"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Felmer, certify that:</w:t>
      </w:r>
    </w:p>
    <w:p>
      <w:pPr>
        <w:spacing w:after="0" w:line="117" w:lineRule="exact"/>
        <w:rPr>
          <w:sz w:val="20"/>
          <w:szCs w:val="20"/>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17" w:lineRule="exact"/>
        <w:rPr>
          <w:rFonts w:ascii="Arial" w:cs="Arial" w:eastAsia="Arial" w:hAnsi="Arial"/>
          <w:sz w:val="18"/>
          <w:szCs w:val="18"/>
          <w:color w:val="auto"/>
        </w:rPr>
      </w:pPr>
    </w:p>
    <w:p>
      <w:pPr>
        <w:jc w:val="both"/>
        <w:ind w:right="440" w:firstLine="233"/>
        <w:spacing w:after="0" w:line="342"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20" w:firstLine="233"/>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7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280" w:firstLine="233"/>
        <w:spacing w:after="0" w:line="264"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120" w:firstLine="233"/>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360" w:firstLine="233"/>
        <w:spacing w:after="0" w:line="308" w:lineRule="auto"/>
        <w:tabs>
          <w:tab w:leader="none" w:pos="47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60" w:firstLine="233"/>
        <w:spacing w:after="0" w:line="277" w:lineRule="auto"/>
        <w:tabs>
          <w:tab w:leader="none" w:pos="4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62" w:lineRule="exact"/>
        <w:rPr>
          <w:sz w:val="20"/>
          <w:szCs w:val="20"/>
          <w:color w:val="auto"/>
        </w:rPr>
      </w:pPr>
    </w:p>
    <w:p>
      <w:pPr>
        <w:ind w:right="340" w:firstLine="233"/>
        <w:spacing w:after="0" w:line="277" w:lineRule="auto"/>
        <w:tabs>
          <w:tab w:leader="none" w:pos="4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April 30, 2008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that Form 10-Q fairly presents, in all material respects, the financial conditions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6,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03"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2019-12-13T14:05:10Z</dcterms:created>
  <dcterms:modified xsi:type="dcterms:W3CDTF">2019-12-13T14:05:10Z</dcterms:modified>
</cp:coreProperties>
</file>